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2B63" w14:textId="06496A77" w:rsidR="003A5F35" w:rsidRDefault="003A5F35" w:rsidP="003A5F35">
      <w:pPr>
        <w:pStyle w:val="Body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Hlk58854523"/>
      <w:bookmarkStart w:id="1" w:name="_Hlk69223415"/>
      <w:r>
        <w:rPr>
          <w:rFonts w:ascii="Times New Roman" w:hAnsi="Times New Roman"/>
          <w:b/>
          <w:bCs/>
          <w:sz w:val="24"/>
          <w:szCs w:val="24"/>
        </w:rPr>
        <w:t>Online Resource 5</w:t>
      </w:r>
    </w:p>
    <w:p w14:paraId="70C6261D" w14:textId="77777777" w:rsidR="003A5F35" w:rsidRDefault="003A5F35" w:rsidP="003A5F35">
      <w:pPr>
        <w:pStyle w:val="Body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0447E83E" w14:textId="1927A43C" w:rsidR="00FA06DF" w:rsidRPr="00FA06DF" w:rsidRDefault="00FA06DF" w:rsidP="00FA06DF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6DF">
        <w:rPr>
          <w:rFonts w:ascii="Times New Roman" w:hAnsi="Times New Roman"/>
          <w:sz w:val="24"/>
          <w:szCs w:val="24"/>
        </w:rPr>
        <w:t xml:space="preserve">Manifestations of Intraocular Inflammation Over Time in Patients on Brolucizumab for Neovascular AMD </w:t>
      </w:r>
    </w:p>
    <w:p w14:paraId="340DE810" w14:textId="77777777" w:rsidR="003A5F35" w:rsidRDefault="003A5F35" w:rsidP="003A5F35">
      <w:pPr>
        <w:pStyle w:val="Body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148C7778" w14:textId="77777777" w:rsidR="003A5F35" w:rsidRPr="00536BB3" w:rsidRDefault="003A5F35" w:rsidP="003A5F35">
      <w:pPr>
        <w:pStyle w:val="Body"/>
        <w:spacing w:after="0"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536BB3">
        <w:rPr>
          <w:rFonts w:ascii="Times New Roman" w:hAnsi="Times New Roman"/>
          <w:sz w:val="24"/>
          <w:szCs w:val="24"/>
        </w:rPr>
        <w:t>Graefe’s</w:t>
      </w:r>
      <w:proofErr w:type="spellEnd"/>
      <w:r w:rsidRPr="00536BB3">
        <w:rPr>
          <w:rFonts w:ascii="Times New Roman" w:hAnsi="Times New Roman"/>
          <w:sz w:val="24"/>
          <w:szCs w:val="24"/>
        </w:rPr>
        <w:t xml:space="preserve"> Archive for Clinical and Experimental Ophthalmology</w:t>
      </w:r>
    </w:p>
    <w:p w14:paraId="6BCFFF46" w14:textId="77777777" w:rsidR="003A5F35" w:rsidRPr="00CC6F06" w:rsidRDefault="003A5F35" w:rsidP="003A5F35">
      <w:pPr>
        <w:pStyle w:val="Body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81019D" w14:textId="77777777" w:rsidR="003A5F35" w:rsidRPr="00CC6F06" w:rsidRDefault="003A5F35" w:rsidP="003A5F35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bookmarkStart w:id="2" w:name="_Hlk67599977"/>
      <w:bookmarkEnd w:id="0"/>
      <w:r w:rsidRPr="00CC6F06">
        <w:rPr>
          <w:rFonts w:ascii="Times New Roman" w:hAnsi="Times New Roman"/>
          <w:sz w:val="24"/>
          <w:szCs w:val="24"/>
        </w:rPr>
        <w:t>Ramin Khoramnia</w:t>
      </w:r>
      <w:r w:rsidRPr="00CC6F06">
        <w:rPr>
          <w:rFonts w:ascii="Times New Roman" w:hAnsi="Times New Roman"/>
          <w:sz w:val="24"/>
          <w:szCs w:val="24"/>
          <w:vertAlign w:val="superscript"/>
        </w:rPr>
        <w:t>1</w:t>
      </w:r>
      <w:r w:rsidRPr="00CC6F06">
        <w:rPr>
          <w:rFonts w:ascii="Times New Roman" w:hAnsi="Times New Roman"/>
          <w:sz w:val="24"/>
          <w:szCs w:val="24"/>
        </w:rPr>
        <w:t>; Marta S. Figueroa</w:t>
      </w:r>
      <w:r w:rsidRPr="00CC6F06">
        <w:rPr>
          <w:rFonts w:ascii="Times New Roman" w:hAnsi="Times New Roman"/>
          <w:sz w:val="24"/>
          <w:szCs w:val="24"/>
          <w:vertAlign w:val="superscript"/>
        </w:rPr>
        <w:t>2</w:t>
      </w:r>
      <w:r w:rsidRPr="00CC6F06">
        <w:rPr>
          <w:rFonts w:ascii="Times New Roman" w:hAnsi="Times New Roman"/>
          <w:sz w:val="24"/>
          <w:szCs w:val="24"/>
        </w:rPr>
        <w:t>; Lars-Olof Hattenbach</w:t>
      </w:r>
      <w:r w:rsidRPr="00CC6F06">
        <w:rPr>
          <w:rFonts w:ascii="Times New Roman" w:hAnsi="Times New Roman"/>
          <w:sz w:val="24"/>
          <w:szCs w:val="24"/>
          <w:vertAlign w:val="superscript"/>
        </w:rPr>
        <w:t>3</w:t>
      </w:r>
      <w:r w:rsidRPr="00CC6F06">
        <w:rPr>
          <w:rFonts w:ascii="Times New Roman" w:hAnsi="Times New Roman"/>
          <w:sz w:val="24"/>
          <w:szCs w:val="24"/>
        </w:rPr>
        <w:t>; Carlos E. Pavesio</w:t>
      </w:r>
      <w:r w:rsidRPr="00CC6F06">
        <w:rPr>
          <w:rFonts w:ascii="Times New Roman" w:hAnsi="Times New Roman"/>
          <w:sz w:val="24"/>
          <w:szCs w:val="24"/>
          <w:vertAlign w:val="superscript"/>
        </w:rPr>
        <w:t>4</w:t>
      </w:r>
      <w:r w:rsidRPr="00CC6F06">
        <w:rPr>
          <w:rFonts w:ascii="Times New Roman" w:hAnsi="Times New Roman"/>
          <w:sz w:val="24"/>
          <w:szCs w:val="24"/>
        </w:rPr>
        <w:t>; Majid Anderesi</w:t>
      </w:r>
      <w:r w:rsidRPr="00CC6F06">
        <w:rPr>
          <w:rFonts w:ascii="Times New Roman" w:hAnsi="Times New Roman"/>
          <w:sz w:val="24"/>
          <w:szCs w:val="24"/>
          <w:vertAlign w:val="superscript"/>
        </w:rPr>
        <w:t>5</w:t>
      </w:r>
      <w:r w:rsidRPr="00CC6F06">
        <w:rPr>
          <w:rFonts w:ascii="Times New Roman" w:hAnsi="Times New Roman"/>
          <w:sz w:val="24"/>
          <w:szCs w:val="24"/>
          <w:lang w:val="nl-NL"/>
        </w:rPr>
        <w:t>; Robert Schmouder</w:t>
      </w:r>
      <w:r w:rsidRPr="00CC6F06">
        <w:rPr>
          <w:rFonts w:ascii="Times New Roman" w:hAnsi="Times New Roman"/>
          <w:sz w:val="24"/>
          <w:szCs w:val="24"/>
          <w:vertAlign w:val="superscript"/>
        </w:rPr>
        <w:t>6</w:t>
      </w:r>
      <w:r w:rsidRPr="00CC6F06">
        <w:rPr>
          <w:rFonts w:ascii="Times New Roman" w:hAnsi="Times New Roman"/>
          <w:sz w:val="24"/>
          <w:szCs w:val="24"/>
          <w:lang w:val="nl-NL"/>
        </w:rPr>
        <w:t xml:space="preserve">; </w:t>
      </w:r>
      <w:proofErr w:type="spellStart"/>
      <w:r w:rsidRPr="00CC6F06">
        <w:rPr>
          <w:rFonts w:ascii="Times New Roman" w:hAnsi="Times New Roman"/>
          <w:sz w:val="24"/>
          <w:szCs w:val="24"/>
          <w:lang w:val="nl-NL"/>
        </w:rPr>
        <w:t>Yu</w:t>
      </w:r>
      <w:proofErr w:type="spellEnd"/>
      <w:r w:rsidRPr="00CC6F06">
        <w:rPr>
          <w:rFonts w:ascii="Times New Roman" w:hAnsi="Times New Roman"/>
          <w:sz w:val="24"/>
          <w:szCs w:val="24"/>
          <w:lang w:val="nl-NL"/>
        </w:rPr>
        <w:t xml:space="preserve"> Chen</w:t>
      </w:r>
      <w:r w:rsidRPr="00CC6F06">
        <w:rPr>
          <w:rFonts w:ascii="Times New Roman" w:hAnsi="Times New Roman"/>
          <w:sz w:val="24"/>
          <w:szCs w:val="24"/>
          <w:vertAlign w:val="superscript"/>
          <w:lang w:val="nl-NL"/>
        </w:rPr>
        <w:t>6</w:t>
      </w:r>
      <w:r w:rsidRPr="00CC6F06">
        <w:rPr>
          <w:rFonts w:ascii="Times New Roman" w:hAnsi="Times New Roman"/>
          <w:sz w:val="24"/>
          <w:szCs w:val="24"/>
          <w:lang w:val="nl-NL"/>
        </w:rPr>
        <w:t>; Marc D. de Smet</w:t>
      </w:r>
      <w:r w:rsidRPr="00CC6F06">
        <w:rPr>
          <w:rFonts w:ascii="Times New Roman" w:hAnsi="Times New Roman"/>
          <w:sz w:val="24"/>
          <w:szCs w:val="24"/>
          <w:vertAlign w:val="superscript"/>
        </w:rPr>
        <w:t>7</w:t>
      </w:r>
    </w:p>
    <w:bookmarkEnd w:id="2"/>
    <w:p w14:paraId="6127AE23" w14:textId="77777777" w:rsidR="003A5F35" w:rsidRPr="00CC6F06" w:rsidRDefault="003A5F35" w:rsidP="003A5F35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506734" w14:textId="77777777" w:rsidR="003A5F35" w:rsidRPr="00CC6F06" w:rsidRDefault="003A5F35" w:rsidP="003A5F35">
      <w:pPr>
        <w:pStyle w:val="Body"/>
        <w:spacing w:after="0" w:line="480" w:lineRule="auto"/>
        <w:rPr>
          <w:rFonts w:ascii="Times New Roman" w:eastAsia="Times New Roman" w:hAnsi="Times New Roman" w:cs="Times New Roman"/>
          <w:color w:val="1C1C1C"/>
          <w:sz w:val="24"/>
          <w:szCs w:val="24"/>
          <w:u w:color="1C1C1C"/>
          <w:shd w:val="clear" w:color="auto" w:fill="FFFFFF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1</w:t>
      </w:r>
      <w:r w:rsidRPr="00CC6F06">
        <w:rPr>
          <w:rFonts w:ascii="Times New Roman" w:hAnsi="Times New Roman"/>
          <w:color w:val="1C1C1C"/>
          <w:sz w:val="24"/>
          <w:szCs w:val="24"/>
          <w:u w:color="1C1C1C"/>
          <w:shd w:val="clear" w:color="auto" w:fill="FFFFFF"/>
        </w:rPr>
        <w:t>The David J. Apple Center for Vision Research, Department of Ophthalmology, University of Heidelberg, Heidelberg, Germany</w:t>
      </w:r>
    </w:p>
    <w:p w14:paraId="099424B7" w14:textId="77777777" w:rsidR="003A5F35" w:rsidRPr="00CC6F06" w:rsidRDefault="003A5F35" w:rsidP="003A5F35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2</w:t>
      </w:r>
      <w:r w:rsidRPr="00CC6F06">
        <w:rPr>
          <w:rFonts w:ascii="Times New Roman" w:hAnsi="Times New Roman"/>
          <w:sz w:val="24"/>
          <w:szCs w:val="24"/>
          <w:lang w:val="nl-NL"/>
        </w:rPr>
        <w:t xml:space="preserve">Retina </w:t>
      </w:r>
      <w:proofErr w:type="spellStart"/>
      <w:r w:rsidRPr="00CC6F06">
        <w:rPr>
          <w:rFonts w:ascii="Times New Roman" w:hAnsi="Times New Roman"/>
          <w:sz w:val="24"/>
          <w:szCs w:val="24"/>
          <w:lang w:val="nl-NL"/>
        </w:rPr>
        <w:t>Division</w:t>
      </w:r>
      <w:proofErr w:type="spellEnd"/>
      <w:r w:rsidRPr="00CC6F06">
        <w:rPr>
          <w:rFonts w:ascii="Times New Roman" w:hAnsi="Times New Roman"/>
          <w:sz w:val="24"/>
          <w:szCs w:val="24"/>
          <w:lang w:val="nl-NL"/>
        </w:rPr>
        <w:t>, Ram</w:t>
      </w:r>
      <w:proofErr w:type="spellStart"/>
      <w:r w:rsidRPr="00CC6F06">
        <w:rPr>
          <w:rFonts w:ascii="Times New Roman" w:hAnsi="Times New Roman"/>
          <w:sz w:val="24"/>
          <w:szCs w:val="24"/>
        </w:rPr>
        <w:t>ón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CC6F06">
        <w:rPr>
          <w:rFonts w:ascii="Times New Roman" w:hAnsi="Times New Roman"/>
          <w:sz w:val="24"/>
          <w:szCs w:val="24"/>
        </w:rPr>
        <w:t>Cajal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University Hospital, Madrid, Spain</w:t>
      </w:r>
    </w:p>
    <w:p w14:paraId="13512666" w14:textId="77777777" w:rsidR="003A5F35" w:rsidRPr="00CC6F06" w:rsidRDefault="003A5F35" w:rsidP="003A5F35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3</w:t>
      </w:r>
      <w:r w:rsidRPr="00CC6F06">
        <w:rPr>
          <w:rFonts w:ascii="Times New Roman" w:hAnsi="Times New Roman"/>
          <w:sz w:val="24"/>
          <w:szCs w:val="24"/>
        </w:rPr>
        <w:t>Department of Ophthalmology, Ludwigshafen Hospital, Ludwigshafen am Rhein, Germany</w:t>
      </w:r>
    </w:p>
    <w:p w14:paraId="2B3AC716" w14:textId="77777777" w:rsidR="003A5F35" w:rsidRPr="00CC6F06" w:rsidRDefault="003A5F35" w:rsidP="003A5F35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4</w:t>
      </w:r>
      <w:r w:rsidRPr="00CC6F06">
        <w:rPr>
          <w:rFonts w:ascii="Times New Roman" w:hAnsi="Times New Roman"/>
          <w:sz w:val="24"/>
          <w:szCs w:val="24"/>
        </w:rPr>
        <w:t xml:space="preserve">Department of Uveitis, </w:t>
      </w:r>
      <w:proofErr w:type="spellStart"/>
      <w:r w:rsidRPr="00CC6F06">
        <w:rPr>
          <w:rFonts w:ascii="Times New Roman" w:hAnsi="Times New Roman"/>
          <w:sz w:val="24"/>
          <w:szCs w:val="24"/>
        </w:rPr>
        <w:t>Moorfields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Eye Hospital and UCL, London, United Kingdom</w:t>
      </w:r>
    </w:p>
    <w:p w14:paraId="08F45B08" w14:textId="77777777" w:rsidR="003A5F35" w:rsidRPr="00CC6F06" w:rsidRDefault="003A5F35" w:rsidP="003A5F35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5</w:t>
      </w:r>
      <w:r w:rsidRPr="00CC6F06">
        <w:rPr>
          <w:rFonts w:ascii="Times New Roman" w:hAnsi="Times New Roman"/>
          <w:sz w:val="24"/>
          <w:szCs w:val="24"/>
        </w:rPr>
        <w:t>Novartis Pharma AG, Basel, Switzerland</w:t>
      </w:r>
    </w:p>
    <w:p w14:paraId="2154F2B0" w14:textId="77777777" w:rsidR="003A5F35" w:rsidRPr="00CC6F06" w:rsidRDefault="003A5F35" w:rsidP="003A5F35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6</w:t>
      </w:r>
      <w:r w:rsidRPr="00CC6F06">
        <w:rPr>
          <w:rFonts w:ascii="Times New Roman" w:hAnsi="Times New Roman"/>
          <w:sz w:val="24"/>
          <w:szCs w:val="24"/>
        </w:rPr>
        <w:t>Novartis Pharmaceuticals Corporation, East Hanover, New Jersey, United States</w:t>
      </w:r>
    </w:p>
    <w:p w14:paraId="52EF06EE" w14:textId="77777777" w:rsidR="003A5F35" w:rsidRDefault="003A5F35" w:rsidP="003A5F35">
      <w:pPr>
        <w:pStyle w:val="Body"/>
        <w:spacing w:after="0" w:line="480" w:lineRule="auto"/>
        <w:rPr>
          <w:rFonts w:ascii="Times New Roman" w:hAnsi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7</w:t>
      </w:r>
      <w:r w:rsidRPr="00CC6F06">
        <w:rPr>
          <w:rFonts w:ascii="Times New Roman" w:hAnsi="Times New Roman"/>
          <w:sz w:val="24"/>
          <w:szCs w:val="24"/>
        </w:rPr>
        <w:t xml:space="preserve">Medical/Surgical Retina and Ocular Inflammation, Microinvasive Ocular Surgery Center (MIOS </w:t>
      </w:r>
      <w:proofErr w:type="spellStart"/>
      <w:r w:rsidRPr="00CC6F06">
        <w:rPr>
          <w:rFonts w:ascii="Times New Roman" w:hAnsi="Times New Roman"/>
          <w:sz w:val="24"/>
          <w:szCs w:val="24"/>
        </w:rPr>
        <w:t>sa</w:t>
      </w:r>
      <w:proofErr w:type="spellEnd"/>
      <w:r w:rsidRPr="00CC6F06">
        <w:rPr>
          <w:rFonts w:ascii="Times New Roman" w:hAnsi="Times New Roman"/>
          <w:sz w:val="24"/>
          <w:szCs w:val="24"/>
        </w:rPr>
        <w:t>), Lausanne, Switzerland</w:t>
      </w:r>
    </w:p>
    <w:p w14:paraId="36E9ACC2" w14:textId="77777777" w:rsidR="003A5F35" w:rsidRPr="00CC6F06" w:rsidRDefault="003A5F35" w:rsidP="003A5F35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954F37" w14:textId="77777777" w:rsidR="003A5F35" w:rsidRDefault="003A5F35" w:rsidP="003A5F35">
      <w:pPr>
        <w:pStyle w:val="Body"/>
        <w:spacing w:after="0" w:line="480" w:lineRule="auto"/>
        <w:rPr>
          <w:rFonts w:ascii="Times New Roman" w:hAnsi="Times New Roman"/>
          <w:sz w:val="24"/>
          <w:szCs w:val="24"/>
        </w:rPr>
      </w:pPr>
      <w:r w:rsidRPr="00CC6F06">
        <w:rPr>
          <w:rFonts w:ascii="Times New Roman" w:hAnsi="Times New Roman"/>
          <w:b/>
          <w:bCs/>
          <w:sz w:val="24"/>
          <w:szCs w:val="24"/>
        </w:rPr>
        <w:t xml:space="preserve">Corresponding Author: </w:t>
      </w:r>
      <w:r w:rsidRPr="00CC6F06">
        <w:rPr>
          <w:rFonts w:ascii="Times New Roman" w:hAnsi="Times New Roman"/>
          <w:sz w:val="24"/>
          <w:szCs w:val="24"/>
        </w:rPr>
        <w:t>Ramin Khoramnia,</w:t>
      </w:r>
      <w:r w:rsidRPr="00CC6F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C6F06">
        <w:rPr>
          <w:rFonts w:ascii="Times New Roman" w:hAnsi="Times New Roman"/>
          <w:sz w:val="24"/>
          <w:szCs w:val="24"/>
        </w:rPr>
        <w:t xml:space="preserve">International Vision Correction Research Centre, University Eye Clinic Heidelberg </w:t>
      </w:r>
      <w:proofErr w:type="spellStart"/>
      <w:r w:rsidRPr="00CC6F06">
        <w:rPr>
          <w:rFonts w:ascii="Times New Roman" w:hAnsi="Times New Roman"/>
          <w:sz w:val="24"/>
          <w:szCs w:val="24"/>
        </w:rPr>
        <w:t>Im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F06">
        <w:rPr>
          <w:rFonts w:ascii="Times New Roman" w:hAnsi="Times New Roman"/>
          <w:sz w:val="24"/>
          <w:szCs w:val="24"/>
        </w:rPr>
        <w:t>Neuenheimer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Feld 400, 69120 Heidelberg; </w:t>
      </w:r>
      <w:r>
        <w:rPr>
          <w:rFonts w:ascii="Times New Roman" w:hAnsi="Times New Roman"/>
          <w:sz w:val="24"/>
          <w:szCs w:val="24"/>
        </w:rPr>
        <w:t xml:space="preserve">phone: </w:t>
      </w:r>
      <w:r w:rsidRPr="00235E45">
        <w:rPr>
          <w:rFonts w:ascii="Times New Roman" w:hAnsi="Times New Roman"/>
          <w:sz w:val="24"/>
          <w:szCs w:val="24"/>
        </w:rPr>
        <w:t>+49 6221 56-39624</w:t>
      </w:r>
      <w:r>
        <w:rPr>
          <w:rFonts w:ascii="Times New Roman" w:hAnsi="Times New Roman"/>
          <w:sz w:val="24"/>
          <w:szCs w:val="24"/>
        </w:rPr>
        <w:t>; fax: +49 6221 56-8229;</w:t>
      </w:r>
      <w:r w:rsidRPr="00332E36">
        <w:rPr>
          <w:rFonts w:ascii="Times New Roman" w:hAnsi="Times New Roman"/>
          <w:sz w:val="24"/>
          <w:szCs w:val="24"/>
        </w:rPr>
        <w:t xml:space="preserve"> </w:t>
      </w:r>
      <w:r w:rsidRPr="00CC6F06">
        <w:rPr>
          <w:rFonts w:ascii="Times New Roman" w:hAnsi="Times New Roman"/>
          <w:sz w:val="24"/>
          <w:szCs w:val="24"/>
        </w:rPr>
        <w:t>email: ramin.khoramnia@med.uni-heidelberg.d</w:t>
      </w:r>
      <w:r>
        <w:rPr>
          <w:rFonts w:ascii="Times New Roman" w:hAnsi="Times New Roman"/>
          <w:sz w:val="24"/>
          <w:szCs w:val="24"/>
        </w:rPr>
        <w:t>e</w:t>
      </w:r>
    </w:p>
    <w:p w14:paraId="40487840" w14:textId="30CF48B7" w:rsidR="00461CC8" w:rsidRPr="00CC6F06" w:rsidRDefault="00461CC8" w:rsidP="00461CC8">
      <w:pPr>
        <w:pStyle w:val="Body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10A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The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F10A13">
        <w:rPr>
          <w:rFonts w:ascii="Times New Roman" w:hAnsi="Times New Roman" w:cs="Times New Roman"/>
          <w:b/>
          <w:bCs/>
          <w:sz w:val="24"/>
          <w:szCs w:val="24"/>
        </w:rPr>
        <w:t xml:space="preserve">umber of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10A13">
        <w:rPr>
          <w:rFonts w:ascii="Times New Roman" w:hAnsi="Times New Roman" w:cs="Times New Roman"/>
          <w:b/>
          <w:bCs/>
          <w:sz w:val="24"/>
          <w:szCs w:val="24"/>
        </w:rPr>
        <w:t xml:space="preserve">ays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F10A13">
        <w:rPr>
          <w:rFonts w:ascii="Times New Roman" w:hAnsi="Times New Roman" w:cs="Times New Roman"/>
          <w:b/>
          <w:bCs/>
          <w:sz w:val="24"/>
          <w:szCs w:val="24"/>
        </w:rPr>
        <w:t xml:space="preserve">etween the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F10A13">
        <w:rPr>
          <w:rFonts w:ascii="Times New Roman" w:hAnsi="Times New Roman" w:cs="Times New Roman"/>
          <w:b/>
          <w:bCs/>
          <w:sz w:val="24"/>
          <w:szCs w:val="24"/>
        </w:rPr>
        <w:t xml:space="preserve">nset of the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F10A13">
        <w:rPr>
          <w:rFonts w:ascii="Times New Roman" w:hAnsi="Times New Roman" w:cs="Times New Roman"/>
          <w:b/>
          <w:bCs/>
          <w:sz w:val="24"/>
          <w:szCs w:val="24"/>
        </w:rPr>
        <w:t xml:space="preserve">irst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96E7C">
        <w:rPr>
          <w:rFonts w:ascii="Times New Roman" w:hAnsi="Times New Roman" w:cs="Times New Roman"/>
          <w:b/>
          <w:bCs/>
          <w:sz w:val="24"/>
          <w:szCs w:val="24"/>
        </w:rPr>
        <w:t xml:space="preserve">ntraocular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96E7C">
        <w:rPr>
          <w:rFonts w:ascii="Times New Roman" w:hAnsi="Times New Roman" w:cs="Times New Roman"/>
          <w:b/>
          <w:bCs/>
          <w:sz w:val="24"/>
          <w:szCs w:val="24"/>
        </w:rPr>
        <w:t>nflammation–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F10A13">
        <w:rPr>
          <w:rFonts w:ascii="Times New Roman" w:hAnsi="Times New Roman" w:cs="Times New Roman"/>
          <w:b/>
          <w:bCs/>
          <w:sz w:val="24"/>
          <w:szCs w:val="24"/>
        </w:rPr>
        <w:t xml:space="preserve">elated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96E7C">
        <w:rPr>
          <w:rFonts w:ascii="Times New Roman" w:hAnsi="Times New Roman" w:cs="Times New Roman"/>
          <w:b/>
          <w:bCs/>
          <w:sz w:val="24"/>
          <w:szCs w:val="24"/>
        </w:rPr>
        <w:t xml:space="preserve">dverse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796E7C">
        <w:rPr>
          <w:rFonts w:ascii="Times New Roman" w:hAnsi="Times New Roman" w:cs="Times New Roman"/>
          <w:b/>
          <w:bCs/>
          <w:sz w:val="24"/>
          <w:szCs w:val="24"/>
        </w:rPr>
        <w:t>vent</w:t>
      </w:r>
      <w:r w:rsidRPr="00F10A13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10A13">
        <w:rPr>
          <w:rFonts w:ascii="Times New Roman" w:hAnsi="Times New Roman" w:cs="Times New Roman"/>
          <w:b/>
          <w:bCs/>
          <w:sz w:val="24"/>
          <w:szCs w:val="24"/>
        </w:rPr>
        <w:t xml:space="preserve">iscontinuation </w:t>
      </w:r>
      <w:proofErr w:type="gramStart"/>
      <w:r w:rsidR="00C16127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F10A13">
        <w:rPr>
          <w:rFonts w:ascii="Times New Roman" w:hAnsi="Times New Roman" w:cs="Times New Roman"/>
          <w:b/>
          <w:bCs/>
          <w:sz w:val="24"/>
          <w:szCs w:val="24"/>
        </w:rPr>
        <w:t>rom</w:t>
      </w:r>
      <w:proofErr w:type="gramEnd"/>
      <w:r w:rsidRPr="00F10A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10A13">
        <w:rPr>
          <w:rFonts w:ascii="Times New Roman" w:hAnsi="Times New Roman" w:cs="Times New Roman"/>
          <w:b/>
          <w:bCs/>
          <w:sz w:val="24"/>
          <w:szCs w:val="24"/>
        </w:rPr>
        <w:t xml:space="preserve">tudy </w:t>
      </w:r>
      <w:r w:rsidR="00C1612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F10A13">
        <w:rPr>
          <w:rFonts w:ascii="Times New Roman" w:hAnsi="Times New Roman" w:cs="Times New Roman"/>
          <w:b/>
          <w:bCs/>
          <w:sz w:val="24"/>
          <w:szCs w:val="24"/>
        </w:rPr>
        <w:t>reatment.</w:t>
      </w:r>
      <w:r w:rsidRPr="00F10A13">
        <w:rPr>
          <w:rFonts w:ascii="Times New Roman" w:hAnsi="Times New Roman" w:cs="Times New Roman"/>
          <w:sz w:val="24"/>
          <w:szCs w:val="24"/>
        </w:rPr>
        <w:t xml:space="preserve"> The interval (days) between the onset of the first </w:t>
      </w:r>
      <w:r w:rsidR="00796E7C" w:rsidRPr="00796E7C">
        <w:rPr>
          <w:rFonts w:ascii="Times New Roman" w:hAnsi="Times New Roman" w:cs="Times New Roman"/>
          <w:sz w:val="24"/>
          <w:szCs w:val="24"/>
        </w:rPr>
        <w:t>intraocular inflammation</w:t>
      </w:r>
      <w:r w:rsidR="00796E7C">
        <w:rPr>
          <w:rFonts w:ascii="Times New Roman" w:hAnsi="Times New Roman" w:cs="Times New Roman"/>
          <w:sz w:val="24"/>
          <w:szCs w:val="24"/>
        </w:rPr>
        <w:t xml:space="preserve"> (IOI)</w:t>
      </w:r>
      <w:r w:rsidR="00796E7C" w:rsidRPr="00796E7C">
        <w:rPr>
          <w:rFonts w:ascii="Times New Roman" w:hAnsi="Times New Roman" w:cs="Times New Roman"/>
          <w:sz w:val="24"/>
          <w:szCs w:val="24"/>
        </w:rPr>
        <w:t>–</w:t>
      </w:r>
      <w:r w:rsidRPr="00F10A13">
        <w:rPr>
          <w:rFonts w:ascii="Times New Roman" w:hAnsi="Times New Roman" w:cs="Times New Roman"/>
          <w:sz w:val="24"/>
          <w:szCs w:val="24"/>
        </w:rPr>
        <w:t>related adverse event</w:t>
      </w:r>
      <w:r w:rsidR="00796E7C">
        <w:rPr>
          <w:rFonts w:ascii="Times New Roman" w:hAnsi="Times New Roman" w:cs="Times New Roman"/>
          <w:sz w:val="24"/>
          <w:szCs w:val="24"/>
        </w:rPr>
        <w:t xml:space="preserve"> (AE)</w:t>
      </w:r>
      <w:r w:rsidRPr="00F10A13">
        <w:rPr>
          <w:rFonts w:ascii="Times New Roman" w:hAnsi="Times New Roman" w:cs="Times New Roman"/>
          <w:sz w:val="24"/>
          <w:szCs w:val="24"/>
        </w:rPr>
        <w:t xml:space="preserve"> and discontinuation from the study treatment (brolucizumab 3 mg or 6 mg) in the subgroup of patients who had a definite/probable </w:t>
      </w:r>
      <w:r w:rsidR="00796E7C">
        <w:rPr>
          <w:rFonts w:ascii="Times New Roman" w:hAnsi="Times New Roman" w:cs="Times New Roman"/>
          <w:sz w:val="24"/>
          <w:szCs w:val="24"/>
        </w:rPr>
        <w:t>IOI</w:t>
      </w:r>
      <w:r w:rsidRPr="00F10A13">
        <w:rPr>
          <w:rFonts w:ascii="Times New Roman" w:hAnsi="Times New Roman" w:cs="Times New Roman"/>
          <w:sz w:val="24"/>
          <w:szCs w:val="24"/>
        </w:rPr>
        <w:t xml:space="preserve"> case </w:t>
      </w:r>
      <w:r w:rsidR="00D46059">
        <w:rPr>
          <w:rFonts w:ascii="Times New Roman" w:hAnsi="Times New Roman" w:cs="Times New Roman"/>
          <w:sz w:val="24"/>
          <w:szCs w:val="24"/>
        </w:rPr>
        <w:t>(</w:t>
      </w:r>
      <w:r w:rsidRPr="00F10A13">
        <w:rPr>
          <w:rFonts w:ascii="Times New Roman" w:hAnsi="Times New Roman" w:cs="Times New Roman"/>
          <w:sz w:val="24"/>
          <w:szCs w:val="24"/>
        </w:rPr>
        <w:t xml:space="preserve">according to the </w:t>
      </w:r>
      <w:r w:rsidR="00796E7C">
        <w:rPr>
          <w:rFonts w:ascii="Times New Roman" w:hAnsi="Times New Roman" w:cs="Times New Roman"/>
          <w:sz w:val="24"/>
          <w:szCs w:val="24"/>
        </w:rPr>
        <w:t>safety review committee</w:t>
      </w:r>
      <w:r w:rsidR="00D46059">
        <w:rPr>
          <w:rFonts w:ascii="Times New Roman" w:hAnsi="Times New Roman" w:cs="Times New Roman"/>
          <w:sz w:val="24"/>
          <w:szCs w:val="24"/>
        </w:rPr>
        <w:t>)</w:t>
      </w:r>
      <w:r w:rsidRPr="00F10A13">
        <w:rPr>
          <w:rFonts w:ascii="Times New Roman" w:hAnsi="Times New Roman" w:cs="Times New Roman"/>
          <w:sz w:val="24"/>
          <w:szCs w:val="24"/>
        </w:rPr>
        <w:t xml:space="preserve"> and discontinued the study </w:t>
      </w:r>
      <w:proofErr w:type="spellStart"/>
      <w:proofErr w:type="gramStart"/>
      <w:r w:rsidRPr="00F10A13">
        <w:rPr>
          <w:rFonts w:ascii="Times New Roman" w:hAnsi="Times New Roman" w:cs="Times New Roman"/>
          <w:sz w:val="24"/>
          <w:szCs w:val="24"/>
        </w:rPr>
        <w:t>treatment.</w:t>
      </w:r>
      <w:r w:rsidRPr="00F10A1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F10A13">
        <w:rPr>
          <w:rFonts w:ascii="Times New Roman" w:hAnsi="Times New Roman" w:cs="Times New Roman"/>
          <w:sz w:val="24"/>
          <w:szCs w:val="24"/>
          <w:vertAlign w:val="superscript"/>
        </w:rPr>
        <w:t>,b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61CC8" w:rsidRPr="00F10A13" w14:paraId="16C04D96" w14:textId="77777777" w:rsidTr="00F10A13">
        <w:tc>
          <w:tcPr>
            <w:tcW w:w="3116" w:type="dxa"/>
          </w:tcPr>
          <w:p w14:paraId="373A01E6" w14:textId="77777777" w:rsidR="00461CC8" w:rsidRPr="00340215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7679571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Patients who discontinued treatment without further IOI-related AEs after the onset date of the first IOI-related AE</w:t>
            </w:r>
          </w:p>
        </w:tc>
        <w:tc>
          <w:tcPr>
            <w:tcW w:w="3117" w:type="dxa"/>
          </w:tcPr>
          <w:p w14:paraId="6BDCF56D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Patients who discontinued treatment with ≥1 IOI-related AE after the onset date of the first IOI-related AE</w:t>
            </w:r>
          </w:p>
        </w:tc>
      </w:tr>
      <w:tr w:rsidR="00461CC8" w:rsidRPr="00F10A13" w14:paraId="5F202CBF" w14:textId="77777777" w:rsidTr="00F10A13">
        <w:tc>
          <w:tcPr>
            <w:tcW w:w="3116" w:type="dxa"/>
          </w:tcPr>
          <w:p w14:paraId="6A6D380D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Patients with at least 1 injection after the onset of the first IOI-related AE</w:t>
            </w:r>
          </w:p>
        </w:tc>
        <w:tc>
          <w:tcPr>
            <w:tcW w:w="3117" w:type="dxa"/>
          </w:tcPr>
          <w:p w14:paraId="7B0C2C47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D0B8CAB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CC8" w:rsidRPr="00F10A13" w14:paraId="5884A188" w14:textId="77777777" w:rsidTr="00F10A13">
        <w:tc>
          <w:tcPr>
            <w:tcW w:w="3116" w:type="dxa"/>
          </w:tcPr>
          <w:p w14:paraId="7061972A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117" w:type="dxa"/>
          </w:tcPr>
          <w:p w14:paraId="6AF12928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14:paraId="40C4C9F5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61CC8" w:rsidRPr="00F10A13" w14:paraId="2DE2A98D" w14:textId="77777777" w:rsidTr="00F10A13">
        <w:tc>
          <w:tcPr>
            <w:tcW w:w="3116" w:type="dxa"/>
          </w:tcPr>
          <w:p w14:paraId="7335BCF7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3117" w:type="dxa"/>
          </w:tcPr>
          <w:p w14:paraId="6F9F3269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67.0 (33.9)</w:t>
            </w:r>
          </w:p>
        </w:tc>
        <w:tc>
          <w:tcPr>
            <w:tcW w:w="3117" w:type="dxa"/>
          </w:tcPr>
          <w:p w14:paraId="495DC886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184.9 (137.0)</w:t>
            </w:r>
          </w:p>
        </w:tc>
      </w:tr>
      <w:tr w:rsidR="00461CC8" w:rsidRPr="00F10A13" w14:paraId="5F9943F3" w14:textId="77777777" w:rsidTr="00F10A13">
        <w:tc>
          <w:tcPr>
            <w:tcW w:w="3116" w:type="dxa"/>
          </w:tcPr>
          <w:p w14:paraId="6B8F5D23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3117" w:type="dxa"/>
          </w:tcPr>
          <w:p w14:paraId="75F4FC86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17" w:type="dxa"/>
          </w:tcPr>
          <w:p w14:paraId="5288A7C6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461CC8" w:rsidRPr="00F10A13" w14:paraId="62FBC0FE" w14:textId="77777777" w:rsidTr="00F10A13">
        <w:tc>
          <w:tcPr>
            <w:tcW w:w="3116" w:type="dxa"/>
          </w:tcPr>
          <w:p w14:paraId="15D0A622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Min, Max</w:t>
            </w:r>
          </w:p>
        </w:tc>
        <w:tc>
          <w:tcPr>
            <w:tcW w:w="3117" w:type="dxa"/>
          </w:tcPr>
          <w:p w14:paraId="00822C90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43, 91</w:t>
            </w:r>
          </w:p>
        </w:tc>
        <w:tc>
          <w:tcPr>
            <w:tcW w:w="3117" w:type="dxa"/>
          </w:tcPr>
          <w:p w14:paraId="1CF44B5C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61, 354</w:t>
            </w:r>
          </w:p>
        </w:tc>
      </w:tr>
      <w:tr w:rsidR="00461CC8" w:rsidRPr="00F10A13" w14:paraId="7E0A56BD" w14:textId="77777777" w:rsidTr="00F10A13">
        <w:tc>
          <w:tcPr>
            <w:tcW w:w="3116" w:type="dxa"/>
          </w:tcPr>
          <w:p w14:paraId="6F27BAEE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Q1, Q3</w:t>
            </w:r>
          </w:p>
        </w:tc>
        <w:tc>
          <w:tcPr>
            <w:tcW w:w="3117" w:type="dxa"/>
          </w:tcPr>
          <w:p w14:paraId="623B3F22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43, 91</w:t>
            </w:r>
          </w:p>
        </w:tc>
        <w:tc>
          <w:tcPr>
            <w:tcW w:w="3117" w:type="dxa"/>
          </w:tcPr>
          <w:p w14:paraId="15F1F32A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65, 343</w:t>
            </w:r>
          </w:p>
        </w:tc>
      </w:tr>
      <w:tr w:rsidR="00461CC8" w:rsidRPr="00F10A13" w14:paraId="2D2E23B5" w14:textId="77777777" w:rsidTr="00F10A13">
        <w:tc>
          <w:tcPr>
            <w:tcW w:w="3116" w:type="dxa"/>
          </w:tcPr>
          <w:p w14:paraId="6DAE919C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Patients with no injections after the onset of the first IOI-related AE</w:t>
            </w:r>
          </w:p>
        </w:tc>
        <w:tc>
          <w:tcPr>
            <w:tcW w:w="3117" w:type="dxa"/>
          </w:tcPr>
          <w:p w14:paraId="5D14FEBD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97D7640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CC8" w:rsidRPr="00F10A13" w14:paraId="3D8E06D4" w14:textId="77777777" w:rsidTr="00F10A13">
        <w:tc>
          <w:tcPr>
            <w:tcW w:w="3116" w:type="dxa"/>
          </w:tcPr>
          <w:p w14:paraId="5E1CA1E8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117" w:type="dxa"/>
          </w:tcPr>
          <w:p w14:paraId="0B7C223E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7" w:type="dxa"/>
          </w:tcPr>
          <w:p w14:paraId="343A59A6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1CC8" w:rsidRPr="00F10A13" w14:paraId="18C92CF3" w14:textId="77777777" w:rsidTr="00F10A13">
        <w:tc>
          <w:tcPr>
            <w:tcW w:w="3116" w:type="dxa"/>
          </w:tcPr>
          <w:p w14:paraId="0CA8BE79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Mean (SD)</w:t>
            </w:r>
          </w:p>
        </w:tc>
        <w:tc>
          <w:tcPr>
            <w:tcW w:w="3117" w:type="dxa"/>
          </w:tcPr>
          <w:p w14:paraId="409FD810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30.4 (28.0)</w:t>
            </w:r>
          </w:p>
        </w:tc>
        <w:tc>
          <w:tcPr>
            <w:tcW w:w="3117" w:type="dxa"/>
          </w:tcPr>
          <w:p w14:paraId="4F30A8D1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33.8 (10.5)</w:t>
            </w:r>
          </w:p>
        </w:tc>
      </w:tr>
      <w:tr w:rsidR="00461CC8" w:rsidRPr="00F10A13" w14:paraId="2FC49EE1" w14:textId="77777777" w:rsidTr="00F10A13">
        <w:tc>
          <w:tcPr>
            <w:tcW w:w="3116" w:type="dxa"/>
          </w:tcPr>
          <w:p w14:paraId="78CE23A4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3117" w:type="dxa"/>
          </w:tcPr>
          <w:p w14:paraId="173A41B8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3117" w:type="dxa"/>
          </w:tcPr>
          <w:p w14:paraId="30F7DC21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61CC8" w:rsidRPr="00F10A13" w14:paraId="6B2C88F9" w14:textId="77777777" w:rsidTr="00F10A13">
        <w:tc>
          <w:tcPr>
            <w:tcW w:w="3116" w:type="dxa"/>
          </w:tcPr>
          <w:p w14:paraId="250FDCC1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Min, Max</w:t>
            </w:r>
          </w:p>
        </w:tc>
        <w:tc>
          <w:tcPr>
            <w:tcW w:w="3117" w:type="dxa"/>
          </w:tcPr>
          <w:p w14:paraId="6C94A8BC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1, 94</w:t>
            </w:r>
          </w:p>
        </w:tc>
        <w:tc>
          <w:tcPr>
            <w:tcW w:w="3117" w:type="dxa"/>
          </w:tcPr>
          <w:p w14:paraId="1E1A1F39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22, 47</w:t>
            </w:r>
          </w:p>
        </w:tc>
      </w:tr>
      <w:tr w:rsidR="00461CC8" w:rsidRPr="00F10A13" w14:paraId="3AE80160" w14:textId="77777777" w:rsidTr="00F10A13">
        <w:tc>
          <w:tcPr>
            <w:tcW w:w="3116" w:type="dxa"/>
          </w:tcPr>
          <w:p w14:paraId="268FAC4C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Q1, Q3</w:t>
            </w:r>
          </w:p>
        </w:tc>
        <w:tc>
          <w:tcPr>
            <w:tcW w:w="3117" w:type="dxa"/>
          </w:tcPr>
          <w:p w14:paraId="70D1B28D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8, 40</w:t>
            </w:r>
          </w:p>
        </w:tc>
        <w:tc>
          <w:tcPr>
            <w:tcW w:w="3117" w:type="dxa"/>
          </w:tcPr>
          <w:p w14:paraId="37BBCE59" w14:textId="77777777" w:rsidR="00461CC8" w:rsidRPr="00F10A13" w:rsidRDefault="00461CC8" w:rsidP="00F10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13">
              <w:rPr>
                <w:rFonts w:ascii="Times New Roman" w:hAnsi="Times New Roman" w:cs="Times New Roman"/>
                <w:sz w:val="24"/>
                <w:szCs w:val="24"/>
              </w:rPr>
              <w:t>26, 41.5</w:t>
            </w:r>
          </w:p>
        </w:tc>
      </w:tr>
    </w:tbl>
    <w:p w14:paraId="71899FEE" w14:textId="476A5CFC" w:rsidR="00461CC8" w:rsidRPr="00F10A13" w:rsidRDefault="00461CC8" w:rsidP="00461CC8">
      <w:pPr>
        <w:pStyle w:val="Body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0A1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10A1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10A13">
        <w:rPr>
          <w:rFonts w:ascii="Times New Roman" w:hAnsi="Times New Roman" w:cs="Times New Roman"/>
          <w:sz w:val="24"/>
          <w:szCs w:val="24"/>
        </w:rPr>
        <w:t xml:space="preserve"> total of 26 patients discontinued the study treatment among the 50 patients with an IOI case according to the </w:t>
      </w:r>
      <w:r w:rsidR="00796E7C">
        <w:rPr>
          <w:rFonts w:ascii="Times New Roman" w:hAnsi="Times New Roman" w:cs="Times New Roman"/>
          <w:sz w:val="24"/>
          <w:szCs w:val="24"/>
        </w:rPr>
        <w:t>safety review committee</w:t>
      </w:r>
      <w:r w:rsidRPr="00F10A13">
        <w:rPr>
          <w:rFonts w:ascii="Times New Roman" w:hAnsi="Times New Roman" w:cs="Times New Roman"/>
          <w:sz w:val="24"/>
          <w:szCs w:val="24"/>
        </w:rPr>
        <w:t>.</w:t>
      </w:r>
    </w:p>
    <w:p w14:paraId="47C9686B" w14:textId="5D7FA441" w:rsidR="00461CC8" w:rsidRPr="00F10A13" w:rsidRDefault="00461CC8" w:rsidP="00461CC8">
      <w:pPr>
        <w:pStyle w:val="Body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0A1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F10A1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10A13">
        <w:rPr>
          <w:rFonts w:ascii="Times New Roman" w:hAnsi="Times New Roman" w:cs="Times New Roman"/>
          <w:sz w:val="24"/>
          <w:szCs w:val="24"/>
        </w:rPr>
        <w:t xml:space="preserve"> patient (not included in the table) discontinued the study treatment due to lack of efficacy 302 days after a single IOI-related </w:t>
      </w:r>
      <w:r w:rsidR="00D43F3A">
        <w:rPr>
          <w:rFonts w:ascii="Times New Roman" w:hAnsi="Times New Roman" w:cs="Times New Roman"/>
          <w:sz w:val="24"/>
          <w:szCs w:val="24"/>
        </w:rPr>
        <w:t>AE</w:t>
      </w:r>
      <w:r w:rsidRPr="00F10A13">
        <w:rPr>
          <w:rFonts w:ascii="Times New Roman" w:hAnsi="Times New Roman" w:cs="Times New Roman"/>
          <w:sz w:val="24"/>
          <w:szCs w:val="24"/>
        </w:rPr>
        <w:t xml:space="preserve">, with 5 injections after the onset of the IOI-related </w:t>
      </w:r>
      <w:r w:rsidR="00D43F3A">
        <w:rPr>
          <w:rFonts w:ascii="Times New Roman" w:hAnsi="Times New Roman" w:cs="Times New Roman"/>
          <w:sz w:val="24"/>
          <w:szCs w:val="24"/>
        </w:rPr>
        <w:t>AE</w:t>
      </w:r>
      <w:r w:rsidRPr="00F10A13">
        <w:rPr>
          <w:rFonts w:ascii="Times New Roman" w:hAnsi="Times New Roman" w:cs="Times New Roman"/>
          <w:sz w:val="24"/>
          <w:szCs w:val="24"/>
        </w:rPr>
        <w:t>.</w:t>
      </w:r>
    </w:p>
    <w:p w14:paraId="14B7AD8F" w14:textId="3ADCC975" w:rsidR="00461CC8" w:rsidRPr="00CC6F06" w:rsidRDefault="00461CC8" w:rsidP="00461CC8">
      <w:pPr>
        <w:pStyle w:val="Body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10A13">
        <w:rPr>
          <w:rFonts w:ascii="Times New Roman" w:hAnsi="Times New Roman" w:cs="Times New Roman"/>
          <w:sz w:val="24"/>
          <w:szCs w:val="24"/>
        </w:rPr>
        <w:t>AE = adverse event; IOI = intraocular inflammation</w:t>
      </w:r>
      <w:r w:rsidR="00796E7C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7BAAFC8D" w14:textId="77777777" w:rsidR="00872DB9" w:rsidRDefault="00872DB9"/>
    <w:sectPr w:rsidR="00872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4C529" w14:textId="77777777" w:rsidR="00C16127" w:rsidRDefault="00C16127" w:rsidP="00C16127">
      <w:pPr>
        <w:spacing w:after="0" w:line="240" w:lineRule="auto"/>
      </w:pPr>
      <w:r>
        <w:separator/>
      </w:r>
    </w:p>
  </w:endnote>
  <w:endnote w:type="continuationSeparator" w:id="0">
    <w:p w14:paraId="435F374E" w14:textId="77777777" w:rsidR="00C16127" w:rsidRDefault="00C16127" w:rsidP="00C16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F5935" w14:textId="77777777" w:rsidR="00C16127" w:rsidRDefault="00C16127" w:rsidP="00C16127">
      <w:pPr>
        <w:spacing w:after="0" w:line="240" w:lineRule="auto"/>
      </w:pPr>
      <w:r>
        <w:separator/>
      </w:r>
    </w:p>
  </w:footnote>
  <w:footnote w:type="continuationSeparator" w:id="0">
    <w:p w14:paraId="7D901F7F" w14:textId="77777777" w:rsidR="00C16127" w:rsidRDefault="00C16127" w:rsidP="00C16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C8"/>
    <w:rsid w:val="003A5F35"/>
    <w:rsid w:val="00461CC8"/>
    <w:rsid w:val="00796E7C"/>
    <w:rsid w:val="00872DB9"/>
    <w:rsid w:val="00C16127"/>
    <w:rsid w:val="00D43F3A"/>
    <w:rsid w:val="00D46059"/>
    <w:rsid w:val="00E67A5C"/>
    <w:rsid w:val="00FA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2756C2B"/>
  <w15:chartTrackingRefBased/>
  <w15:docId w15:val="{FE049046-6C6E-4B8A-B8E9-71212E4C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461C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461CC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har">
    <w:name w:val="Body Char"/>
    <w:basedOn w:val="DefaultParagraphFont"/>
    <w:link w:val="Body"/>
    <w:rsid w:val="00461CC8"/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C16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127"/>
  </w:style>
  <w:style w:type="paragraph" w:styleId="Footer">
    <w:name w:val="footer"/>
    <w:basedOn w:val="Normal"/>
    <w:link w:val="FooterChar"/>
    <w:uiPriority w:val="99"/>
    <w:unhideWhenUsed/>
    <w:rsid w:val="00C16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IMPRINT Science</dc:creator>
  <cp:keywords/>
  <dc:description/>
  <cp:lastModifiedBy>IMPRINT Science</cp:lastModifiedBy>
  <cp:revision>9</cp:revision>
  <dcterms:created xsi:type="dcterms:W3CDTF">2021-04-13T20:22:00Z</dcterms:created>
  <dcterms:modified xsi:type="dcterms:W3CDTF">2021-09-14T16:48:00Z</dcterms:modified>
</cp:coreProperties>
</file>