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0C9E" w14:textId="0085A72C" w:rsidR="000013E6" w:rsidRDefault="000013E6" w:rsidP="000013E6">
      <w:pPr>
        <w:widowControl w:val="0"/>
        <w:tabs>
          <w:tab w:val="center" w:leader="dot" w:pos="4513"/>
        </w:tabs>
        <w:spacing w:after="0" w:line="480" w:lineRule="auto"/>
        <w:jc w:val="center"/>
        <w:rPr>
          <w:rFonts w:ascii="Calibri" w:eastAsia="Batang" w:hAnsi="Calibri" w:cs="Calibri"/>
          <w:b/>
          <w:bCs/>
          <w:sz w:val="24"/>
          <w:szCs w:val="24"/>
          <w:lang w:val="en-GB" w:eastAsia="ko-KR"/>
        </w:rPr>
      </w:pPr>
      <w:r w:rsidRPr="000013E6">
        <w:rPr>
          <w:rFonts w:ascii="Calibri" w:eastAsia="Batang" w:hAnsi="Calibri" w:cs="Calibri"/>
          <w:b/>
          <w:bCs/>
          <w:sz w:val="24"/>
          <w:szCs w:val="24"/>
          <w:lang w:val="en-GB" w:eastAsia="ko-KR"/>
        </w:rPr>
        <w:t>Long-term intraocular pressure-lowering efficacy and safety of ripasudil-brimonidine fixed-dose combination for glaucoma and ocular hypertension: a multicentre, open-label, phase 3 study</w:t>
      </w:r>
    </w:p>
    <w:p w14:paraId="1B2AE6A8" w14:textId="57DF72ED" w:rsidR="000013E6" w:rsidRDefault="000013E6" w:rsidP="000013E6">
      <w:pPr>
        <w:spacing w:before="100" w:beforeAutospacing="1" w:after="100" w:afterAutospacing="1"/>
        <w:jc w:val="center"/>
        <w:rPr>
          <w:b/>
          <w:bCs/>
          <w:i/>
          <w:iCs/>
          <w:sz w:val="24"/>
          <w:szCs w:val="24"/>
        </w:rPr>
      </w:pPr>
      <w:r w:rsidRPr="000013E6">
        <w:rPr>
          <w:b/>
          <w:bCs/>
          <w:i/>
          <w:iCs/>
          <w:sz w:val="24"/>
          <w:szCs w:val="24"/>
        </w:rPr>
        <w:t>Graefe's Archive for Clinical and Experimental Ophthalmology</w:t>
      </w:r>
    </w:p>
    <w:p w14:paraId="226AE527" w14:textId="44624404" w:rsidR="000013E6" w:rsidRPr="000013E6" w:rsidRDefault="000013E6" w:rsidP="000013E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Online Resource 1</w:t>
      </w:r>
    </w:p>
    <w:p w14:paraId="0098E856" w14:textId="07BEF25A" w:rsidR="000013E6" w:rsidRPr="000013E6" w:rsidRDefault="000013E6" w:rsidP="000013E6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Batang" w:hAnsi="Calibri" w:cs="Calibri"/>
          <w:szCs w:val="24"/>
          <w:lang w:val="en-GB" w:eastAsia="ko-KR"/>
        </w:rPr>
      </w:pPr>
      <w:r w:rsidRPr="000013E6">
        <w:rPr>
          <w:rFonts w:ascii="Calibri" w:eastAsia="Batang" w:hAnsi="Calibri" w:cs="Calibri"/>
          <w:b/>
          <w:szCs w:val="24"/>
          <w:lang w:val="en-GB" w:eastAsia="ko-KR"/>
        </w:rPr>
        <w:t>Authors:</w:t>
      </w:r>
      <w:r w:rsidRPr="000013E6">
        <w:rPr>
          <w:rFonts w:ascii="Calibri" w:eastAsia="Batang" w:hAnsi="Calibri" w:cs="Calibri"/>
          <w:szCs w:val="24"/>
          <w:lang w:val="en-GB" w:eastAsia="ko-KR"/>
        </w:rPr>
        <w:t xml:space="preserve"> Hidenobu Tanihara, Tetsuya Yamamoto, Makoto Aihara, Noriko Koizumi, Atsuki Fukushima, Koji Kawakita, Satoshi Kojima, Toka Nakamura, Hideki </w:t>
      </w:r>
      <w:proofErr w:type="spellStart"/>
      <w:r w:rsidRPr="000013E6">
        <w:rPr>
          <w:rFonts w:ascii="Calibri" w:eastAsia="Batang" w:hAnsi="Calibri" w:cs="Calibri"/>
          <w:szCs w:val="24"/>
          <w:lang w:val="en-GB" w:eastAsia="ko-KR"/>
        </w:rPr>
        <w:t>Suganami</w:t>
      </w:r>
      <w:proofErr w:type="spellEnd"/>
      <w:r w:rsidRPr="000013E6">
        <w:rPr>
          <w:rFonts w:ascii="Calibri" w:eastAsia="Batang" w:hAnsi="Calibri" w:cs="Calibri"/>
          <w:szCs w:val="24"/>
          <w:lang w:val="en-GB" w:eastAsia="ko-KR"/>
        </w:rPr>
        <w:t>, K-232 Clinical Study Group*</w:t>
      </w:r>
    </w:p>
    <w:p w14:paraId="0515E40B" w14:textId="77777777" w:rsidR="000013E6" w:rsidRPr="000013E6" w:rsidRDefault="000013E6" w:rsidP="000013E6">
      <w:pPr>
        <w:widowControl w:val="0"/>
        <w:tabs>
          <w:tab w:val="center" w:leader="dot" w:pos="4513"/>
        </w:tabs>
        <w:spacing w:after="100" w:afterAutospacing="1" w:line="480" w:lineRule="auto"/>
        <w:rPr>
          <w:rFonts w:ascii="Calibri" w:eastAsia="Batang" w:hAnsi="Calibri" w:cs="Calibri"/>
          <w:b/>
          <w:szCs w:val="24"/>
          <w:lang w:val="en-GB" w:eastAsia="ko-KR"/>
        </w:rPr>
      </w:pPr>
      <w:r w:rsidRPr="000013E6">
        <w:rPr>
          <w:rFonts w:ascii="Calibri" w:eastAsia="Batang" w:hAnsi="Calibri" w:cs="Calibri"/>
          <w:szCs w:val="24"/>
          <w:lang w:val="en-GB" w:eastAsia="ko-KR"/>
        </w:rPr>
        <w:t>*K-232 Clinical Study Group members are listed in Appendix 1</w:t>
      </w:r>
    </w:p>
    <w:p w14:paraId="2325A1BC" w14:textId="56B53380" w:rsidR="000013E6" w:rsidRPr="000013E6" w:rsidRDefault="000013E6" w:rsidP="000013E6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Batang" w:hAnsi="Calibri" w:cs="Calibri"/>
          <w:b/>
          <w:bCs/>
          <w:iCs/>
          <w:szCs w:val="24"/>
          <w:lang w:val="en-GB" w:eastAsia="ko-KR"/>
        </w:rPr>
      </w:pPr>
      <w:r w:rsidRPr="000013E6">
        <w:rPr>
          <w:rFonts w:ascii="Calibri" w:eastAsia="Batang" w:hAnsi="Calibri" w:cs="Calibri"/>
          <w:b/>
          <w:szCs w:val="24"/>
          <w:lang w:val="en-GB" w:eastAsia="ko-KR"/>
        </w:rPr>
        <w:t xml:space="preserve">Corresponding author: </w:t>
      </w:r>
      <w:r w:rsidRPr="000013E6">
        <w:rPr>
          <w:rFonts w:ascii="Calibri" w:eastAsia="Batang" w:hAnsi="Calibri" w:cs="Calibri"/>
          <w:szCs w:val="24"/>
          <w:lang w:val="en-GB" w:eastAsia="ko-KR"/>
        </w:rPr>
        <w:t>Hidenobu Tanihara</w:t>
      </w:r>
    </w:p>
    <w:p w14:paraId="01BC044B" w14:textId="33B49569" w:rsidR="009D6558" w:rsidRDefault="000013E6" w:rsidP="000013E6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Batang" w:hAnsi="Calibri" w:cs="Calibri"/>
          <w:szCs w:val="24"/>
          <w:lang w:val="en-GB" w:eastAsia="ko-KR"/>
        </w:rPr>
      </w:pPr>
      <w:r w:rsidRPr="000013E6">
        <w:rPr>
          <w:rFonts w:ascii="Calibri" w:eastAsia="Batang" w:hAnsi="Calibri" w:cs="Calibri"/>
          <w:szCs w:val="24"/>
          <w:lang w:val="en-GB" w:eastAsia="ko-KR"/>
        </w:rPr>
        <w:t xml:space="preserve">Department of Ophthalmology, </w:t>
      </w:r>
      <w:proofErr w:type="spellStart"/>
      <w:r w:rsidRPr="000013E6">
        <w:rPr>
          <w:rFonts w:ascii="Calibri" w:eastAsia="Batang" w:hAnsi="Calibri" w:cs="Calibri"/>
          <w:szCs w:val="24"/>
          <w:lang w:val="en-GB" w:eastAsia="ko-KR"/>
        </w:rPr>
        <w:t>Biei</w:t>
      </w:r>
      <w:proofErr w:type="spellEnd"/>
      <w:r w:rsidRPr="000013E6">
        <w:rPr>
          <w:rFonts w:ascii="Calibri" w:eastAsia="Batang" w:hAnsi="Calibri" w:cs="Calibri"/>
          <w:szCs w:val="24"/>
          <w:lang w:val="en-GB" w:eastAsia="ko-KR"/>
        </w:rPr>
        <w:t xml:space="preserve"> Municipal Hospital</w:t>
      </w:r>
    </w:p>
    <w:p w14:paraId="75BA73C6" w14:textId="31D4B51D" w:rsidR="000013E6" w:rsidRPr="000013E6" w:rsidRDefault="000013E6" w:rsidP="000013E6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Batang" w:hAnsi="Calibri" w:cs="Calibri"/>
          <w:szCs w:val="24"/>
          <w:lang w:val="en-GB" w:eastAsia="ko-KR"/>
        </w:rPr>
      </w:pPr>
      <w:r w:rsidRPr="000013E6">
        <w:rPr>
          <w:rFonts w:ascii="Calibri" w:eastAsia="Batang" w:hAnsi="Calibri" w:cs="Calibri"/>
          <w:szCs w:val="24"/>
          <w:lang w:val="en-GB" w:eastAsia="ko-KR"/>
        </w:rPr>
        <w:t xml:space="preserve">3-8-35 Naka-machi, </w:t>
      </w:r>
      <w:proofErr w:type="spellStart"/>
      <w:r w:rsidRPr="000013E6">
        <w:rPr>
          <w:rFonts w:ascii="Calibri" w:eastAsia="Batang" w:hAnsi="Calibri" w:cs="Calibri"/>
          <w:szCs w:val="24"/>
          <w:lang w:val="en-GB" w:eastAsia="ko-KR"/>
        </w:rPr>
        <w:t>Biei</w:t>
      </w:r>
      <w:proofErr w:type="spellEnd"/>
      <w:r w:rsidRPr="000013E6">
        <w:rPr>
          <w:rFonts w:ascii="Calibri" w:eastAsia="Batang" w:hAnsi="Calibri" w:cs="Calibri"/>
          <w:szCs w:val="24"/>
          <w:lang w:val="en-GB" w:eastAsia="ko-KR"/>
        </w:rPr>
        <w:t xml:space="preserve"> Town, Kamikawa-gun, Hokkaido 071-0207, Japan</w:t>
      </w:r>
    </w:p>
    <w:p w14:paraId="0CF861E7" w14:textId="45EB1289" w:rsidR="000013E6" w:rsidRPr="000013E6" w:rsidRDefault="000013E6" w:rsidP="000013E6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Batang" w:hAnsi="Calibri" w:cs="Calibri"/>
          <w:szCs w:val="24"/>
          <w:lang w:val="en-GB" w:eastAsia="ko-KR"/>
        </w:rPr>
      </w:pPr>
      <w:r w:rsidRPr="005E48EB">
        <w:rPr>
          <w:rFonts w:ascii="Calibri" w:eastAsia="Batang" w:hAnsi="Calibri" w:cs="Calibri"/>
          <w:szCs w:val="24"/>
          <w:lang w:val="en-GB" w:eastAsia="ko-KR"/>
        </w:rPr>
        <w:t>Email:</w:t>
      </w:r>
      <w:r w:rsidRPr="000013E6">
        <w:rPr>
          <w:rFonts w:ascii="Calibri" w:eastAsia="Batang" w:hAnsi="Calibri" w:cs="Calibri"/>
          <w:szCs w:val="24"/>
          <w:lang w:val="en-GB" w:eastAsia="ko-KR"/>
        </w:rPr>
        <w:t xml:space="preserve"> </w:t>
      </w:r>
      <w:hyperlink r:id="rId7" w:history="1">
        <w:r w:rsidRPr="000013E6">
          <w:rPr>
            <w:rFonts w:ascii="Calibri" w:eastAsia="Batang" w:hAnsi="Calibri" w:cs="Calibri"/>
            <w:color w:val="0563C1"/>
            <w:szCs w:val="24"/>
            <w:u w:val="single"/>
            <w:lang w:val="en-GB" w:eastAsia="ko-KR"/>
          </w:rPr>
          <w:t>tanihara@pearl.ocn.ne.jp</w:t>
        </w:r>
      </w:hyperlink>
    </w:p>
    <w:p w14:paraId="666797C0" w14:textId="3DBC857C" w:rsidR="00724664" w:rsidRDefault="00724664">
      <w:r>
        <w:br w:type="page"/>
      </w:r>
    </w:p>
    <w:p w14:paraId="1585E659" w14:textId="3756042C" w:rsidR="00B36C01" w:rsidRPr="00B36C01" w:rsidRDefault="00B36C01" w:rsidP="00B36C01">
      <w:pPr>
        <w:keepNext/>
        <w:widowControl w:val="0"/>
        <w:spacing w:before="100" w:beforeAutospacing="1" w:after="100" w:afterAutospacing="1" w:line="480" w:lineRule="auto"/>
        <w:outlineLvl w:val="1"/>
        <w:rPr>
          <w:rFonts w:ascii="Calibri" w:eastAsia="Batang" w:hAnsi="Calibri" w:cs="Calibri"/>
          <w:szCs w:val="24"/>
          <w:lang w:val="en-GB" w:eastAsia="ko-KR"/>
        </w:rPr>
      </w:pPr>
      <w:r>
        <w:rPr>
          <w:rFonts w:ascii="Calibri" w:eastAsia="Batang" w:hAnsi="Calibri" w:cs="Calibri"/>
          <w:b/>
          <w:bCs/>
          <w:szCs w:val="24"/>
          <w:lang w:val="en-GB" w:eastAsia="ja-JP"/>
        </w:rPr>
        <w:lastRenderedPageBreak/>
        <w:t xml:space="preserve">Supplementary </w:t>
      </w:r>
      <w:r w:rsidRPr="00B36C01">
        <w:rPr>
          <w:rFonts w:ascii="Calibri" w:eastAsia="Batang" w:hAnsi="Calibri" w:cs="Calibri"/>
          <w:b/>
          <w:bCs/>
          <w:szCs w:val="24"/>
          <w:lang w:val="en-GB" w:eastAsia="ko-KR"/>
        </w:rPr>
        <w:t>T</w:t>
      </w:r>
      <w:r>
        <w:rPr>
          <w:rFonts w:ascii="Calibri" w:eastAsia="Batang" w:hAnsi="Calibri" w:cs="Calibri"/>
          <w:b/>
          <w:bCs/>
          <w:szCs w:val="24"/>
          <w:lang w:val="en-GB" w:eastAsia="ko-KR"/>
        </w:rPr>
        <w:t xml:space="preserve">able </w:t>
      </w:r>
      <w:r w:rsidRPr="00B36C01">
        <w:rPr>
          <w:rFonts w:ascii="Calibri" w:eastAsia="Batang" w:hAnsi="Calibri" w:cs="Calibri"/>
          <w:b/>
          <w:bCs/>
          <w:szCs w:val="24"/>
          <w:lang w:val="en-GB" w:eastAsia="ko-KR"/>
        </w:rPr>
        <w:t xml:space="preserve">S1 </w:t>
      </w:r>
      <w:r w:rsidRPr="00B36C01">
        <w:rPr>
          <w:rFonts w:ascii="Calibri" w:eastAsia="Batang" w:hAnsi="Calibri" w:cs="Calibri"/>
          <w:szCs w:val="24"/>
          <w:lang w:val="en-GB" w:eastAsia="ko-KR"/>
        </w:rPr>
        <w:t>Study inclusion and exclusion criteria</w:t>
      </w:r>
    </w:p>
    <w:tbl>
      <w:tblPr>
        <w:tblStyle w:val="a8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B36C01" w:rsidRPr="00B36C01" w14:paraId="2D901EBB" w14:textId="77777777" w:rsidTr="000776F7">
        <w:tc>
          <w:tcPr>
            <w:tcW w:w="9017" w:type="dxa"/>
          </w:tcPr>
          <w:p w14:paraId="4CE2A2E6" w14:textId="77777777" w:rsidR="00B36C01" w:rsidRPr="00B36C01" w:rsidRDefault="00B36C01" w:rsidP="005E48EB">
            <w:pPr>
              <w:spacing w:after="0" w:line="276" w:lineRule="auto"/>
              <w:rPr>
                <w:rFonts w:ascii="Calibri" w:hAnsi="Calibri" w:cs="Calibri"/>
                <w:b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b/>
                <w:szCs w:val="24"/>
                <w:lang w:val="en-GB" w:eastAsia="ko-KR"/>
              </w:rPr>
              <w:t>Inclusion criteria</w:t>
            </w:r>
          </w:p>
        </w:tc>
      </w:tr>
      <w:tr w:rsidR="00B36C01" w:rsidRPr="00B36C01" w14:paraId="08EF7B02" w14:textId="77777777" w:rsidTr="000776F7">
        <w:tc>
          <w:tcPr>
            <w:tcW w:w="9017" w:type="dxa"/>
          </w:tcPr>
          <w:p w14:paraId="0CF7C939" w14:textId="77777777" w:rsidR="00B36C01" w:rsidRPr="00B36C01" w:rsidRDefault="00B36C01" w:rsidP="005E48EB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lang w:val="en-GB" w:eastAsia="ko-KR"/>
              </w:rPr>
            </w:pPr>
            <w:r w:rsidRPr="00B36C01">
              <w:rPr>
                <w:rFonts w:ascii="Calibri" w:hAnsi="Calibri" w:cs="Calibri"/>
                <w:lang w:val="en-GB" w:eastAsia="ko-KR"/>
              </w:rPr>
              <w:t>Patients with POAG, OHT, EXG or pigmentary glaucoma</w:t>
            </w:r>
          </w:p>
          <w:p w14:paraId="18EF48A8" w14:textId="79F3B368" w:rsidR="00B36C01" w:rsidRPr="00B36C01" w:rsidRDefault="00B36C01" w:rsidP="005E48EB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Aged ≥</w:t>
            </w:r>
            <w:r w:rsidR="009D6558">
              <w:rPr>
                <w:rFonts w:ascii="Calibri" w:hAnsi="Calibri" w:cs="Calibri"/>
                <w:szCs w:val="24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20 years at the time of providing consent</w:t>
            </w:r>
          </w:p>
          <w:p w14:paraId="2EC30A4F" w14:textId="77777777" w:rsidR="00B36C01" w:rsidRPr="00B36C01" w:rsidRDefault="00B36C01" w:rsidP="005E48EB">
            <w:pPr>
              <w:numPr>
                <w:ilvl w:val="0"/>
                <w:numId w:val="1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 xml:space="preserve">IOP at 9:00 on day 1 of the treatment </w:t>
            </w:r>
            <w:proofErr w:type="spellStart"/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period</w:t>
            </w:r>
            <w:r w:rsidRPr="00B36C01">
              <w:rPr>
                <w:rFonts w:ascii="Calibri" w:hAnsi="Calibri" w:cs="Calibri"/>
                <w:szCs w:val="24"/>
                <w:vertAlign w:val="superscript"/>
                <w:lang w:val="en-GB" w:eastAsia="ko-KR"/>
              </w:rPr>
              <w:t>a</w:t>
            </w:r>
            <w:proofErr w:type="spellEnd"/>
            <w:r w:rsidRPr="00B36C01">
              <w:rPr>
                <w:rFonts w:ascii="Calibri" w:hAnsi="Calibri" w:cs="Calibri"/>
                <w:szCs w:val="24"/>
                <w:lang w:val="en-GB" w:eastAsia="ko-KR"/>
              </w:rPr>
              <w:t xml:space="preserve"> met the following conditions:</w:t>
            </w:r>
          </w:p>
          <w:p w14:paraId="0B6F31CC" w14:textId="153698CA" w:rsidR="00B36C01" w:rsidRPr="00B36C01" w:rsidRDefault="00B36C01" w:rsidP="005E48EB">
            <w:pPr>
              <w:numPr>
                <w:ilvl w:val="1"/>
                <w:numId w:val="1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lang w:val="en-GB" w:eastAsia="ko-KR"/>
              </w:rPr>
            </w:pPr>
            <w:r w:rsidRPr="00B36C01">
              <w:rPr>
                <w:rFonts w:ascii="Calibri" w:hAnsi="Calibri" w:cs="Calibri"/>
                <w:lang w:val="en-GB" w:eastAsia="ko-KR"/>
              </w:rPr>
              <w:t>IOP ≥</w:t>
            </w:r>
            <w:r w:rsidR="009D6558">
              <w:rPr>
                <w:rFonts w:ascii="Calibri" w:hAnsi="Calibri" w:cs="Calibri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lang w:val="en-GB" w:eastAsia="ko-KR"/>
              </w:rPr>
              <w:t>15 mmHg in one eye diagnosed with POAG, OHT, EXG or pigmentary glaucoma</w:t>
            </w:r>
          </w:p>
          <w:p w14:paraId="43D62252" w14:textId="6A904889" w:rsidR="00B36C01" w:rsidRPr="00B36C01" w:rsidRDefault="00B36C01" w:rsidP="005E48EB">
            <w:pPr>
              <w:numPr>
                <w:ilvl w:val="1"/>
                <w:numId w:val="1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IOP &lt;</w:t>
            </w:r>
            <w:r w:rsidR="009D6558">
              <w:rPr>
                <w:rFonts w:ascii="Calibri" w:hAnsi="Calibri" w:cs="Calibri"/>
                <w:szCs w:val="24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35 mmHg in both eyes</w:t>
            </w:r>
          </w:p>
        </w:tc>
      </w:tr>
      <w:tr w:rsidR="00B36C01" w:rsidRPr="00B36C01" w14:paraId="761C931C" w14:textId="77777777" w:rsidTr="000776F7">
        <w:tc>
          <w:tcPr>
            <w:tcW w:w="9017" w:type="dxa"/>
            <w:tcBorders>
              <w:top w:val="single" w:sz="4" w:space="0" w:color="auto"/>
              <w:bottom w:val="nil"/>
            </w:tcBorders>
          </w:tcPr>
          <w:p w14:paraId="664EBFAF" w14:textId="77777777" w:rsidR="00B36C01" w:rsidRPr="00B36C01" w:rsidRDefault="00B36C01" w:rsidP="005E48EB">
            <w:pPr>
              <w:spacing w:after="0" w:line="276" w:lineRule="auto"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b/>
                <w:szCs w:val="24"/>
                <w:lang w:val="en-GB" w:eastAsia="ko-KR"/>
              </w:rPr>
              <w:t>Exclusion criteria</w:t>
            </w:r>
          </w:p>
        </w:tc>
      </w:tr>
      <w:tr w:rsidR="00B36C01" w:rsidRPr="00B36C01" w14:paraId="30816377" w14:textId="77777777" w:rsidTr="000776F7">
        <w:tc>
          <w:tcPr>
            <w:tcW w:w="9017" w:type="dxa"/>
          </w:tcPr>
          <w:p w14:paraId="414480A6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lang w:val="en-GB" w:eastAsia="ko-KR"/>
              </w:rPr>
            </w:pPr>
            <w:r w:rsidRPr="00B36C01">
              <w:rPr>
                <w:rFonts w:ascii="Calibri" w:hAnsi="Calibri" w:cs="Calibri"/>
                <w:lang w:val="en-GB" w:eastAsia="ko-KR"/>
              </w:rPr>
              <w:t>Patients who have difficulty measuring the IOP with a Goldmann applanation tonometer</w:t>
            </w:r>
          </w:p>
          <w:p w14:paraId="7C08344C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narrow angle closure in either eye (Shaffer classification grade 0–2) at the start of the screening period</w:t>
            </w:r>
          </w:p>
          <w:p w14:paraId="61CB3933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BCVA 20/70 or worse in either eye at the start of the screening and treatment periods</w:t>
            </w:r>
          </w:p>
          <w:p w14:paraId="4C5E4174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 xml:space="preserve">Patients with severe visual field impairment in either eye </w:t>
            </w:r>
            <w:proofErr w:type="gramStart"/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and</w:t>
            </w:r>
            <w:proofErr w:type="gramEnd"/>
            <w:r w:rsidRPr="00B36C01">
              <w:rPr>
                <w:rFonts w:ascii="Calibri" w:hAnsi="Calibri" w:cs="Calibri"/>
                <w:szCs w:val="24"/>
                <w:lang w:val="en-GB" w:eastAsia="ko-KR"/>
              </w:rPr>
              <w:t xml:space="preserve"> judged by the investigator to be unsuitable for study participation</w:t>
            </w:r>
          </w:p>
          <w:p w14:paraId="5701D682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retinal disease that may cause worsening of symptoms in any eye during the study</w:t>
            </w:r>
          </w:p>
          <w:p w14:paraId="7C8F0B1F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Previous ophthalmic surgery or laser treatment in any eye before the start of the screening period, except for:</w:t>
            </w:r>
          </w:p>
          <w:p w14:paraId="16AA928F" w14:textId="38B10FF9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Retinal photocoagulation or YAG laser posterior capsulotomy ≥</w:t>
            </w:r>
            <w:r w:rsidR="009D6558">
              <w:rPr>
                <w:rFonts w:ascii="Calibri" w:hAnsi="Calibri" w:cs="Calibri"/>
                <w:szCs w:val="24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90 days before the start of the screening period</w:t>
            </w:r>
          </w:p>
          <w:p w14:paraId="28C539D0" w14:textId="3C3B90BA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Surgery on the eyelid ≥</w:t>
            </w:r>
            <w:r w:rsidR="009D6558">
              <w:rPr>
                <w:rFonts w:ascii="Calibri" w:hAnsi="Calibri" w:cs="Calibri"/>
                <w:szCs w:val="24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120 days before the start of the screening period</w:t>
            </w:r>
          </w:p>
          <w:p w14:paraId="3147AD71" w14:textId="542C0B0F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Cataract surgery ≥</w:t>
            </w:r>
            <w:r w:rsidR="009D6558">
              <w:rPr>
                <w:rFonts w:ascii="Calibri" w:hAnsi="Calibri" w:cs="Calibri"/>
                <w:szCs w:val="24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1 year before the start of the screening period</w:t>
            </w:r>
          </w:p>
          <w:p w14:paraId="25D58977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for whom the following prohibited use or treatments is planned during the screening and treatment periods:</w:t>
            </w:r>
          </w:p>
          <w:p w14:paraId="0C0763AA" w14:textId="77777777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Use of drugs to treat glaucoma or ocular hypertension (except for permitted concomitant agents specified for each cohort)</w:t>
            </w:r>
          </w:p>
          <w:p w14:paraId="12872489" w14:textId="77777777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Any ophthalmic surgery or laser treatment</w:t>
            </w:r>
          </w:p>
          <w:p w14:paraId="659162F3" w14:textId="77777777" w:rsidR="00B36C01" w:rsidRPr="00B36C01" w:rsidRDefault="00B36C01" w:rsidP="005E48EB">
            <w:pPr>
              <w:numPr>
                <w:ilvl w:val="1"/>
                <w:numId w:val="2"/>
              </w:numPr>
              <w:spacing w:before="100" w:beforeAutospacing="1" w:after="0" w:afterAutospacing="1" w:line="276" w:lineRule="auto"/>
              <w:ind w:left="884" w:hanging="425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Use of contact lenses</w:t>
            </w:r>
          </w:p>
          <w:p w14:paraId="158DF38C" w14:textId="7BBE8EE8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lang w:val="en-GB" w:eastAsia="ko-KR"/>
              </w:rPr>
            </w:pPr>
            <w:r w:rsidRPr="00B36C01">
              <w:rPr>
                <w:rFonts w:ascii="Calibri" w:hAnsi="Calibri" w:cs="Calibri"/>
                <w:lang w:val="en-GB" w:eastAsia="ko-KR"/>
              </w:rPr>
              <w:t>Patients who have received intravitreal, Tenon's capsule or subconjunctival steroids in any eye ≤</w:t>
            </w:r>
            <w:r w:rsidR="009D6558">
              <w:rPr>
                <w:rFonts w:ascii="Calibri" w:hAnsi="Calibri" w:cs="Calibri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lang w:val="en-GB" w:eastAsia="ko-KR"/>
              </w:rPr>
              <w:t>180 days before the start of the treatment period</w:t>
            </w:r>
          </w:p>
          <w:p w14:paraId="01C51196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contraindications to concomitant agent(s) specified for their assigned cohort</w:t>
            </w:r>
          </w:p>
          <w:p w14:paraId="0040652A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circulatory insufficiency such as cerebrovascular disorder, orthostatic hypotension or cardiovascular disease, and judged unsuitable to participate by the investigator</w:t>
            </w:r>
          </w:p>
          <w:p w14:paraId="41759C2E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a history of hypersensitivity to ingredients of ripasudil 0.4% or brimonidine 0.1% ophthalmic solutions</w:t>
            </w:r>
          </w:p>
          <w:p w14:paraId="57F569B8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with a history of shock or anaphylaxis as drug hypersensitivity</w:t>
            </w:r>
          </w:p>
          <w:p w14:paraId="7CE59FB1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who are pregnant, lactating or currently seeking pregnancy</w:t>
            </w:r>
          </w:p>
          <w:p w14:paraId="102C4011" w14:textId="587D571C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lang w:val="en-GB" w:eastAsia="ko-KR"/>
              </w:rPr>
            </w:pPr>
            <w:r w:rsidRPr="00B36C01">
              <w:rPr>
                <w:rFonts w:ascii="Calibri" w:hAnsi="Calibri" w:cs="Calibri"/>
                <w:lang w:val="en-GB" w:eastAsia="ko-KR"/>
              </w:rPr>
              <w:t>Patients who have participated in another clinical study or clinical study ≤</w:t>
            </w:r>
            <w:r w:rsidR="009D6558">
              <w:rPr>
                <w:rFonts w:ascii="Calibri" w:hAnsi="Calibri" w:cs="Calibri"/>
                <w:lang w:val="en-GB" w:eastAsia="ko-KR"/>
              </w:rPr>
              <w:t xml:space="preserve"> </w:t>
            </w:r>
            <w:r w:rsidRPr="00B36C01">
              <w:rPr>
                <w:rFonts w:ascii="Calibri" w:hAnsi="Calibri" w:cs="Calibri"/>
                <w:lang w:val="en-GB" w:eastAsia="ko-KR"/>
              </w:rPr>
              <w:t>30 days before the start of the screening period, or who participate in another trial at the same time as the present study</w:t>
            </w:r>
          </w:p>
          <w:p w14:paraId="0CA27BE9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who have previously received RBFC eye drops at any time</w:t>
            </w:r>
          </w:p>
          <w:p w14:paraId="507841CE" w14:textId="77777777" w:rsidR="00B36C01" w:rsidRPr="00B36C01" w:rsidRDefault="00B36C01" w:rsidP="005E48EB">
            <w:pPr>
              <w:numPr>
                <w:ilvl w:val="0"/>
                <w:numId w:val="2"/>
              </w:numPr>
              <w:spacing w:before="100" w:beforeAutospacing="1" w:after="0" w:afterAutospacing="1" w:line="276" w:lineRule="auto"/>
              <w:contextualSpacing/>
              <w:rPr>
                <w:rFonts w:ascii="Calibri" w:hAnsi="Calibri" w:cs="Calibri"/>
                <w:szCs w:val="24"/>
                <w:lang w:val="en-GB" w:eastAsia="ko-KR"/>
              </w:rPr>
            </w:pPr>
            <w:r w:rsidRPr="00B36C01">
              <w:rPr>
                <w:rFonts w:ascii="Calibri" w:hAnsi="Calibri" w:cs="Calibri"/>
                <w:szCs w:val="24"/>
                <w:lang w:val="en-GB" w:eastAsia="ko-KR"/>
              </w:rPr>
              <w:t>Patients deemed otherwise unsuitable for study participation by the investigator</w:t>
            </w:r>
          </w:p>
        </w:tc>
      </w:tr>
    </w:tbl>
    <w:p w14:paraId="6ED187B9" w14:textId="77777777" w:rsidR="00B36C01" w:rsidRPr="00B36C01" w:rsidRDefault="00B36C01" w:rsidP="00B36C01">
      <w:pPr>
        <w:widowControl w:val="0"/>
        <w:spacing w:after="0" w:line="240" w:lineRule="auto"/>
        <w:rPr>
          <w:rFonts w:ascii="Calibri" w:eastAsia="Batang" w:hAnsi="Calibri" w:cs="Calibri"/>
          <w:sz w:val="20"/>
          <w:szCs w:val="20"/>
          <w:lang w:val="en-GB" w:eastAsia="ko-KR"/>
        </w:rPr>
      </w:pPr>
    </w:p>
    <w:p w14:paraId="7750A696" w14:textId="5FD84B87" w:rsidR="00B36C01" w:rsidRPr="005E48EB" w:rsidRDefault="00B36C01" w:rsidP="005E48EB">
      <w:pPr>
        <w:widowControl w:val="0"/>
        <w:spacing w:after="0" w:line="276" w:lineRule="auto"/>
        <w:rPr>
          <w:rFonts w:ascii="Calibri" w:eastAsia="Batang" w:hAnsi="Calibri" w:cs="Calibri"/>
          <w:sz w:val="20"/>
          <w:szCs w:val="20"/>
          <w:lang w:val="en-GB" w:eastAsia="ko-KR"/>
        </w:rPr>
      </w:pP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>BCVA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B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>est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-corrected visual acuity,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 xml:space="preserve">EXG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E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xfoliative 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glaucoma,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 xml:space="preserve">IOP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I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ntraocular 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pressure,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>OHT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O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cular 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hypertension,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 xml:space="preserve">POAG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P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rimary 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open-angle glaucoma,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 xml:space="preserve">RBFC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R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>ipasudil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-brimonidine fixed-dose combination, </w:t>
      </w:r>
      <w:r w:rsidRPr="005E48EB">
        <w:rPr>
          <w:rFonts w:ascii="Calibri" w:eastAsia="Batang" w:hAnsi="Calibri" w:cs="Calibri"/>
          <w:i/>
          <w:iCs/>
          <w:sz w:val="20"/>
          <w:szCs w:val="20"/>
          <w:lang w:val="en-GB" w:eastAsia="ko-KR"/>
        </w:rPr>
        <w:t>YAG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szCs w:val="20"/>
          <w:lang w:val="en-GB" w:eastAsia="ko-KR"/>
        </w:rPr>
        <w:t>Y</w:t>
      </w:r>
      <w:r w:rsidR="000A0B98"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ttrium 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>aluminium garnet.</w:t>
      </w:r>
    </w:p>
    <w:p w14:paraId="6C13B55C" w14:textId="77777777" w:rsidR="00B36C01" w:rsidRPr="005E48EB" w:rsidRDefault="00B36C01" w:rsidP="005E48EB">
      <w:pPr>
        <w:widowControl w:val="0"/>
        <w:spacing w:after="0" w:line="276" w:lineRule="auto"/>
        <w:rPr>
          <w:sz w:val="20"/>
          <w:szCs w:val="20"/>
          <w:lang w:val="en-GB"/>
        </w:rPr>
      </w:pPr>
      <w:proofErr w:type="spellStart"/>
      <w:r w:rsidRPr="005E48EB">
        <w:rPr>
          <w:rFonts w:ascii="Calibri" w:eastAsia="Batang" w:hAnsi="Calibri" w:cs="Calibri"/>
          <w:sz w:val="20"/>
          <w:szCs w:val="20"/>
          <w:vertAlign w:val="superscript"/>
          <w:lang w:val="en-GB" w:eastAsia="ko-KR"/>
        </w:rPr>
        <w:t>a</w:t>
      </w:r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>IOP</w:t>
      </w:r>
      <w:proofErr w:type="spellEnd"/>
      <w:r w:rsidRPr="005E48EB">
        <w:rPr>
          <w:rFonts w:ascii="Calibri" w:eastAsia="Batang" w:hAnsi="Calibri" w:cs="Calibri"/>
          <w:sz w:val="20"/>
          <w:szCs w:val="20"/>
          <w:lang w:val="en-GB" w:eastAsia="ko-KR"/>
        </w:rPr>
        <w:t xml:space="preserve"> used to determine eligibility was measured before the initiation of RBFC and based on the median of 2–3 readings for each eye.</w:t>
      </w:r>
    </w:p>
    <w:p w14:paraId="0E6E0E3D" w14:textId="490E2FA4" w:rsidR="003F3F9A" w:rsidRDefault="003F3F9A">
      <w:pPr>
        <w:rPr>
          <w:rFonts w:ascii="Calibri" w:eastAsia="Batang" w:hAnsi="Calibri" w:cs="Calibri"/>
          <w:szCs w:val="24"/>
          <w:lang w:val="en-GB" w:eastAsia="ja-JP"/>
        </w:rPr>
      </w:pPr>
      <w:r>
        <w:rPr>
          <w:rFonts w:ascii="Calibri" w:eastAsia="Batang" w:hAnsi="Calibri" w:cs="Calibri"/>
          <w:szCs w:val="24"/>
          <w:lang w:val="en-GB" w:eastAsia="ja-JP"/>
        </w:rPr>
        <w:br w:type="page"/>
      </w:r>
    </w:p>
    <w:p w14:paraId="625B8B03" w14:textId="71E3F55C" w:rsidR="003F3F9A" w:rsidRDefault="003F3F9A" w:rsidP="003F3F9A">
      <w:pPr>
        <w:widowControl w:val="0"/>
        <w:spacing w:before="100" w:beforeAutospacing="1" w:after="100" w:afterAutospacing="1" w:line="480" w:lineRule="auto"/>
        <w:rPr>
          <w:rFonts w:ascii="Calibri" w:eastAsia="Batang" w:hAnsi="Calibri" w:cs="Calibri"/>
          <w:b/>
          <w:bCs/>
          <w:szCs w:val="24"/>
          <w:lang w:val="en-GB" w:eastAsia="ja-JP"/>
        </w:rPr>
      </w:pPr>
      <w:r>
        <w:rPr>
          <w:rFonts w:ascii="Calibri" w:eastAsia="Batang" w:hAnsi="Calibri" w:cs="Calibri"/>
          <w:b/>
          <w:bCs/>
          <w:noProof/>
          <w:szCs w:val="24"/>
          <w:lang w:val="en-GB" w:eastAsia="ja-JP"/>
        </w:rPr>
        <w:lastRenderedPageBreak/>
        <w:drawing>
          <wp:anchor distT="0" distB="0" distL="114300" distR="114300" simplePos="0" relativeHeight="251658240" behindDoc="0" locked="0" layoutInCell="1" allowOverlap="1" wp14:anchorId="34CF294E" wp14:editId="0F72A1BE">
            <wp:simplePos x="0" y="0"/>
            <wp:positionH relativeFrom="column">
              <wp:posOffset>290426</wp:posOffset>
            </wp:positionH>
            <wp:positionV relativeFrom="paragraph">
              <wp:posOffset>0</wp:posOffset>
            </wp:positionV>
            <wp:extent cx="5347855" cy="4353132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855" cy="435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90129" w14:textId="7B3252C2" w:rsidR="003F3F9A" w:rsidRPr="003F3F9A" w:rsidRDefault="003F3F9A" w:rsidP="003F3F9A">
      <w:pPr>
        <w:widowControl w:val="0"/>
        <w:spacing w:after="0" w:line="480" w:lineRule="auto"/>
        <w:rPr>
          <w:rFonts w:ascii="Calibri" w:eastAsia="Batang" w:hAnsi="Calibri" w:cs="Calibri"/>
          <w:szCs w:val="24"/>
          <w:lang w:val="en-GB" w:eastAsia="ko-KR"/>
        </w:rPr>
      </w:pPr>
      <w:bookmarkStart w:id="0" w:name="_Hlk157780131"/>
      <w:r>
        <w:rPr>
          <w:rFonts w:ascii="Calibri" w:eastAsia="Batang" w:hAnsi="Calibri" w:cs="Calibri"/>
          <w:b/>
          <w:szCs w:val="24"/>
          <w:lang w:val="en-GB" w:eastAsia="ko-KR"/>
        </w:rPr>
        <w:t xml:space="preserve">Supplementary </w:t>
      </w:r>
      <w:r w:rsidRPr="003F3F9A">
        <w:rPr>
          <w:rFonts w:ascii="Calibri" w:eastAsia="Batang" w:hAnsi="Calibri" w:cs="Calibri"/>
          <w:b/>
          <w:szCs w:val="24"/>
          <w:lang w:val="en-GB" w:eastAsia="ko-KR"/>
        </w:rPr>
        <w:t>Fig</w:t>
      </w:r>
      <w:r>
        <w:rPr>
          <w:rFonts w:ascii="Calibri" w:eastAsia="Batang" w:hAnsi="Calibri" w:cs="Calibri"/>
          <w:b/>
          <w:szCs w:val="24"/>
          <w:lang w:val="en-GB" w:eastAsia="ko-KR"/>
        </w:rPr>
        <w:t>.</w:t>
      </w:r>
      <w:r w:rsidRPr="003F3F9A">
        <w:rPr>
          <w:rFonts w:ascii="Calibri" w:eastAsia="Batang" w:hAnsi="Calibri" w:cs="Calibri"/>
          <w:b/>
          <w:szCs w:val="24"/>
          <w:lang w:val="en-GB" w:eastAsia="ko-KR"/>
        </w:rPr>
        <w:t xml:space="preserve"> </w:t>
      </w:r>
      <w:r w:rsidR="002B75ED" w:rsidRPr="002B75ED">
        <w:rPr>
          <w:rFonts w:cstheme="minorHAnsi"/>
          <w:b/>
          <w:szCs w:val="24"/>
          <w:lang w:val="en-GB" w:eastAsia="ja-JP"/>
        </w:rPr>
        <w:t>S</w:t>
      </w:r>
      <w:r w:rsidRPr="002B75ED">
        <w:rPr>
          <w:rFonts w:eastAsia="Batang" w:cstheme="minorHAnsi"/>
          <w:b/>
          <w:szCs w:val="24"/>
          <w:lang w:val="en-GB" w:eastAsia="ko-KR"/>
        </w:rPr>
        <w:t>1</w:t>
      </w:r>
      <w:bookmarkEnd w:id="0"/>
      <w:r w:rsidRPr="003F3F9A">
        <w:rPr>
          <w:rFonts w:ascii="Calibri" w:eastAsia="Batang" w:hAnsi="Calibri" w:cs="Calibri"/>
          <w:szCs w:val="24"/>
          <w:lang w:val="en-GB" w:eastAsia="ko-KR"/>
        </w:rPr>
        <w:t xml:space="preserve"> Study design</w:t>
      </w:r>
    </w:p>
    <w:p w14:paraId="6D2E8132" w14:textId="505EC90B" w:rsidR="003F3F9A" w:rsidRPr="005E48EB" w:rsidRDefault="003F3F9A" w:rsidP="005E48EB">
      <w:pPr>
        <w:widowControl w:val="0"/>
        <w:spacing w:after="0" w:line="276" w:lineRule="auto"/>
        <w:rPr>
          <w:rFonts w:ascii="Calibri" w:eastAsia="Batang" w:hAnsi="Calibri" w:cs="Calibri"/>
          <w:sz w:val="20"/>
          <w:lang w:val="en-GB" w:eastAsia="ko-KR"/>
        </w:rPr>
      </w:pPr>
      <w:r w:rsidRPr="005E48EB">
        <w:rPr>
          <w:rFonts w:ascii="Calibri" w:eastAsia="Batang" w:hAnsi="Calibri" w:cs="Calibri"/>
          <w:sz w:val="20"/>
          <w:lang w:val="en-GB" w:eastAsia="ko-KR"/>
        </w:rPr>
        <w:t>β</w:t>
      </w:r>
      <w:r w:rsidRPr="005E48EB">
        <w:rPr>
          <w:rFonts w:ascii="Calibri" w:eastAsia="Batang" w:hAnsi="Calibri" w:cs="Calibri"/>
          <w:i/>
          <w:iCs/>
          <w:sz w:val="20"/>
          <w:lang w:val="en-GB" w:eastAsia="ko-KR"/>
        </w:rPr>
        <w:t>-blocker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lang w:val="en-GB" w:eastAsia="ko-KR"/>
        </w:rPr>
        <w:t>B</w:t>
      </w:r>
      <w:r w:rsidR="000A0B98" w:rsidRPr="005E48EB">
        <w:rPr>
          <w:rFonts w:ascii="Calibri" w:eastAsia="Batang" w:hAnsi="Calibri" w:cs="Calibri"/>
          <w:sz w:val="20"/>
          <w:lang w:val="en-GB" w:eastAsia="ko-KR"/>
        </w:rPr>
        <w:t>eta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-adrenoceptor blocker, </w:t>
      </w:r>
      <w:r w:rsidRPr="005E48EB">
        <w:rPr>
          <w:rFonts w:ascii="Calibri" w:eastAsia="Batang" w:hAnsi="Calibri" w:cs="Calibri"/>
          <w:i/>
          <w:iCs/>
          <w:sz w:val="20"/>
          <w:lang w:val="en-GB" w:eastAsia="ko-KR"/>
        </w:rPr>
        <w:t>CAI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lang w:val="en-GB" w:eastAsia="ko-KR"/>
        </w:rPr>
        <w:t>C</w:t>
      </w:r>
      <w:r w:rsidR="000A0B98" w:rsidRPr="005E48EB">
        <w:rPr>
          <w:rFonts w:ascii="Calibri" w:eastAsia="Batang" w:hAnsi="Calibri" w:cs="Calibri"/>
          <w:sz w:val="20"/>
          <w:lang w:val="en-GB" w:eastAsia="ko-KR"/>
        </w:rPr>
        <w:t xml:space="preserve">arbonic 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anhydrase inhibitor, </w:t>
      </w:r>
      <w:r w:rsidRPr="005E48EB">
        <w:rPr>
          <w:rFonts w:ascii="Calibri" w:eastAsia="Batang" w:hAnsi="Calibri" w:cs="Calibri"/>
          <w:i/>
          <w:iCs/>
          <w:sz w:val="20"/>
          <w:lang w:val="en-GB" w:eastAsia="ko-KR"/>
        </w:rPr>
        <w:t>PG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lang w:val="en-GB" w:eastAsia="ko-KR"/>
        </w:rPr>
        <w:t>P</w:t>
      </w:r>
      <w:r w:rsidR="000A0B98" w:rsidRPr="005E48EB">
        <w:rPr>
          <w:rFonts w:ascii="Calibri" w:eastAsia="Batang" w:hAnsi="Calibri" w:cs="Calibri"/>
          <w:sz w:val="20"/>
          <w:lang w:val="en-GB" w:eastAsia="ko-KR"/>
        </w:rPr>
        <w:t>rostaglandin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, </w:t>
      </w:r>
      <w:r w:rsidRPr="005E48EB">
        <w:rPr>
          <w:rFonts w:ascii="Calibri" w:eastAsia="Batang" w:hAnsi="Calibri" w:cs="Calibri"/>
          <w:i/>
          <w:iCs/>
          <w:sz w:val="20"/>
          <w:lang w:val="en-GB" w:eastAsia="ko-KR"/>
        </w:rPr>
        <w:t xml:space="preserve">RBFC </w:t>
      </w:r>
      <w:r w:rsidR="000A0B98">
        <w:rPr>
          <w:rFonts w:ascii="Calibri" w:eastAsia="Batang" w:hAnsi="Calibri" w:cs="Calibri"/>
          <w:sz w:val="20"/>
          <w:lang w:val="en-GB" w:eastAsia="ko-KR"/>
        </w:rPr>
        <w:t>R</w:t>
      </w:r>
      <w:r w:rsidR="000A0B98" w:rsidRPr="005E48EB">
        <w:rPr>
          <w:rFonts w:ascii="Calibri" w:eastAsia="Batang" w:hAnsi="Calibri" w:cs="Calibri"/>
          <w:sz w:val="20"/>
          <w:lang w:val="en-GB" w:eastAsia="ko-KR"/>
        </w:rPr>
        <w:t>ipasudil</w:t>
      </w:r>
      <w:r w:rsidRPr="005E48EB">
        <w:rPr>
          <w:rFonts w:ascii="Calibri" w:eastAsia="Batang" w:hAnsi="Calibri" w:cs="Calibri"/>
          <w:sz w:val="20"/>
          <w:lang w:val="en-GB" w:eastAsia="ko-KR"/>
        </w:rPr>
        <w:t>-brimonidine fixed-dose combination</w:t>
      </w:r>
    </w:p>
    <w:p w14:paraId="2C1F4C62" w14:textId="1E39AE6F" w:rsidR="003F3F9A" w:rsidRPr="005E48EB" w:rsidRDefault="003F3F9A" w:rsidP="005E48EB">
      <w:pPr>
        <w:widowControl w:val="0"/>
        <w:spacing w:after="0" w:line="276" w:lineRule="auto"/>
        <w:rPr>
          <w:rFonts w:ascii="Calibri" w:eastAsia="Batang" w:hAnsi="Calibri" w:cs="Calibri"/>
          <w:sz w:val="20"/>
          <w:lang w:val="en-GB" w:eastAsia="ko-KR"/>
        </w:rPr>
      </w:pPr>
      <w:proofErr w:type="spellStart"/>
      <w:r w:rsidRPr="005E48EB">
        <w:rPr>
          <w:rFonts w:ascii="Calibri" w:eastAsia="Batang" w:hAnsi="Calibri" w:cs="Calibri"/>
          <w:sz w:val="20"/>
          <w:vertAlign w:val="superscript"/>
          <w:lang w:val="en-GB" w:eastAsia="ko-KR"/>
        </w:rPr>
        <w:t>a</w:t>
      </w:r>
      <w:r w:rsidRPr="005E48EB">
        <w:rPr>
          <w:rFonts w:ascii="Calibri" w:eastAsia="Batang" w:hAnsi="Calibri" w:cs="Calibri"/>
          <w:sz w:val="20"/>
          <w:lang w:val="en-GB" w:eastAsia="ko-KR"/>
        </w:rPr>
        <w:t>During</w:t>
      </w:r>
      <w:proofErr w:type="spellEnd"/>
      <w:r w:rsidRPr="005E48EB">
        <w:rPr>
          <w:rFonts w:ascii="Calibri" w:eastAsia="Batang" w:hAnsi="Calibri" w:cs="Calibri" w:hint="eastAsia"/>
          <w:sz w:val="20"/>
          <w:lang w:val="en-GB" w:eastAsia="ko-KR"/>
        </w:rPr>
        <w:t xml:space="preserve"> the screening period, patients in all cohorts could receive ripasudil 0.4% or brimonidine 0.1% per the investigator</w:t>
      </w:r>
      <w:r w:rsidRPr="005E48EB">
        <w:rPr>
          <w:rFonts w:ascii="Calibri" w:eastAsia="Batang" w:hAnsi="Calibri" w:cs="Calibri" w:hint="eastAsia"/>
          <w:sz w:val="20"/>
          <w:lang w:val="en-GB" w:eastAsia="ko-KR"/>
        </w:rPr>
        <w:t>’</w:t>
      </w:r>
      <w:r w:rsidRPr="005E48EB">
        <w:rPr>
          <w:rFonts w:ascii="Calibri" w:eastAsia="Batang" w:hAnsi="Calibri" w:cs="Calibri" w:hint="eastAsia"/>
          <w:sz w:val="20"/>
          <w:lang w:val="en-GB" w:eastAsia="ko-KR"/>
        </w:rPr>
        <w:t>s discretion; these agents were to be administered for</w:t>
      </w:r>
      <w:r w:rsidRPr="0052224F">
        <w:rPr>
          <w:rFonts w:eastAsia="Batang" w:cstheme="minorHAnsi"/>
          <w:sz w:val="20"/>
          <w:lang w:val="en-GB" w:eastAsia="ko-KR"/>
        </w:rPr>
        <w:t xml:space="preserve"> ≥</w:t>
      </w:r>
      <w:r w:rsidR="009D6558"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Pr="005E48EB">
        <w:rPr>
          <w:rFonts w:ascii="Calibri" w:eastAsia="Batang" w:hAnsi="Calibri" w:cs="Calibri"/>
          <w:sz w:val="20"/>
          <w:lang w:val="en-GB" w:eastAsia="ko-KR"/>
        </w:rPr>
        <w:t>4 weeks, up to a maximum of 6 weeks</w:t>
      </w:r>
    </w:p>
    <w:p w14:paraId="00AAC04D" w14:textId="25E594DE" w:rsidR="006118A0" w:rsidRDefault="003F3F9A" w:rsidP="005E48EB">
      <w:pPr>
        <w:widowControl w:val="0"/>
        <w:spacing w:after="0" w:line="276" w:lineRule="auto"/>
        <w:rPr>
          <w:rFonts w:ascii="Calibri" w:eastAsia="Batang" w:hAnsi="Calibri" w:cs="Calibri"/>
          <w:szCs w:val="24"/>
          <w:lang w:val="en-GB" w:eastAsia="ko-KR"/>
        </w:rPr>
        <w:sectPr w:rsidR="006118A0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5E48EB">
        <w:rPr>
          <w:rFonts w:ascii="Calibri" w:eastAsia="Batang" w:hAnsi="Calibri" w:cs="Calibri"/>
          <w:sz w:val="20"/>
          <w:vertAlign w:val="superscript"/>
          <w:lang w:val="en-GB" w:eastAsia="ko-KR"/>
        </w:rPr>
        <w:t>b</w:t>
      </w:r>
      <w:r w:rsidRPr="005E48EB">
        <w:rPr>
          <w:rFonts w:ascii="Calibri" w:eastAsia="Batang" w:hAnsi="Calibri" w:cs="Calibri"/>
          <w:sz w:val="20"/>
          <w:lang w:val="en-GB" w:eastAsia="ko-KR"/>
        </w:rPr>
        <w:t>In</w:t>
      </w:r>
      <w:proofErr w:type="spellEnd"/>
      <w:r w:rsidRPr="005E48EB">
        <w:rPr>
          <w:rFonts w:ascii="Calibri" w:eastAsia="Batang" w:hAnsi="Calibri" w:cs="Calibri"/>
          <w:sz w:val="20"/>
          <w:lang w:val="en-GB" w:eastAsia="ko-KR"/>
        </w:rPr>
        <w:t xml:space="preserve"> Cohorts 1–3, the duration of the screening period was </w:t>
      </w:r>
      <w:r w:rsidRPr="0052224F">
        <w:rPr>
          <w:rFonts w:eastAsia="Batang" w:cstheme="minorHAnsi"/>
          <w:sz w:val="20"/>
          <w:lang w:val="en-GB" w:eastAsia="ko-KR"/>
        </w:rPr>
        <w:t>≥</w:t>
      </w:r>
      <w:r w:rsidR="009D6558"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Pr="005E48EB">
        <w:rPr>
          <w:rFonts w:ascii="Calibri" w:eastAsia="Batang" w:hAnsi="Calibri" w:cs="Calibri"/>
          <w:sz w:val="20"/>
          <w:lang w:val="en-GB" w:eastAsia="ko-KR"/>
        </w:rPr>
        <w:t>4 weeks, up to a maximum of 6 weeks. For patients in Cohort 4 who did not receive any combination therapy, including ripasudil 0.4% or brimonidine 0.1%, during the screening period, the treatment period could start</w:t>
      </w:r>
      <w:r w:rsidRPr="0052224F">
        <w:rPr>
          <w:rFonts w:eastAsia="Batang" w:cstheme="minorHAnsi"/>
          <w:sz w:val="20"/>
          <w:lang w:val="en-GB" w:eastAsia="ko-KR"/>
        </w:rPr>
        <w:t xml:space="preserve"> ≥</w:t>
      </w:r>
      <w:r w:rsidR="009D6558"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Pr="005E48EB">
        <w:rPr>
          <w:rFonts w:ascii="Calibri" w:eastAsia="Batang" w:hAnsi="Calibri" w:cs="Calibri"/>
          <w:sz w:val="20"/>
          <w:lang w:val="en-GB" w:eastAsia="ko-KR"/>
        </w:rPr>
        <w:t>1 day after the start of the screening period, provided that any applicable washout criteria were met</w:t>
      </w:r>
    </w:p>
    <w:p w14:paraId="4F1004B1" w14:textId="5819867C" w:rsidR="006118A0" w:rsidRDefault="006118A0" w:rsidP="005E48EB">
      <w:pPr>
        <w:widowControl w:val="0"/>
        <w:spacing w:after="0" w:line="480" w:lineRule="auto"/>
        <w:rPr>
          <w:rFonts w:ascii="Calibri" w:eastAsia="Batang" w:hAnsi="Calibri" w:cs="Calibri"/>
          <w:szCs w:val="24"/>
          <w:lang w:val="en-GB" w:eastAsia="ja-JP"/>
        </w:rPr>
      </w:pPr>
      <w:r>
        <w:rPr>
          <w:rFonts w:ascii="Calibri" w:eastAsia="Batang" w:hAnsi="Calibri" w:cs="Calibri"/>
          <w:b/>
          <w:bCs/>
          <w:noProof/>
          <w:szCs w:val="24"/>
          <w:lang w:val="en-GB" w:eastAsia="ja-JP"/>
        </w:rPr>
        <w:lastRenderedPageBreak/>
        <w:drawing>
          <wp:anchor distT="0" distB="0" distL="114300" distR="114300" simplePos="0" relativeHeight="251659264" behindDoc="0" locked="0" layoutInCell="1" allowOverlap="1" wp14:anchorId="524F8725" wp14:editId="1D38B3CA">
            <wp:simplePos x="0" y="0"/>
            <wp:positionH relativeFrom="column">
              <wp:posOffset>20320</wp:posOffset>
            </wp:positionH>
            <wp:positionV relativeFrom="paragraph">
              <wp:posOffset>0</wp:posOffset>
            </wp:positionV>
            <wp:extent cx="9197975" cy="4093845"/>
            <wp:effectExtent l="0" t="0" r="317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975" cy="409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8A0">
        <w:rPr>
          <w:rFonts w:ascii="Calibri" w:eastAsia="Batang" w:hAnsi="Calibri" w:cs="Calibri"/>
          <w:b/>
          <w:bCs/>
          <w:szCs w:val="24"/>
          <w:lang w:val="en-GB" w:eastAsia="ja-JP"/>
        </w:rPr>
        <w:t>Supplementary Fig</w:t>
      </w:r>
      <w:r>
        <w:rPr>
          <w:rFonts w:ascii="Calibri" w:eastAsia="Batang" w:hAnsi="Calibri" w:cs="Calibri"/>
          <w:b/>
          <w:bCs/>
          <w:szCs w:val="24"/>
          <w:lang w:val="en-GB" w:eastAsia="ja-JP"/>
        </w:rPr>
        <w:t>.</w:t>
      </w:r>
      <w:r w:rsidRPr="006118A0">
        <w:rPr>
          <w:rFonts w:ascii="Calibri" w:eastAsia="Batang" w:hAnsi="Calibri" w:cs="Calibri"/>
          <w:b/>
          <w:bCs/>
          <w:szCs w:val="24"/>
          <w:lang w:val="en-GB" w:eastAsia="ja-JP"/>
        </w:rPr>
        <w:t xml:space="preserve"> S</w:t>
      </w:r>
      <w:r>
        <w:rPr>
          <w:rFonts w:ascii="Calibri" w:eastAsia="Batang" w:hAnsi="Calibri" w:cs="Calibri"/>
          <w:b/>
          <w:bCs/>
          <w:szCs w:val="24"/>
          <w:lang w:val="en-GB" w:eastAsia="ja-JP"/>
        </w:rPr>
        <w:t xml:space="preserve">2 </w:t>
      </w:r>
      <w:r w:rsidRPr="006118A0">
        <w:rPr>
          <w:rFonts w:ascii="Calibri" w:eastAsia="Batang" w:hAnsi="Calibri" w:cs="Calibri"/>
          <w:szCs w:val="24"/>
          <w:lang w:val="en-GB" w:eastAsia="ja-JP"/>
        </w:rPr>
        <w:t>Patient flow diagram</w:t>
      </w:r>
    </w:p>
    <w:p w14:paraId="66493503" w14:textId="098C63EE" w:rsidR="009D6558" w:rsidRPr="005E48EB" w:rsidRDefault="009D6558" w:rsidP="005E48EB">
      <w:pPr>
        <w:widowControl w:val="0"/>
        <w:spacing w:after="0" w:line="276" w:lineRule="auto"/>
        <w:rPr>
          <w:rFonts w:ascii="Calibri" w:eastAsia="Batang" w:hAnsi="Calibri" w:cs="Calibri"/>
          <w:b/>
          <w:bCs/>
          <w:sz w:val="20"/>
          <w:lang w:val="en-GB" w:eastAsia="ja-JP"/>
        </w:rPr>
      </w:pPr>
      <w:r w:rsidRPr="005E48EB">
        <w:rPr>
          <w:rFonts w:ascii="Calibri" w:eastAsia="Batang" w:hAnsi="Calibri" w:cs="Calibri"/>
          <w:sz w:val="20"/>
          <w:lang w:val="en-GB" w:eastAsia="ko-KR"/>
        </w:rPr>
        <w:t>β</w:t>
      </w:r>
      <w:r w:rsidRPr="005E48EB">
        <w:rPr>
          <w:rFonts w:ascii="Calibri" w:eastAsia="Batang" w:hAnsi="Calibri" w:cs="Calibri"/>
          <w:i/>
          <w:iCs/>
          <w:sz w:val="20"/>
          <w:lang w:val="en-GB" w:eastAsia="ko-KR"/>
        </w:rPr>
        <w:t>-blocker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 </w:t>
      </w:r>
      <w:r w:rsidR="000A0B98">
        <w:rPr>
          <w:rFonts w:ascii="Calibri" w:eastAsia="Batang" w:hAnsi="Calibri" w:cs="Calibri"/>
          <w:sz w:val="20"/>
          <w:lang w:val="en-GB" w:eastAsia="ko-KR"/>
        </w:rPr>
        <w:t>B</w:t>
      </w:r>
      <w:r w:rsidRPr="005E48EB">
        <w:rPr>
          <w:rFonts w:ascii="Calibri" w:eastAsia="Batang" w:hAnsi="Calibri" w:cs="Calibri"/>
          <w:sz w:val="20"/>
          <w:lang w:val="en-GB" w:eastAsia="ko-KR"/>
        </w:rPr>
        <w:t xml:space="preserve">eta-adrenoceptor blocker, </w:t>
      </w:r>
      <w:r w:rsidRPr="005E48EB">
        <w:rPr>
          <w:rFonts w:ascii="Calibri" w:eastAsia="Batang" w:hAnsi="Calibri" w:cs="Calibri"/>
          <w:i/>
          <w:iCs/>
          <w:sz w:val="20"/>
          <w:lang w:val="en-GB" w:eastAsia="ja-JP"/>
        </w:rPr>
        <w:t xml:space="preserve">CAI </w:t>
      </w:r>
      <w:r w:rsidR="000A0B98">
        <w:rPr>
          <w:rFonts w:ascii="Calibri" w:eastAsia="Batang" w:hAnsi="Calibri" w:cs="Calibri"/>
          <w:sz w:val="20"/>
          <w:lang w:val="en-GB" w:eastAsia="ko-KR"/>
        </w:rPr>
        <w:t>C</w:t>
      </w:r>
      <w:r w:rsidR="000A0B98" w:rsidRPr="005E48EB">
        <w:rPr>
          <w:rFonts w:ascii="Calibri" w:eastAsia="Batang" w:hAnsi="Calibri" w:cs="Calibri"/>
          <w:sz w:val="20"/>
          <w:lang w:val="en-GB" w:eastAsia="ko-KR"/>
        </w:rPr>
        <w:t xml:space="preserve">arbonic </w:t>
      </w:r>
      <w:r w:rsidRPr="005E48EB">
        <w:rPr>
          <w:rFonts w:ascii="Calibri" w:eastAsia="Batang" w:hAnsi="Calibri" w:cs="Calibri"/>
          <w:sz w:val="20"/>
          <w:lang w:val="en-GB" w:eastAsia="ko-KR"/>
        </w:rPr>
        <w:t>anhydrase inhibitor,</w:t>
      </w:r>
      <w:r w:rsidRPr="005E48EB">
        <w:rPr>
          <w:rFonts w:ascii="Calibri" w:eastAsia="Batang" w:hAnsi="Calibri" w:cs="Calibri"/>
          <w:i/>
          <w:iCs/>
          <w:sz w:val="20"/>
          <w:lang w:val="en-GB" w:eastAsia="ja-JP"/>
        </w:rPr>
        <w:t xml:space="preserve"> PG </w:t>
      </w:r>
      <w:r w:rsidR="000A0B98">
        <w:rPr>
          <w:rFonts w:ascii="Calibri" w:eastAsia="Batang" w:hAnsi="Calibri" w:cs="Calibri"/>
          <w:sz w:val="20"/>
          <w:lang w:val="en-GB" w:eastAsia="ja-JP"/>
        </w:rPr>
        <w:t>P</w:t>
      </w:r>
      <w:r w:rsidR="000A0B98" w:rsidRPr="005E48EB">
        <w:rPr>
          <w:rFonts w:ascii="Calibri" w:eastAsia="Batang" w:hAnsi="Calibri" w:cs="Calibri"/>
          <w:sz w:val="20"/>
          <w:lang w:val="en-GB" w:eastAsia="ja-JP"/>
        </w:rPr>
        <w:t>rostaglandin</w:t>
      </w:r>
      <w:r w:rsidRPr="005E48EB">
        <w:rPr>
          <w:rFonts w:ascii="Calibri" w:eastAsia="Batang" w:hAnsi="Calibri" w:cs="Calibri"/>
          <w:sz w:val="20"/>
          <w:lang w:val="en-GB" w:eastAsia="ja-JP"/>
        </w:rPr>
        <w:t xml:space="preserve">, </w:t>
      </w:r>
      <w:r w:rsidRPr="005E48EB">
        <w:rPr>
          <w:rFonts w:ascii="Calibri" w:eastAsia="Batang" w:hAnsi="Calibri" w:cs="Calibri"/>
          <w:i/>
          <w:iCs/>
          <w:sz w:val="20"/>
          <w:lang w:val="en-GB" w:eastAsia="ja-JP"/>
        </w:rPr>
        <w:t>RBFC</w:t>
      </w:r>
      <w:r w:rsidRPr="005E48EB">
        <w:rPr>
          <w:rFonts w:ascii="Calibri" w:eastAsia="Batang" w:hAnsi="Calibri" w:cs="Calibri"/>
          <w:sz w:val="20"/>
          <w:lang w:val="en-GB" w:eastAsia="ja-JP"/>
        </w:rPr>
        <w:t xml:space="preserve"> </w:t>
      </w:r>
      <w:r w:rsidR="000A0B98">
        <w:rPr>
          <w:rFonts w:ascii="Calibri" w:eastAsia="Batang" w:hAnsi="Calibri" w:cs="Calibri"/>
          <w:sz w:val="20"/>
          <w:lang w:val="en-GB" w:eastAsia="ja-JP"/>
        </w:rPr>
        <w:t>R</w:t>
      </w:r>
      <w:r w:rsidR="000A0B98" w:rsidRPr="005E48EB">
        <w:rPr>
          <w:rFonts w:ascii="Calibri" w:eastAsia="Batang" w:hAnsi="Calibri" w:cs="Calibri"/>
          <w:sz w:val="20"/>
          <w:lang w:val="en-GB" w:eastAsia="ja-JP"/>
        </w:rPr>
        <w:t>ipasudil</w:t>
      </w:r>
      <w:r w:rsidRPr="005E48EB">
        <w:rPr>
          <w:rFonts w:ascii="Calibri" w:eastAsia="Batang" w:hAnsi="Calibri" w:cs="Calibri"/>
          <w:sz w:val="20"/>
          <w:lang w:val="en-GB" w:eastAsia="ja-JP"/>
        </w:rPr>
        <w:t>-brimonidine fixed-dose combination</w:t>
      </w:r>
    </w:p>
    <w:sectPr w:rsidR="009D6558" w:rsidRPr="005E48EB" w:rsidSect="00345F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18B6" w14:textId="77777777" w:rsidR="003F357A" w:rsidRDefault="003F357A" w:rsidP="009D6558">
      <w:pPr>
        <w:spacing w:after="0" w:line="240" w:lineRule="auto"/>
      </w:pPr>
      <w:r>
        <w:separator/>
      </w:r>
    </w:p>
  </w:endnote>
  <w:endnote w:type="continuationSeparator" w:id="0">
    <w:p w14:paraId="109CFCD3" w14:textId="77777777" w:rsidR="003F357A" w:rsidRDefault="003F357A" w:rsidP="009D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542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8A860" w14:textId="4814F082" w:rsidR="009D6558" w:rsidRDefault="009D6558" w:rsidP="005E48E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076E" w14:textId="77777777" w:rsidR="003F357A" w:rsidRDefault="003F357A" w:rsidP="009D6558">
      <w:pPr>
        <w:spacing w:after="0" w:line="240" w:lineRule="auto"/>
      </w:pPr>
      <w:r>
        <w:separator/>
      </w:r>
    </w:p>
  </w:footnote>
  <w:footnote w:type="continuationSeparator" w:id="0">
    <w:p w14:paraId="6BDE5F47" w14:textId="77777777" w:rsidR="003F357A" w:rsidRDefault="003F357A" w:rsidP="009D6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6C9F"/>
    <w:multiLevelType w:val="hybridMultilevel"/>
    <w:tmpl w:val="B260AE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168"/>
    <w:multiLevelType w:val="hybridMultilevel"/>
    <w:tmpl w:val="4B3CAB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904306">
    <w:abstractNumId w:val="1"/>
  </w:num>
  <w:num w:numId="2" w16cid:durableId="177389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zNDI1MjI2MgdhJR2l4NTi4sz8PJACw1oAmjrGUCwAAAA="/>
  </w:docVars>
  <w:rsids>
    <w:rsidRoot w:val="000013E6"/>
    <w:rsid w:val="000013E6"/>
    <w:rsid w:val="00055E6E"/>
    <w:rsid w:val="000A0B98"/>
    <w:rsid w:val="000B1F7D"/>
    <w:rsid w:val="001D2B4E"/>
    <w:rsid w:val="002B75ED"/>
    <w:rsid w:val="00345FE5"/>
    <w:rsid w:val="003F07BC"/>
    <w:rsid w:val="003F357A"/>
    <w:rsid w:val="003F3F9A"/>
    <w:rsid w:val="004604D1"/>
    <w:rsid w:val="00491773"/>
    <w:rsid w:val="00491B9B"/>
    <w:rsid w:val="004958B3"/>
    <w:rsid w:val="004A5543"/>
    <w:rsid w:val="0052224F"/>
    <w:rsid w:val="005E48EB"/>
    <w:rsid w:val="006118A0"/>
    <w:rsid w:val="006119A2"/>
    <w:rsid w:val="00703632"/>
    <w:rsid w:val="00724664"/>
    <w:rsid w:val="007E734A"/>
    <w:rsid w:val="00852031"/>
    <w:rsid w:val="008A3D44"/>
    <w:rsid w:val="008E1F3B"/>
    <w:rsid w:val="009A6A13"/>
    <w:rsid w:val="009D6558"/>
    <w:rsid w:val="009F27D4"/>
    <w:rsid w:val="00AE19B7"/>
    <w:rsid w:val="00B36C01"/>
    <w:rsid w:val="00D60F31"/>
    <w:rsid w:val="00E0448A"/>
    <w:rsid w:val="00E35C28"/>
    <w:rsid w:val="00E45FBC"/>
    <w:rsid w:val="00E61905"/>
    <w:rsid w:val="00E86657"/>
    <w:rsid w:val="00EA30AD"/>
    <w:rsid w:val="00ED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ED100"/>
  <w15:chartTrackingRefBased/>
  <w15:docId w15:val="{2646DDA9-E39B-4AC5-BB1A-B078B322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0013E6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0013E6"/>
    <w:pPr>
      <w:widowControl w:val="0"/>
      <w:spacing w:before="100" w:beforeAutospacing="1" w:after="100" w:afterAutospacing="1" w:line="240" w:lineRule="auto"/>
    </w:pPr>
    <w:rPr>
      <w:rFonts w:ascii="Calibri" w:eastAsia="Batang" w:hAnsi="Calibri" w:cs="Vrinda"/>
      <w:sz w:val="20"/>
      <w:szCs w:val="20"/>
      <w:lang w:val="en-GB" w:eastAsia="ko-KR"/>
    </w:rPr>
  </w:style>
  <w:style w:type="character" w:customStyle="1" w:styleId="a5">
    <w:name w:val="コメント文字列 (文字)"/>
    <w:basedOn w:val="a0"/>
    <w:link w:val="a4"/>
    <w:uiPriority w:val="99"/>
    <w:rsid w:val="000013E6"/>
    <w:rPr>
      <w:rFonts w:ascii="Calibri" w:eastAsia="Batang" w:hAnsi="Calibri" w:cs="Vrinda"/>
      <w:sz w:val="20"/>
      <w:szCs w:val="20"/>
      <w:lang w:val="en-GB" w:eastAsia="ko-KR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24664"/>
    <w:pPr>
      <w:widowControl/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val="en-NZ" w:eastAsia="en-US"/>
    </w:rPr>
  </w:style>
  <w:style w:type="character" w:customStyle="1" w:styleId="a7">
    <w:name w:val="コメント内容 (文字)"/>
    <w:basedOn w:val="a5"/>
    <w:link w:val="a6"/>
    <w:uiPriority w:val="99"/>
    <w:semiHidden/>
    <w:rsid w:val="00724664"/>
    <w:rPr>
      <w:rFonts w:ascii="Calibri" w:eastAsia="Batang" w:hAnsi="Calibri" w:cs="Vrinda"/>
      <w:b/>
      <w:bCs/>
      <w:sz w:val="20"/>
      <w:szCs w:val="20"/>
      <w:lang w:val="en-GB" w:eastAsia="ko-KR"/>
    </w:rPr>
  </w:style>
  <w:style w:type="table" w:styleId="a8">
    <w:name w:val="Table Grid"/>
    <w:basedOn w:val="a1"/>
    <w:rsid w:val="00B36C01"/>
    <w:pPr>
      <w:widowControl w:val="0"/>
      <w:spacing w:after="240" w:line="240" w:lineRule="auto"/>
    </w:pPr>
    <w:rPr>
      <w:rFonts w:ascii="Times New Roman" w:eastAsia="Batang" w:hAnsi="Times New Roman" w:cs="Times New Roman"/>
      <w:sz w:val="20"/>
      <w:szCs w:val="20"/>
      <w:lang w:eastAsia="en-N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D6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ヘッダー (文字)"/>
    <w:basedOn w:val="a0"/>
    <w:link w:val="a9"/>
    <w:uiPriority w:val="99"/>
    <w:rsid w:val="009D6558"/>
  </w:style>
  <w:style w:type="paragraph" w:styleId="ab">
    <w:name w:val="footer"/>
    <w:basedOn w:val="a"/>
    <w:link w:val="ac"/>
    <w:uiPriority w:val="99"/>
    <w:unhideWhenUsed/>
    <w:rsid w:val="009D6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フッター (文字)"/>
    <w:basedOn w:val="a0"/>
    <w:link w:val="ab"/>
    <w:uiPriority w:val="99"/>
    <w:rsid w:val="009D6558"/>
  </w:style>
  <w:style w:type="paragraph" w:styleId="ad">
    <w:name w:val="Revision"/>
    <w:hidden/>
    <w:uiPriority w:val="99"/>
    <w:semiHidden/>
    <w:rsid w:val="00ED0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anihara@pearl.ocn.ne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Arneak Kooner</dc:creator>
  <cp:keywords/>
  <dc:description/>
  <cp:lastModifiedBy>Masahira Kurosaki</cp:lastModifiedBy>
  <cp:revision>2</cp:revision>
  <cp:lastPrinted>2023-07-03T22:03:00Z</cp:lastPrinted>
  <dcterms:created xsi:type="dcterms:W3CDTF">2024-02-06T05:21:00Z</dcterms:created>
  <dcterms:modified xsi:type="dcterms:W3CDTF">2024-02-06T05:21:00Z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7170939a171c0b94aac30c7eddb9c546e9b5a77a909e37d30f62f59cd8ce7d52</vt:lpwstr>
  </property>
</Properties>
</file>