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698421" w14:textId="39EA2DA7" w:rsidR="009C0DB3" w:rsidRPr="00695B63" w:rsidRDefault="009C0DB3" w:rsidP="007343E4">
      <w:pPr>
        <w:rPr>
          <w:lang w:eastAsia="de-DE"/>
        </w:rPr>
      </w:pPr>
      <w:r w:rsidRPr="00695B63">
        <w:rPr>
          <w:noProof/>
          <w:lang w:val="de-DE" w:eastAsia="de-DE"/>
        </w:rPr>
        <w:drawing>
          <wp:inline distT="0" distB="0" distL="0" distR="0" wp14:anchorId="67E62BCB" wp14:editId="78B29B60">
            <wp:extent cx="5760720" cy="1946910"/>
            <wp:effectExtent l="0" t="0" r="0" b="0"/>
            <wp:docPr id="1330503992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0503992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946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E5411E" w14:textId="072E0364" w:rsidR="007343E4" w:rsidRPr="00695B63" w:rsidRDefault="007343E4" w:rsidP="007343E4">
      <w:pPr>
        <w:rPr>
          <w:lang w:eastAsia="de-DE"/>
        </w:rPr>
      </w:pPr>
      <w:r w:rsidRPr="00695B63">
        <w:rPr>
          <w:b/>
          <w:bCs/>
          <w:lang w:eastAsia="de-DE"/>
        </w:rPr>
        <w:t xml:space="preserve">Supplementary Fig </w:t>
      </w:r>
      <w:r w:rsidR="00AA2119" w:rsidRPr="00695B63">
        <w:rPr>
          <w:b/>
          <w:bCs/>
          <w:lang w:eastAsia="de-DE"/>
        </w:rPr>
        <w:t>1</w:t>
      </w:r>
      <w:r w:rsidRPr="00695B63">
        <w:rPr>
          <w:b/>
          <w:bCs/>
          <w:lang w:eastAsia="de-DE"/>
        </w:rPr>
        <w:t xml:space="preserve">  </w:t>
      </w:r>
      <w:r w:rsidRPr="00695B63">
        <w:rPr>
          <w:lang w:eastAsia="de-DE"/>
        </w:rPr>
        <w:t xml:space="preserve">OCT image of the central retina in Heidelberg Eye Explorer and volume calculation. (A) Position of the ETDRS segments on the retina. (B) The central retinal volume </w:t>
      </w:r>
      <w:r w:rsidR="00E33896" w:rsidRPr="00695B63">
        <w:rPr>
          <w:lang w:eastAsia="de-DE"/>
        </w:rPr>
        <w:t xml:space="preserve">(CRV) </w:t>
      </w:r>
      <w:r w:rsidRPr="00695B63">
        <w:rPr>
          <w:lang w:eastAsia="de-DE"/>
        </w:rPr>
        <w:t xml:space="preserve">is calculated from the Bruch’s membrane (BM) to the inner limiting membrane (ILM). (C) Automatic calculation of thickness (in µm, black) and volume across all nine segments (in mm³, red). Example data from the AugUR study with a </w:t>
      </w:r>
      <w:r w:rsidR="00E33896" w:rsidRPr="00695B63">
        <w:rPr>
          <w:lang w:eastAsia="de-DE"/>
        </w:rPr>
        <w:t>CRV</w:t>
      </w:r>
      <w:r w:rsidRPr="00695B63">
        <w:rPr>
          <w:lang w:eastAsia="de-DE"/>
        </w:rPr>
        <w:t xml:space="preserve"> of 9.23 mm³</w:t>
      </w:r>
    </w:p>
    <w:p w14:paraId="6101F47E" w14:textId="77777777" w:rsidR="005836DB" w:rsidRPr="00695B63" w:rsidRDefault="005836DB" w:rsidP="007343E4">
      <w:pPr>
        <w:rPr>
          <w:lang w:eastAsia="de-DE"/>
        </w:rPr>
      </w:pPr>
    </w:p>
    <w:p w14:paraId="2E6EF015" w14:textId="77777777" w:rsidR="00040F47" w:rsidRPr="00695B63" w:rsidRDefault="00040F47" w:rsidP="007343E4">
      <w:pPr>
        <w:rPr>
          <w:lang w:eastAsia="de-DE"/>
        </w:rPr>
      </w:pPr>
    </w:p>
    <w:p w14:paraId="4B0F3F58" w14:textId="5B55ABBC" w:rsidR="00E32B7A" w:rsidRPr="00695B63" w:rsidRDefault="0002065E">
      <w:r w:rsidRPr="00695B63">
        <w:rPr>
          <w:noProof/>
          <w14:ligatures w14:val="standardContextual"/>
        </w:rPr>
        <w:drawing>
          <wp:inline distT="0" distB="0" distL="0" distR="0" wp14:anchorId="00AA2B22" wp14:editId="23670734">
            <wp:extent cx="5760720" cy="4015740"/>
            <wp:effectExtent l="0" t="0" r="0" b="3810"/>
            <wp:docPr id="2031932209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1932209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15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2A1DF9" w14:textId="56FC6EF6" w:rsidR="001025BB" w:rsidRPr="00695B63" w:rsidRDefault="001025BB" w:rsidP="001025BB">
      <w:pPr>
        <w:rPr>
          <w:lang w:eastAsia="de-DE"/>
        </w:rPr>
      </w:pPr>
      <w:r w:rsidRPr="00695B63">
        <w:rPr>
          <w:b/>
          <w:bCs/>
          <w:lang w:eastAsia="de-DE"/>
        </w:rPr>
        <w:t xml:space="preserve">Supplementary Fig </w:t>
      </w:r>
      <w:r w:rsidR="005836DB" w:rsidRPr="00695B63">
        <w:rPr>
          <w:b/>
          <w:bCs/>
          <w:lang w:eastAsia="de-DE"/>
        </w:rPr>
        <w:t>2</w:t>
      </w:r>
      <w:r w:rsidRPr="00695B63">
        <w:rPr>
          <w:b/>
          <w:bCs/>
          <w:lang w:eastAsia="de-DE"/>
        </w:rPr>
        <w:t xml:space="preserve">  </w:t>
      </w:r>
      <w:r w:rsidRPr="00695B63">
        <w:rPr>
          <w:lang w:eastAsia="de-DE"/>
        </w:rPr>
        <w:t xml:space="preserve">Distribution of central retinal </w:t>
      </w:r>
      <w:r w:rsidR="00677487" w:rsidRPr="00695B63">
        <w:rPr>
          <w:lang w:eastAsia="de-DE"/>
        </w:rPr>
        <w:t>volume</w:t>
      </w:r>
      <w:r w:rsidRPr="00695B63">
        <w:rPr>
          <w:lang w:eastAsia="de-DE"/>
        </w:rPr>
        <w:t xml:space="preserve"> </w:t>
      </w:r>
      <w:r w:rsidR="00E33896" w:rsidRPr="00695B63">
        <w:rPr>
          <w:lang w:eastAsia="de-DE"/>
        </w:rPr>
        <w:t xml:space="preserve">(CRV) </w:t>
      </w:r>
      <w:r w:rsidR="0002065E" w:rsidRPr="00695B63">
        <w:rPr>
          <w:lang w:eastAsia="de-DE"/>
        </w:rPr>
        <w:t xml:space="preserve">on the mm³ scale </w:t>
      </w:r>
      <w:r w:rsidRPr="00695B63">
        <w:rPr>
          <w:lang w:eastAsia="de-DE"/>
        </w:rPr>
        <w:t xml:space="preserve">of the right eye </w:t>
      </w:r>
      <w:r w:rsidR="0002065E" w:rsidRPr="00695B63">
        <w:rPr>
          <w:lang w:eastAsia="de-DE"/>
        </w:rPr>
        <w:t>in different quality control steps.</w:t>
      </w:r>
      <w:r w:rsidRPr="00695B63">
        <w:rPr>
          <w:lang w:eastAsia="de-DE"/>
        </w:rPr>
        <w:t xml:space="preserve"> (A) Distribution</w:t>
      </w:r>
      <w:r w:rsidR="0002065E" w:rsidRPr="00695B63">
        <w:rPr>
          <w:lang w:eastAsia="de-DE"/>
        </w:rPr>
        <w:t xml:space="preserve"> before any corrections (n=2,192) with m</w:t>
      </w:r>
      <w:r w:rsidRPr="00695B63">
        <w:rPr>
          <w:lang w:eastAsia="de-DE"/>
        </w:rPr>
        <w:t xml:space="preserve">ean </w:t>
      </w:r>
      <w:r w:rsidR="00677487" w:rsidRPr="00695B63">
        <w:rPr>
          <w:rFonts w:cs="Arial"/>
          <w:lang w:eastAsia="de-DE"/>
        </w:rPr>
        <w:t>±</w:t>
      </w:r>
      <w:r w:rsidRPr="00695B63">
        <w:rPr>
          <w:lang w:eastAsia="de-DE"/>
        </w:rPr>
        <w:t xml:space="preserve"> standard deviation </w:t>
      </w:r>
      <w:r w:rsidR="0002065E" w:rsidRPr="00695B63">
        <w:rPr>
          <w:lang w:eastAsia="de-DE"/>
        </w:rPr>
        <w:t xml:space="preserve">(SD) </w:t>
      </w:r>
      <w:r w:rsidR="00677487" w:rsidRPr="00695B63">
        <w:rPr>
          <w:lang w:eastAsia="de-DE"/>
        </w:rPr>
        <w:t>8.</w:t>
      </w:r>
      <w:r w:rsidR="0002065E" w:rsidRPr="00695B63">
        <w:rPr>
          <w:lang w:eastAsia="de-DE"/>
        </w:rPr>
        <w:t>39</w:t>
      </w:r>
      <w:r w:rsidR="00677487" w:rsidRPr="00695B63">
        <w:rPr>
          <w:lang w:eastAsia="de-DE"/>
        </w:rPr>
        <w:t xml:space="preserve"> ± 0.</w:t>
      </w:r>
      <w:r w:rsidR="0002065E" w:rsidRPr="00695B63">
        <w:rPr>
          <w:lang w:eastAsia="de-DE"/>
        </w:rPr>
        <w:t>71 and a range of 12.21 mm³</w:t>
      </w:r>
      <w:r w:rsidR="00677487" w:rsidRPr="00695B63">
        <w:rPr>
          <w:lang w:eastAsia="de-DE"/>
        </w:rPr>
        <w:t xml:space="preserve">. </w:t>
      </w:r>
      <w:r w:rsidRPr="00695B63">
        <w:rPr>
          <w:lang w:eastAsia="de-DE"/>
        </w:rPr>
        <w:t xml:space="preserve">(B) </w:t>
      </w:r>
      <w:r w:rsidR="00677487" w:rsidRPr="00695B63">
        <w:rPr>
          <w:lang w:eastAsia="de-DE"/>
        </w:rPr>
        <w:t xml:space="preserve">Distribution after </w:t>
      </w:r>
      <w:r w:rsidR="0002065E" w:rsidRPr="00695B63">
        <w:rPr>
          <w:lang w:eastAsia="de-DE"/>
        </w:rPr>
        <w:t xml:space="preserve">removing OCT sans with ART &lt;25 and quality value &lt;15 (n=2,187) with mean </w:t>
      </w:r>
      <w:r w:rsidR="0002065E" w:rsidRPr="00695B63">
        <w:rPr>
          <w:rFonts w:cs="Arial"/>
          <w:lang w:eastAsia="de-DE"/>
        </w:rPr>
        <w:t xml:space="preserve">± SD = 8.39 ± 0.69 and a range of 12.21 mm³. (C) </w:t>
      </w:r>
      <w:r w:rsidR="0002065E" w:rsidRPr="00695B63">
        <w:rPr>
          <w:lang w:eastAsia="de-DE"/>
        </w:rPr>
        <w:t xml:space="preserve">Distribution after removing OCT sans with bad segmentation (n=2,182) with mean </w:t>
      </w:r>
      <w:r w:rsidR="0002065E" w:rsidRPr="00695B63">
        <w:rPr>
          <w:rFonts w:cs="Arial"/>
          <w:lang w:eastAsia="de-DE"/>
        </w:rPr>
        <w:t>± SD = 8.41 ± 0.62 and a range of 8.15 mm³. (D) Distribution after restriction to ± 4 SD (n=2,166) with a range of 4.88 mm³.</w:t>
      </w:r>
    </w:p>
    <w:p w14:paraId="7BFD4B62" w14:textId="23D2E9A7" w:rsidR="00874BF9" w:rsidRPr="00695B63" w:rsidRDefault="00874BF9" w:rsidP="00874BF9">
      <w:pPr>
        <w:rPr>
          <w:lang w:val="en-US"/>
        </w:rPr>
      </w:pPr>
      <w:r w:rsidRPr="00695B63">
        <w:rPr>
          <w:noProof/>
          <w:lang w:val="en-US"/>
        </w:rPr>
        <w:lastRenderedPageBreak/>
        <w:drawing>
          <wp:inline distT="0" distB="0" distL="0" distR="0" wp14:anchorId="3AFC4C06" wp14:editId="4A016E5E">
            <wp:extent cx="5760720" cy="3390265"/>
            <wp:effectExtent l="0" t="0" r="0" b="635"/>
            <wp:docPr id="1639554309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390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D5A111" w14:textId="667BBB6D" w:rsidR="007F7B60" w:rsidRPr="00695B63" w:rsidRDefault="007F7B60" w:rsidP="007F7B60">
      <w:pPr>
        <w:rPr>
          <w:lang w:eastAsia="de-DE"/>
        </w:rPr>
      </w:pPr>
      <w:r w:rsidRPr="00695B63">
        <w:rPr>
          <w:b/>
          <w:bCs/>
          <w:lang w:eastAsia="de-DE"/>
        </w:rPr>
        <w:t xml:space="preserve">Supplementary Fig </w:t>
      </w:r>
      <w:r w:rsidR="00454F1B" w:rsidRPr="00695B63">
        <w:rPr>
          <w:b/>
          <w:bCs/>
          <w:lang w:eastAsia="de-DE"/>
        </w:rPr>
        <w:t>3</w:t>
      </w:r>
      <w:r w:rsidRPr="00695B63">
        <w:rPr>
          <w:b/>
          <w:bCs/>
          <w:lang w:eastAsia="de-DE"/>
        </w:rPr>
        <w:t xml:space="preserve">  </w:t>
      </w:r>
      <w:r w:rsidRPr="00695B63">
        <w:rPr>
          <w:lang w:eastAsia="de-DE"/>
        </w:rPr>
        <w:t xml:space="preserve">Distribution of central retinal volume </w:t>
      </w:r>
      <w:r w:rsidR="00180136" w:rsidRPr="00695B63">
        <w:rPr>
          <w:lang w:eastAsia="de-DE"/>
        </w:rPr>
        <w:t xml:space="preserve">(CRV) </w:t>
      </w:r>
      <w:r w:rsidR="005E73AF" w:rsidRPr="00695B63">
        <w:rPr>
          <w:lang w:eastAsia="de-DE"/>
        </w:rPr>
        <w:t xml:space="preserve">over age </w:t>
      </w:r>
      <w:r w:rsidRPr="00695B63">
        <w:rPr>
          <w:lang w:eastAsia="de-DE"/>
        </w:rPr>
        <w:t xml:space="preserve">from 2,166 </w:t>
      </w:r>
      <w:r w:rsidR="00945D15" w:rsidRPr="00695B63">
        <w:rPr>
          <w:lang w:eastAsia="de-DE"/>
        </w:rPr>
        <w:t xml:space="preserve">right </w:t>
      </w:r>
      <w:r w:rsidR="005E73AF" w:rsidRPr="00695B63">
        <w:rPr>
          <w:lang w:eastAsia="de-DE"/>
        </w:rPr>
        <w:t>eyes</w:t>
      </w:r>
      <w:r w:rsidR="00BF392B" w:rsidRPr="00695B63">
        <w:rPr>
          <w:lang w:eastAsia="de-DE"/>
        </w:rPr>
        <w:t>. Correlation between age and CRV was r = -0.12 (CRV decrease with age)</w:t>
      </w:r>
    </w:p>
    <w:p w14:paraId="586EA634" w14:textId="77777777" w:rsidR="00F51C5C" w:rsidRPr="00695B63" w:rsidRDefault="00F51C5C" w:rsidP="00F51C5C"/>
    <w:p w14:paraId="1A412A66" w14:textId="77777777" w:rsidR="00040F47" w:rsidRPr="00695B63" w:rsidRDefault="00040F47" w:rsidP="00F51C5C"/>
    <w:p w14:paraId="27EAFBDF" w14:textId="01DE1A59" w:rsidR="00F51C5C" w:rsidRPr="00695B63" w:rsidRDefault="0084509F" w:rsidP="00F51C5C">
      <w:r w:rsidRPr="00695B63">
        <w:rPr>
          <w:noProof/>
          <w14:ligatures w14:val="standardContextual"/>
        </w:rPr>
        <w:drawing>
          <wp:inline distT="0" distB="0" distL="0" distR="0" wp14:anchorId="40A567A7" wp14:editId="248648AA">
            <wp:extent cx="4056896" cy="2560325"/>
            <wp:effectExtent l="0" t="0" r="1270" b="0"/>
            <wp:docPr id="331290703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290703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56896" cy="256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CD71D3" w14:textId="198C5026" w:rsidR="00F51C5C" w:rsidRPr="00695B63" w:rsidRDefault="00F51C5C" w:rsidP="00F51C5C">
      <w:r w:rsidRPr="00695B63">
        <w:rPr>
          <w:b/>
          <w:bCs/>
          <w:lang w:eastAsia="de-DE"/>
        </w:rPr>
        <w:t xml:space="preserve">Supplementary Fig </w:t>
      </w:r>
      <w:r w:rsidR="00C34B6C" w:rsidRPr="00695B63">
        <w:rPr>
          <w:b/>
          <w:bCs/>
          <w:lang w:eastAsia="de-DE"/>
        </w:rPr>
        <w:t>4</w:t>
      </w:r>
      <w:r w:rsidRPr="00695B63">
        <w:rPr>
          <w:b/>
          <w:bCs/>
          <w:lang w:eastAsia="de-DE"/>
        </w:rPr>
        <w:t xml:space="preserve">  </w:t>
      </w:r>
      <w:r w:rsidRPr="00695B63">
        <w:rPr>
          <w:lang w:eastAsia="de-DE"/>
        </w:rPr>
        <w:t>Box plots of central retinal volume (CRV) for mortality groups (S, survived; A, all-cause</w:t>
      </w:r>
      <w:r w:rsidR="006E12F0" w:rsidRPr="00695B63">
        <w:rPr>
          <w:lang w:eastAsia="de-DE"/>
        </w:rPr>
        <w:t xml:space="preserve"> mortality</w:t>
      </w:r>
      <w:r w:rsidRPr="00695B63">
        <w:rPr>
          <w:lang w:eastAsia="de-DE"/>
        </w:rPr>
        <w:t>; C, CVD</w:t>
      </w:r>
      <w:r w:rsidR="006E12F0" w:rsidRPr="00695B63">
        <w:rPr>
          <w:lang w:eastAsia="de-DE"/>
        </w:rPr>
        <w:t xml:space="preserve"> mortality</w:t>
      </w:r>
      <w:r w:rsidRPr="00695B63">
        <w:rPr>
          <w:lang w:eastAsia="de-DE"/>
        </w:rPr>
        <w:t>; N, non-CVD</w:t>
      </w:r>
      <w:r w:rsidR="006E12F0" w:rsidRPr="00695B63">
        <w:rPr>
          <w:lang w:eastAsia="de-DE"/>
        </w:rPr>
        <w:t xml:space="preserve"> mortality</w:t>
      </w:r>
      <w:r w:rsidRPr="00695B63">
        <w:rPr>
          <w:lang w:eastAsia="de-DE"/>
        </w:rPr>
        <w:t>; P, premature</w:t>
      </w:r>
      <w:r w:rsidR="006E12F0" w:rsidRPr="00695B63">
        <w:rPr>
          <w:lang w:eastAsia="de-DE"/>
        </w:rPr>
        <w:t xml:space="preserve"> mortality</w:t>
      </w:r>
      <w:r w:rsidRPr="00695B63">
        <w:rPr>
          <w:lang w:eastAsia="de-DE"/>
        </w:rPr>
        <w:t>; L, late-life mortality). Below</w:t>
      </w:r>
      <w:r w:rsidR="006E12F0" w:rsidRPr="00695B63">
        <w:rPr>
          <w:lang w:eastAsia="de-DE"/>
        </w:rPr>
        <w:t xml:space="preserve"> the graph</w:t>
      </w:r>
      <w:r w:rsidRPr="00695B63">
        <w:rPr>
          <w:lang w:eastAsia="de-DE"/>
        </w:rPr>
        <w:t>, the number (n) of participants per group is shown</w:t>
      </w:r>
    </w:p>
    <w:p w14:paraId="0D7674E6" w14:textId="6EC256F6" w:rsidR="004F5C7A" w:rsidRPr="00695B63" w:rsidRDefault="004F5C7A" w:rsidP="007F7B60">
      <w:pPr>
        <w:rPr>
          <w:lang w:val="en-US"/>
        </w:rPr>
      </w:pPr>
    </w:p>
    <w:p w14:paraId="3CCD4F69" w14:textId="77777777" w:rsidR="00F51C5C" w:rsidRPr="00695B63" w:rsidRDefault="00F51C5C" w:rsidP="007F7B60">
      <w:pPr>
        <w:rPr>
          <w:lang w:val="en-US"/>
        </w:rPr>
      </w:pPr>
    </w:p>
    <w:p w14:paraId="1DB3177A" w14:textId="77777777" w:rsidR="00C34B6C" w:rsidRPr="00695B63" w:rsidRDefault="00C34B6C" w:rsidP="00C34B6C">
      <w:pPr>
        <w:rPr>
          <w:lang w:val="en-US"/>
        </w:rPr>
      </w:pPr>
    </w:p>
    <w:p w14:paraId="7A986853" w14:textId="77777777" w:rsidR="00C34B6C" w:rsidRPr="00695B63" w:rsidRDefault="00C34B6C" w:rsidP="00C34B6C">
      <w:pPr>
        <w:rPr>
          <w:lang w:val="en-US"/>
        </w:rPr>
      </w:pPr>
      <w:r w:rsidRPr="00695B63">
        <w:rPr>
          <w:noProof/>
          <w14:ligatures w14:val="standardContextual"/>
        </w:rPr>
        <w:lastRenderedPageBreak/>
        <w:drawing>
          <wp:inline distT="0" distB="0" distL="0" distR="0" wp14:anchorId="1A161977" wp14:editId="5CDB9D08">
            <wp:extent cx="5760720" cy="1767840"/>
            <wp:effectExtent l="0" t="0" r="0" b="3810"/>
            <wp:docPr id="894513697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451369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76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E74385" w14:textId="344347F9" w:rsidR="00C34B6C" w:rsidRPr="00695B63" w:rsidRDefault="00C34B6C" w:rsidP="00C34B6C">
      <w:pPr>
        <w:rPr>
          <w:lang w:eastAsia="de-DE"/>
        </w:rPr>
      </w:pPr>
      <w:r w:rsidRPr="00695B63">
        <w:rPr>
          <w:b/>
          <w:bCs/>
          <w:lang w:eastAsia="de-DE"/>
        </w:rPr>
        <w:t xml:space="preserve">Supplementary Fig 5  </w:t>
      </w:r>
      <w:r w:rsidRPr="00695B63">
        <w:rPr>
          <w:lang w:eastAsia="de-DE"/>
        </w:rPr>
        <w:t>Distribution of central retinal volume (CRV) in different AMD stages. (A) Box plots with comparison of CRV in participants’ right eyes with no (n=1,511), early (n=390) and late AMD (n=99). (B) Box plots with comparison of CRV in participants’ right eyes with no, early and late AMD separated in geographic atrophy (GA, n=23) and neovascularisation (NV, n=73). Note: Lower CRV in late AMD values are mainly due to GA in this study.</w:t>
      </w:r>
    </w:p>
    <w:p w14:paraId="50B102C8" w14:textId="77777777" w:rsidR="00C34B6C" w:rsidRPr="00695B63" w:rsidRDefault="00C34B6C" w:rsidP="007F7B60">
      <w:pPr>
        <w:rPr>
          <w:lang w:val="en-US"/>
        </w:rPr>
      </w:pPr>
    </w:p>
    <w:p w14:paraId="5AE1A63B" w14:textId="77777777" w:rsidR="00C34B6C" w:rsidRPr="00695B63" w:rsidRDefault="00C34B6C" w:rsidP="007F7B60">
      <w:pPr>
        <w:rPr>
          <w:lang w:val="en-US"/>
        </w:rPr>
      </w:pPr>
    </w:p>
    <w:p w14:paraId="0F3E2672" w14:textId="672159FC" w:rsidR="00980B18" w:rsidRPr="00695B63" w:rsidRDefault="00075AE2" w:rsidP="007F7B60">
      <w:pPr>
        <w:rPr>
          <w:lang w:val="en-US"/>
        </w:rPr>
      </w:pPr>
      <w:r w:rsidRPr="00695B63">
        <w:rPr>
          <w:noProof/>
          <w14:ligatures w14:val="standardContextual"/>
        </w:rPr>
        <w:drawing>
          <wp:inline distT="0" distB="0" distL="0" distR="0" wp14:anchorId="05860F16" wp14:editId="3EC67B60">
            <wp:extent cx="5760720" cy="2294255"/>
            <wp:effectExtent l="0" t="0" r="0" b="0"/>
            <wp:docPr id="1814000015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4000015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294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A6C364" w14:textId="4BF67E91" w:rsidR="00945D15" w:rsidRPr="00695B63" w:rsidRDefault="00945D15" w:rsidP="00945D15">
      <w:pPr>
        <w:rPr>
          <w:lang w:eastAsia="de-DE"/>
        </w:rPr>
      </w:pPr>
      <w:r w:rsidRPr="00695B63">
        <w:rPr>
          <w:b/>
          <w:bCs/>
          <w:lang w:eastAsia="de-DE"/>
        </w:rPr>
        <w:t xml:space="preserve">Supplementary Fig </w:t>
      </w:r>
      <w:r w:rsidR="00F51C5C" w:rsidRPr="00695B63">
        <w:rPr>
          <w:b/>
          <w:bCs/>
          <w:lang w:eastAsia="de-DE"/>
        </w:rPr>
        <w:t>6</w:t>
      </w:r>
      <w:r w:rsidRPr="00695B63">
        <w:rPr>
          <w:b/>
          <w:bCs/>
          <w:lang w:eastAsia="de-DE"/>
        </w:rPr>
        <w:t xml:space="preserve">  </w:t>
      </w:r>
      <w:r w:rsidRPr="00695B63">
        <w:rPr>
          <w:lang w:eastAsia="de-DE"/>
        </w:rPr>
        <w:t>Correlation</w:t>
      </w:r>
      <w:r w:rsidR="00C860D9" w:rsidRPr="00695B63">
        <w:rPr>
          <w:lang w:eastAsia="de-DE"/>
        </w:rPr>
        <w:t>s</w:t>
      </w:r>
      <w:r w:rsidRPr="00695B63">
        <w:rPr>
          <w:lang w:eastAsia="de-DE"/>
        </w:rPr>
        <w:t xml:space="preserve"> of central retinal volume (CRV) with </w:t>
      </w:r>
      <w:r w:rsidR="005A3D73" w:rsidRPr="00695B63">
        <w:rPr>
          <w:lang w:eastAsia="de-DE"/>
        </w:rPr>
        <w:t xml:space="preserve">seven distinct </w:t>
      </w:r>
      <w:r w:rsidRPr="00695B63">
        <w:rPr>
          <w:lang w:eastAsia="de-DE"/>
        </w:rPr>
        <w:t xml:space="preserve">retinal layer </w:t>
      </w:r>
      <w:r w:rsidR="00C860D9" w:rsidRPr="00695B63">
        <w:rPr>
          <w:lang w:eastAsia="de-DE"/>
        </w:rPr>
        <w:t>volumes</w:t>
      </w:r>
      <w:r w:rsidRPr="00695B63">
        <w:rPr>
          <w:lang w:eastAsia="de-DE"/>
        </w:rPr>
        <w:t xml:space="preserve"> from </w:t>
      </w:r>
      <w:r w:rsidR="005A3D73" w:rsidRPr="00695B63">
        <w:rPr>
          <w:lang w:eastAsia="de-DE"/>
        </w:rPr>
        <w:t>Heidelberg Spectralis SD-</w:t>
      </w:r>
      <w:r w:rsidRPr="00695B63">
        <w:rPr>
          <w:lang w:eastAsia="de-DE"/>
        </w:rPr>
        <w:t xml:space="preserve">OCT </w:t>
      </w:r>
      <w:r w:rsidR="005A3D73" w:rsidRPr="00695B63">
        <w:rPr>
          <w:lang w:eastAsia="de-DE"/>
        </w:rPr>
        <w:t>output</w:t>
      </w:r>
      <w:r w:rsidR="00075AE2" w:rsidRPr="00695B63">
        <w:rPr>
          <w:lang w:eastAsia="de-DE"/>
        </w:rPr>
        <w:t xml:space="preserve"> (NFL, nerve fibre layer; GCL, ganglion cell layer; IPL, inner plexiform layer; INL, inner nuclear layer; OPL, outer plexiform layer; ONL, outer nuclear layer; RPE, retinal pigment epithelium)</w:t>
      </w:r>
      <w:r w:rsidRPr="00695B63">
        <w:rPr>
          <w:lang w:eastAsia="de-DE"/>
        </w:rPr>
        <w:t>.</w:t>
      </w:r>
      <w:r w:rsidR="00075AE2" w:rsidRPr="00695B63">
        <w:rPr>
          <w:lang w:eastAsia="de-DE"/>
        </w:rPr>
        <w:t xml:space="preserve"> Depicted are the scatter plots. Person’s correlation coefficients are given with 95% confidence intervals (CI). Count describes the number of data points after quality control based on 2,166 CRV measurements. Note: retinal layers were not manually curated</w:t>
      </w:r>
    </w:p>
    <w:p w14:paraId="114F7F77" w14:textId="77777777" w:rsidR="001542F3" w:rsidRPr="00695B63" w:rsidRDefault="001542F3"/>
    <w:sectPr w:rsidR="001542F3" w:rsidRPr="00695B63" w:rsidSect="007343E4">
      <w:headerReference w:type="default" r:id="rId12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EB1456" w14:textId="77777777" w:rsidR="006F70D1" w:rsidRDefault="006F70D1">
      <w:pPr>
        <w:spacing w:after="0" w:line="240" w:lineRule="auto"/>
      </w:pPr>
      <w:r>
        <w:separator/>
      </w:r>
    </w:p>
  </w:endnote>
  <w:endnote w:type="continuationSeparator" w:id="0">
    <w:p w14:paraId="6E59AA2C" w14:textId="77777777" w:rsidR="006F70D1" w:rsidRDefault="006F70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DACCBD" w14:textId="77777777" w:rsidR="006F70D1" w:rsidRDefault="006F70D1">
      <w:pPr>
        <w:spacing w:after="0" w:line="240" w:lineRule="auto"/>
      </w:pPr>
      <w:r>
        <w:separator/>
      </w:r>
    </w:p>
  </w:footnote>
  <w:footnote w:type="continuationSeparator" w:id="0">
    <w:p w14:paraId="3E928AB0" w14:textId="77777777" w:rsidR="006F70D1" w:rsidRDefault="006F70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34236991"/>
      <w:docPartObj>
        <w:docPartGallery w:val="Page Numbers (Top of Page)"/>
        <w:docPartUnique/>
      </w:docPartObj>
    </w:sdtPr>
    <w:sdtContent>
      <w:p w14:paraId="0135A7D9" w14:textId="77777777" w:rsidR="00F576E9" w:rsidRDefault="00000000">
        <w:pPr>
          <w:pStyle w:val="Kopf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11</w:t>
        </w:r>
        <w:r>
          <w:fldChar w:fldCharType="end"/>
        </w:r>
      </w:p>
    </w:sdtContent>
  </w:sdt>
  <w:p w14:paraId="0274E722" w14:textId="77777777" w:rsidR="00F576E9" w:rsidRDefault="00F576E9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3E4"/>
    <w:rsid w:val="0001796C"/>
    <w:rsid w:val="0002065E"/>
    <w:rsid w:val="00040F47"/>
    <w:rsid w:val="000500BE"/>
    <w:rsid w:val="00075AE2"/>
    <w:rsid w:val="000A5F2E"/>
    <w:rsid w:val="001025BB"/>
    <w:rsid w:val="001542F3"/>
    <w:rsid w:val="00180136"/>
    <w:rsid w:val="001C314E"/>
    <w:rsid w:val="001E5B12"/>
    <w:rsid w:val="00273230"/>
    <w:rsid w:val="003066CD"/>
    <w:rsid w:val="00364C37"/>
    <w:rsid w:val="003A1FB8"/>
    <w:rsid w:val="003F3DDF"/>
    <w:rsid w:val="0040677F"/>
    <w:rsid w:val="00426C6E"/>
    <w:rsid w:val="004274C8"/>
    <w:rsid w:val="004360EA"/>
    <w:rsid w:val="00454F1B"/>
    <w:rsid w:val="004F5C7A"/>
    <w:rsid w:val="005836DB"/>
    <w:rsid w:val="005A3D73"/>
    <w:rsid w:val="005B7CE9"/>
    <w:rsid w:val="005D2E7C"/>
    <w:rsid w:val="005E73AF"/>
    <w:rsid w:val="00646540"/>
    <w:rsid w:val="00656838"/>
    <w:rsid w:val="00677487"/>
    <w:rsid w:val="00695A54"/>
    <w:rsid w:val="00695B63"/>
    <w:rsid w:val="006C6972"/>
    <w:rsid w:val="006E12F0"/>
    <w:rsid w:val="006E554B"/>
    <w:rsid w:val="006F4C24"/>
    <w:rsid w:val="006F70D1"/>
    <w:rsid w:val="007343E4"/>
    <w:rsid w:val="0073461F"/>
    <w:rsid w:val="007375A9"/>
    <w:rsid w:val="00773D2D"/>
    <w:rsid w:val="007F41CF"/>
    <w:rsid w:val="007F7B60"/>
    <w:rsid w:val="0084509F"/>
    <w:rsid w:val="00874BF9"/>
    <w:rsid w:val="0088783D"/>
    <w:rsid w:val="00925D97"/>
    <w:rsid w:val="00945D15"/>
    <w:rsid w:val="00980B18"/>
    <w:rsid w:val="009C0DB3"/>
    <w:rsid w:val="009C2C87"/>
    <w:rsid w:val="00A775DA"/>
    <w:rsid w:val="00A867D3"/>
    <w:rsid w:val="00A959B9"/>
    <w:rsid w:val="00AA2119"/>
    <w:rsid w:val="00AA6F0D"/>
    <w:rsid w:val="00AB504A"/>
    <w:rsid w:val="00B1439C"/>
    <w:rsid w:val="00B91361"/>
    <w:rsid w:val="00BF392B"/>
    <w:rsid w:val="00C27040"/>
    <w:rsid w:val="00C345C0"/>
    <w:rsid w:val="00C34B6C"/>
    <w:rsid w:val="00C500DF"/>
    <w:rsid w:val="00C860D9"/>
    <w:rsid w:val="00CA4E98"/>
    <w:rsid w:val="00CF1A69"/>
    <w:rsid w:val="00D171F3"/>
    <w:rsid w:val="00D411E3"/>
    <w:rsid w:val="00D5342F"/>
    <w:rsid w:val="00D84CCB"/>
    <w:rsid w:val="00E32B7A"/>
    <w:rsid w:val="00E33896"/>
    <w:rsid w:val="00E8705E"/>
    <w:rsid w:val="00F17B8F"/>
    <w:rsid w:val="00F51C5C"/>
    <w:rsid w:val="00F576E9"/>
    <w:rsid w:val="00F85895"/>
    <w:rsid w:val="00F9417A"/>
    <w:rsid w:val="00FA619D"/>
    <w:rsid w:val="00FB285B"/>
    <w:rsid w:val="00FC537C"/>
    <w:rsid w:val="00FD0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01C3E5"/>
  <w15:chartTrackingRefBased/>
  <w15:docId w15:val="{ACD5B6CB-B0F6-489D-90BB-A76E1DB5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7343E4"/>
    <w:pPr>
      <w:jc w:val="both"/>
    </w:pPr>
    <w:rPr>
      <w:rFonts w:ascii="Arial" w:hAnsi="Arial"/>
      <w:lang w:val="en-GB"/>
      <w14:ligatures w14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7343E4"/>
    <w:pPr>
      <w:keepNext/>
      <w:keepLines/>
      <w:spacing w:before="360" w:after="80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US"/>
      <w14:ligatures w14:val="standardContextual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7343E4"/>
    <w:pPr>
      <w:keepNext/>
      <w:keepLines/>
      <w:spacing w:before="160" w:after="80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US"/>
      <w14:ligatures w14:val="standardContextual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7343E4"/>
    <w:pPr>
      <w:keepNext/>
      <w:keepLines/>
      <w:spacing w:before="160" w:after="80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val="en-US"/>
      <w14:ligatures w14:val="standardContextual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7343E4"/>
    <w:pPr>
      <w:keepNext/>
      <w:keepLines/>
      <w:spacing w:before="80" w:after="40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lang w:val="en-US"/>
      <w14:ligatures w14:val="standardContextual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7343E4"/>
    <w:pPr>
      <w:keepNext/>
      <w:keepLines/>
      <w:spacing w:before="80" w:after="40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lang w:val="en-US"/>
      <w14:ligatures w14:val="standardContextual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7343E4"/>
    <w:pPr>
      <w:keepNext/>
      <w:keepLines/>
      <w:spacing w:before="40" w:after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lang w:val="en-US"/>
      <w14:ligatures w14:val="standardContextual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7343E4"/>
    <w:pPr>
      <w:keepNext/>
      <w:keepLines/>
      <w:spacing w:before="40" w:after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lang w:val="en-US"/>
      <w14:ligatures w14:val="standardContextual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7343E4"/>
    <w:pPr>
      <w:keepNext/>
      <w:keepLines/>
      <w:spacing w:after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lang w:val="en-US"/>
      <w14:ligatures w14:val="standardContextual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7343E4"/>
    <w:pPr>
      <w:keepNext/>
      <w:keepLines/>
      <w:spacing w:after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lang w:val="en-US"/>
      <w14:ligatures w14:val="standardContextu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7343E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7343E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7343E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7343E4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7343E4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7343E4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7343E4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7343E4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7343E4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7343E4"/>
    <w:pPr>
      <w:spacing w:after="80" w:line="240" w:lineRule="auto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  <w14:ligatures w14:val="standardContextual"/>
    </w:rPr>
  </w:style>
  <w:style w:type="character" w:customStyle="1" w:styleId="TitelZchn">
    <w:name w:val="Titel Zchn"/>
    <w:basedOn w:val="Absatz-Standardschriftart"/>
    <w:link w:val="Titel"/>
    <w:uiPriority w:val="10"/>
    <w:rsid w:val="007343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7343E4"/>
    <w:pPr>
      <w:numPr>
        <w:ilvl w:val="1"/>
      </w:numPr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en-US"/>
      <w14:ligatures w14:val="standardContextual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7343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7343E4"/>
    <w:pPr>
      <w:spacing w:before="160"/>
      <w:jc w:val="center"/>
    </w:pPr>
    <w:rPr>
      <w:rFonts w:asciiTheme="minorHAnsi" w:hAnsiTheme="minorHAnsi"/>
      <w:i/>
      <w:iCs/>
      <w:color w:val="404040" w:themeColor="text1" w:themeTint="BF"/>
      <w:lang w:val="en-US"/>
      <w14:ligatures w14:val="standardContextual"/>
    </w:rPr>
  </w:style>
  <w:style w:type="character" w:customStyle="1" w:styleId="ZitatZchn">
    <w:name w:val="Zitat Zchn"/>
    <w:basedOn w:val="Absatz-Standardschriftart"/>
    <w:link w:val="Zitat"/>
    <w:uiPriority w:val="29"/>
    <w:rsid w:val="007343E4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7343E4"/>
    <w:pPr>
      <w:ind w:left="720"/>
      <w:contextualSpacing/>
      <w:jc w:val="left"/>
    </w:pPr>
    <w:rPr>
      <w:rFonts w:asciiTheme="minorHAnsi" w:hAnsiTheme="minorHAnsi"/>
      <w:lang w:val="en-US"/>
      <w14:ligatures w14:val="standardContextual"/>
    </w:rPr>
  </w:style>
  <w:style w:type="character" w:styleId="IntensiveHervorhebung">
    <w:name w:val="Intense Emphasis"/>
    <w:basedOn w:val="Absatz-Standardschriftart"/>
    <w:uiPriority w:val="21"/>
    <w:qFormat/>
    <w:rsid w:val="007343E4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7343E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hAnsiTheme="minorHAnsi"/>
      <w:i/>
      <w:iCs/>
      <w:color w:val="0F4761" w:themeColor="accent1" w:themeShade="BF"/>
      <w:lang w:val="en-US"/>
      <w14:ligatures w14:val="standardContextual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7343E4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7343E4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7343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7343E4"/>
    <w:rPr>
      <w:rFonts w:ascii="Arial" w:hAnsi="Arial"/>
      <w:lang w:val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382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Universitaet Regensburg</Company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Klaus Stark</dc:creator>
  <cp:keywords/>
  <dc:description/>
  <cp:lastModifiedBy>Klaus Stark</cp:lastModifiedBy>
  <cp:revision>14</cp:revision>
  <dcterms:created xsi:type="dcterms:W3CDTF">2025-05-09T13:22:00Z</dcterms:created>
  <dcterms:modified xsi:type="dcterms:W3CDTF">2025-06-17T13:03:00Z</dcterms:modified>
</cp:coreProperties>
</file>