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DDEDE" w14:textId="081B3A6E" w:rsidR="003578ED" w:rsidRPr="001F1422" w:rsidRDefault="00F225EE" w:rsidP="00F225E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0" w:name="_Hlk62833909"/>
      <w:r w:rsidRPr="00971901">
        <w:rPr>
          <w:rFonts w:asciiTheme="majorBidi" w:hAnsiTheme="majorBidi" w:cstheme="majorBidi"/>
          <w:b/>
          <w:bCs/>
          <w:sz w:val="28"/>
          <w:szCs w:val="28"/>
        </w:rPr>
        <w:t xml:space="preserve">Cataract Surgery in Eyes with Adult-Onset </w:t>
      </w:r>
      <w:proofErr w:type="spellStart"/>
      <w:r w:rsidRPr="00971901">
        <w:rPr>
          <w:rFonts w:asciiTheme="majorBidi" w:hAnsiTheme="majorBidi" w:cstheme="majorBidi"/>
          <w:b/>
          <w:bCs/>
          <w:sz w:val="28"/>
          <w:szCs w:val="28"/>
        </w:rPr>
        <w:t>Foveomacular</w:t>
      </w:r>
      <w:proofErr w:type="spellEnd"/>
      <w:r w:rsidRPr="00971901">
        <w:rPr>
          <w:rFonts w:asciiTheme="majorBidi" w:hAnsiTheme="majorBidi" w:cstheme="majorBidi"/>
          <w:b/>
          <w:bCs/>
          <w:sz w:val="28"/>
          <w:szCs w:val="28"/>
        </w:rPr>
        <w:t>-Vitelliform Dystrophy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578ED">
        <w:rPr>
          <w:rFonts w:asciiTheme="majorBidi" w:hAnsiTheme="majorBidi" w:cstheme="majorBidi"/>
          <w:b/>
          <w:sz w:val="28"/>
          <w:szCs w:val="28"/>
        </w:rPr>
        <w:t>(</w:t>
      </w:r>
      <w:r>
        <w:rPr>
          <w:rFonts w:asciiTheme="majorBidi" w:hAnsiTheme="majorBidi" w:cstheme="majorBidi"/>
          <w:b/>
          <w:sz w:val="28"/>
          <w:szCs w:val="28"/>
        </w:rPr>
        <w:t xml:space="preserve">Unilateral Sub-group Analysis; </w:t>
      </w:r>
      <w:r w:rsidR="003578ED">
        <w:rPr>
          <w:rFonts w:asciiTheme="majorBidi" w:hAnsiTheme="majorBidi" w:cstheme="majorBidi"/>
          <w:b/>
          <w:sz w:val="28"/>
          <w:szCs w:val="28"/>
        </w:rPr>
        <w:t>Supplementary material)</w:t>
      </w:r>
    </w:p>
    <w:bookmarkEnd w:id="0"/>
    <w:p w14:paraId="6E2BC9CE" w14:textId="77777777" w:rsidR="003578ED" w:rsidRPr="001F1422" w:rsidRDefault="003578ED" w:rsidP="003578E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0"/>
          <w:szCs w:val="20"/>
        </w:rPr>
      </w:pPr>
    </w:p>
    <w:p w14:paraId="333ADC8F" w14:textId="77777777" w:rsidR="00F225EE" w:rsidRPr="00971901" w:rsidRDefault="00F225EE" w:rsidP="00F225E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71901">
        <w:rPr>
          <w:rFonts w:asciiTheme="majorBidi" w:hAnsiTheme="majorBidi" w:cstheme="majorBidi"/>
          <w:sz w:val="24"/>
          <w:szCs w:val="24"/>
        </w:rPr>
        <w:t xml:space="preserve">Or Shmueli, MD (1), Tomer Batash, MD (1), Itay Nitzan, MD (1), Itay </w:t>
      </w:r>
      <w:proofErr w:type="spellStart"/>
      <w:r w:rsidRPr="00971901">
        <w:rPr>
          <w:rFonts w:asciiTheme="majorBidi" w:hAnsiTheme="majorBidi" w:cstheme="majorBidi"/>
          <w:sz w:val="24"/>
          <w:szCs w:val="24"/>
        </w:rPr>
        <w:t>Chowers</w:t>
      </w:r>
      <w:proofErr w:type="spellEnd"/>
      <w:r w:rsidRPr="00971901">
        <w:rPr>
          <w:rFonts w:asciiTheme="majorBidi" w:hAnsiTheme="majorBidi" w:cstheme="majorBidi"/>
          <w:sz w:val="24"/>
          <w:szCs w:val="24"/>
        </w:rPr>
        <w:t xml:space="preserve">, MD (1), Liran </w:t>
      </w:r>
      <w:proofErr w:type="spellStart"/>
      <w:r w:rsidRPr="00971901">
        <w:rPr>
          <w:rFonts w:asciiTheme="majorBidi" w:hAnsiTheme="majorBidi" w:cstheme="majorBidi"/>
          <w:sz w:val="24"/>
          <w:szCs w:val="24"/>
        </w:rPr>
        <w:t>Tiosano</w:t>
      </w:r>
      <w:proofErr w:type="spellEnd"/>
      <w:r w:rsidRPr="00971901">
        <w:rPr>
          <w:rFonts w:asciiTheme="majorBidi" w:hAnsiTheme="majorBidi" w:cstheme="majorBidi"/>
          <w:sz w:val="24"/>
          <w:szCs w:val="24"/>
        </w:rPr>
        <w:t>, MD (1)</w:t>
      </w:r>
    </w:p>
    <w:p w14:paraId="460C7A55" w14:textId="77777777" w:rsidR="003578ED" w:rsidRPr="001F1422" w:rsidRDefault="003578ED" w:rsidP="003578ED">
      <w:pPr>
        <w:autoSpaceDE w:val="0"/>
        <w:autoSpaceDN w:val="0"/>
        <w:adjustRightInd w:val="0"/>
        <w:spacing w:after="0" w:line="360" w:lineRule="auto"/>
        <w:ind w:right="-279"/>
        <w:jc w:val="center"/>
        <w:rPr>
          <w:rFonts w:asciiTheme="majorBidi" w:hAnsiTheme="majorBidi" w:cstheme="majorBidi"/>
          <w:sz w:val="20"/>
          <w:szCs w:val="20"/>
        </w:rPr>
      </w:pPr>
    </w:p>
    <w:p w14:paraId="67BDD84E" w14:textId="77777777" w:rsidR="003578ED" w:rsidRPr="001F1422" w:rsidRDefault="003578ED" w:rsidP="003578ED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</w:p>
    <w:p w14:paraId="426ED6D9" w14:textId="77777777" w:rsidR="003578ED" w:rsidRPr="001F1422" w:rsidRDefault="003578ED" w:rsidP="003578ED">
      <w:pPr>
        <w:spacing w:after="0" w:line="360" w:lineRule="auto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1351E9F" w14:textId="77777777" w:rsidR="003578ED" w:rsidRPr="00F225EE" w:rsidRDefault="003578ED" w:rsidP="003578E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225EE">
        <w:rPr>
          <w:rFonts w:asciiTheme="majorBidi" w:hAnsiTheme="majorBidi" w:cstheme="majorBidi"/>
          <w:b/>
          <w:sz w:val="24"/>
          <w:szCs w:val="24"/>
        </w:rPr>
        <w:t>Correspondence</w:t>
      </w:r>
      <w:r w:rsidRPr="00F225EE">
        <w:rPr>
          <w:rFonts w:asciiTheme="majorBidi" w:hAnsiTheme="majorBidi" w:cstheme="majorBidi"/>
          <w:sz w:val="24"/>
          <w:szCs w:val="24"/>
        </w:rPr>
        <w:t xml:space="preserve">: </w:t>
      </w:r>
    </w:p>
    <w:p w14:paraId="0C540D1C" w14:textId="77777777" w:rsidR="00F225EE" w:rsidRDefault="00F225EE" w:rsidP="00F225E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71901">
        <w:rPr>
          <w:rFonts w:asciiTheme="majorBidi" w:hAnsiTheme="majorBidi" w:cstheme="majorBidi"/>
          <w:sz w:val="24"/>
          <w:szCs w:val="24"/>
        </w:rPr>
        <w:t>Or Shmueli, MD, Ophthalmology Department, Hadassah Medical Center, Faculty of Medicine, Hebrew University, Jerusalem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605E9">
        <w:rPr>
          <w:rFonts w:asciiTheme="majorBidi" w:hAnsiTheme="majorBidi" w:cstheme="majorBidi"/>
          <w:sz w:val="24"/>
          <w:szCs w:val="24"/>
        </w:rPr>
        <w:t>91120</w:t>
      </w:r>
      <w:r w:rsidRPr="00971901">
        <w:rPr>
          <w:rFonts w:asciiTheme="majorBidi" w:hAnsiTheme="majorBidi" w:cstheme="majorBidi"/>
          <w:sz w:val="24"/>
          <w:szCs w:val="24"/>
        </w:rPr>
        <w:t xml:space="preserve">, </w:t>
      </w:r>
      <w:r w:rsidRPr="002605E9">
        <w:rPr>
          <w:rFonts w:asciiTheme="majorBidi" w:hAnsiTheme="majorBidi" w:cstheme="majorBidi"/>
          <w:sz w:val="24"/>
          <w:szCs w:val="24"/>
        </w:rPr>
        <w:t>POB 12000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971901">
        <w:rPr>
          <w:rFonts w:asciiTheme="majorBidi" w:hAnsiTheme="majorBidi" w:cstheme="majorBidi"/>
          <w:sz w:val="24"/>
          <w:szCs w:val="24"/>
        </w:rPr>
        <w:t>Israel.</w:t>
      </w:r>
    </w:p>
    <w:p w14:paraId="0F879D9A" w14:textId="77777777" w:rsidR="00F225EE" w:rsidRPr="00971901" w:rsidRDefault="00F225EE" w:rsidP="00F225E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7190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971901">
        <w:rPr>
          <w:rFonts w:asciiTheme="majorBidi" w:hAnsiTheme="majorBidi" w:cstheme="majorBidi"/>
          <w:sz w:val="24"/>
          <w:szCs w:val="24"/>
        </w:rPr>
        <w:t xml:space="preserve">Tel.: </w:t>
      </w:r>
      <w:r w:rsidRPr="00971901">
        <w:rPr>
          <w:rFonts w:asciiTheme="majorBidi" w:hAnsiTheme="majorBidi" w:cstheme="majorBidi"/>
          <w:sz w:val="24"/>
          <w:szCs w:val="24"/>
          <w:rtl/>
        </w:rPr>
        <w:t>‏</w:t>
      </w:r>
      <w:r w:rsidRPr="00971901">
        <w:rPr>
          <w:rFonts w:asciiTheme="majorBidi" w:hAnsiTheme="majorBidi" w:cstheme="majorBidi"/>
          <w:sz w:val="24"/>
          <w:szCs w:val="24"/>
        </w:rPr>
        <w:t xml:space="preserve">+972547631035. </w:t>
      </w:r>
    </w:p>
    <w:p w14:paraId="60B5D9C9" w14:textId="77777777" w:rsidR="00F225EE" w:rsidRPr="00971901" w:rsidRDefault="00F225EE" w:rsidP="00F225E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71901">
        <w:rPr>
          <w:rFonts w:asciiTheme="majorBidi" w:hAnsiTheme="majorBidi" w:cstheme="majorBidi"/>
          <w:sz w:val="24"/>
          <w:szCs w:val="24"/>
        </w:rPr>
        <w:t xml:space="preserve">E-mail address: </w:t>
      </w:r>
      <w:hyperlink r:id="rId5" w:history="1">
        <w:r w:rsidRPr="00971901">
          <w:rPr>
            <w:rStyle w:val="Hyperlink"/>
            <w:rFonts w:asciiTheme="majorBidi" w:hAnsiTheme="majorBidi" w:cstheme="majorBidi"/>
            <w:sz w:val="24"/>
            <w:szCs w:val="24"/>
          </w:rPr>
          <w:t>Orchuk86@gmail.com</w:t>
        </w:r>
      </w:hyperlink>
    </w:p>
    <w:p w14:paraId="44BD9C10" w14:textId="77777777" w:rsidR="00AD2149" w:rsidRDefault="00AD2149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1F2556A" w14:textId="77777777" w:rsidR="003578ED" w:rsidRDefault="003578ED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58BF914" w14:textId="77777777" w:rsidR="003578ED" w:rsidRDefault="003578ED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0E027DD" w14:textId="77777777" w:rsidR="003578ED" w:rsidRDefault="003578ED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F2864CB" w14:textId="77777777" w:rsidR="003578ED" w:rsidRDefault="003578ED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C336F2F" w14:textId="77777777" w:rsidR="003578ED" w:rsidRDefault="003578ED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9A9F7B7" w14:textId="77777777" w:rsidR="003578ED" w:rsidRDefault="003578ED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BF542BB" w14:textId="77777777" w:rsidR="003578ED" w:rsidRDefault="003578ED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EEA2057" w14:textId="77777777" w:rsidR="003578ED" w:rsidRDefault="003578ED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440F9E7" w14:textId="77777777" w:rsidR="00F225EE" w:rsidRPr="00F225EE" w:rsidRDefault="00F225EE" w:rsidP="00F225EE">
      <w:pPr>
        <w:spacing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F225EE">
        <w:rPr>
          <w:rFonts w:asciiTheme="majorBidi" w:hAnsiTheme="majorBidi" w:cstheme="majorBidi"/>
          <w:b/>
          <w:bCs/>
          <w:sz w:val="28"/>
          <w:szCs w:val="28"/>
        </w:rPr>
        <w:t>Table S1.</w:t>
      </w:r>
      <w:r w:rsidRPr="00F225EE">
        <w:rPr>
          <w:rFonts w:asciiTheme="majorBidi" w:hAnsiTheme="majorBidi" w:cstheme="majorBidi"/>
          <w:sz w:val="28"/>
          <w:szCs w:val="28"/>
        </w:rPr>
        <w:t xml:space="preserve"> </w:t>
      </w:r>
      <w:r w:rsidRPr="00F225EE">
        <w:rPr>
          <w:rFonts w:asciiTheme="majorBidi" w:hAnsiTheme="majorBidi" w:cstheme="majorBidi"/>
          <w:b/>
          <w:bCs/>
          <w:sz w:val="28"/>
          <w:szCs w:val="28"/>
        </w:rPr>
        <w:t>Baseline</w:t>
      </w:r>
      <w:r w:rsidRPr="00F225EE">
        <w:rPr>
          <w:rFonts w:asciiTheme="majorBidi" w:hAnsiTheme="majorBidi" w:cstheme="majorBidi"/>
          <w:sz w:val="28"/>
          <w:szCs w:val="28"/>
        </w:rPr>
        <w:t xml:space="preserve"> </w:t>
      </w:r>
      <w:r w:rsidRPr="00F225EE">
        <w:rPr>
          <w:rFonts w:asciiTheme="majorBidi" w:hAnsiTheme="majorBidi" w:cstheme="majorBidi"/>
          <w:b/>
          <w:bCs/>
          <w:sz w:val="28"/>
          <w:szCs w:val="28"/>
        </w:rPr>
        <w:t>Patients Characteristics for Unilateral Sub-group Analysis</w:t>
      </w:r>
    </w:p>
    <w:tbl>
      <w:tblPr>
        <w:tblStyle w:val="a4"/>
        <w:bidiVisual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2979"/>
        <w:gridCol w:w="3119"/>
        <w:gridCol w:w="2403"/>
      </w:tblGrid>
      <w:tr w:rsidR="00F225EE" w:rsidRPr="004664EB" w14:paraId="3537D10D" w14:textId="77777777" w:rsidTr="00F225EE">
        <w:trPr>
          <w:trHeight w:val="179"/>
          <w:jc w:val="center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BBFFED0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NVAMD</w:t>
            </w:r>
          </w:p>
        </w:tc>
        <w:tc>
          <w:tcPr>
            <w:tcW w:w="2979" w:type="dxa"/>
            <w:shd w:val="clear" w:color="auto" w:fill="D9D9D9" w:themeFill="background1" w:themeFillShade="D9"/>
            <w:vAlign w:val="center"/>
          </w:tcPr>
          <w:p w14:paraId="0F9F60FC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None-Neovascular</w:t>
            </w:r>
            <w:r w:rsidRPr="004664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AMD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0585AEB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4664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AVFD</w:t>
            </w:r>
          </w:p>
        </w:tc>
        <w:tc>
          <w:tcPr>
            <w:tcW w:w="2403" w:type="dxa"/>
            <w:shd w:val="clear" w:color="auto" w:fill="D9D9D9" w:themeFill="background1" w:themeFillShade="D9"/>
            <w:vAlign w:val="center"/>
          </w:tcPr>
          <w:p w14:paraId="08A4CC21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</w:t>
            </w:r>
          </w:p>
        </w:tc>
      </w:tr>
      <w:tr w:rsidR="00F225EE" w:rsidRPr="004664EB" w14:paraId="1D05D0B7" w14:textId="77777777" w:rsidTr="00F225EE">
        <w:trPr>
          <w:trHeight w:val="187"/>
          <w:jc w:val="center"/>
        </w:trPr>
        <w:tc>
          <w:tcPr>
            <w:tcW w:w="2694" w:type="dxa"/>
            <w:vAlign w:val="center"/>
          </w:tcPr>
          <w:p w14:paraId="395BA901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2979" w:type="dxa"/>
            <w:vAlign w:val="center"/>
          </w:tcPr>
          <w:p w14:paraId="0C6F5792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3119" w:type="dxa"/>
            <w:vAlign w:val="center"/>
          </w:tcPr>
          <w:p w14:paraId="267F251A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76BF1E99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eyes</w:t>
            </w:r>
          </w:p>
        </w:tc>
      </w:tr>
      <w:tr w:rsidR="00F225EE" w:rsidRPr="004664EB" w14:paraId="552D3017" w14:textId="77777777" w:rsidTr="00F225EE">
        <w:trPr>
          <w:trHeight w:val="179"/>
          <w:jc w:val="center"/>
        </w:trPr>
        <w:tc>
          <w:tcPr>
            <w:tcW w:w="2694" w:type="dxa"/>
            <w:vAlign w:val="center"/>
          </w:tcPr>
          <w:p w14:paraId="0324BD26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1M= 100%</w:t>
            </w:r>
          </w:p>
          <w:p w14:paraId="337904EA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3M= 100%</w:t>
            </w:r>
          </w:p>
          <w:p w14:paraId="44BE61FF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6M= 100%</w:t>
            </w:r>
          </w:p>
          <w:p w14:paraId="56C24E13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12M=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96.5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  <w:p w14:paraId="773A11F4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Last Follow-up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= 100%</w:t>
            </w:r>
          </w:p>
        </w:tc>
        <w:tc>
          <w:tcPr>
            <w:tcW w:w="2979" w:type="dxa"/>
            <w:vAlign w:val="center"/>
          </w:tcPr>
          <w:p w14:paraId="09CFC2CB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1M= 100%</w:t>
            </w:r>
          </w:p>
          <w:p w14:paraId="027090AF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3M=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57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  <w:p w14:paraId="336B4020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6M=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47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  <w:p w14:paraId="3487C818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12M=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47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  <w:p w14:paraId="5814219A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Last Follow-up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=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71.4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3119" w:type="dxa"/>
            <w:vAlign w:val="center"/>
          </w:tcPr>
          <w:p w14:paraId="1759E578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1M= 100%</w:t>
            </w:r>
          </w:p>
          <w:p w14:paraId="6EC4DBDF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3M=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81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  <w:p w14:paraId="1133EB75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6M=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81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  <w:p w14:paraId="0FDC9B48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M=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72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  <w:p w14:paraId="1D3DE057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Last Follow-up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=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54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69D43282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4C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Follow up rate (months and</w:t>
            </w:r>
            <w:r w:rsidRPr="004664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percent of eyes):</w:t>
            </w:r>
          </w:p>
          <w:p w14:paraId="0CA29B51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225EE" w:rsidRPr="004664EB" w14:paraId="40533B23" w14:textId="77777777" w:rsidTr="00F225EE">
        <w:trPr>
          <w:trHeight w:val="187"/>
          <w:jc w:val="center"/>
        </w:trPr>
        <w:tc>
          <w:tcPr>
            <w:tcW w:w="2694" w:type="dxa"/>
          </w:tcPr>
          <w:p w14:paraId="419ACF00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±7.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79; 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59-90)</w:t>
            </w:r>
          </w:p>
        </w:tc>
        <w:tc>
          <w:tcPr>
            <w:tcW w:w="2979" w:type="dxa"/>
          </w:tcPr>
          <w:p w14:paraId="6B041B5F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77.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±10.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79; 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61-92)</w:t>
            </w:r>
          </w:p>
        </w:tc>
        <w:tc>
          <w:tcPr>
            <w:tcW w:w="3119" w:type="dxa"/>
          </w:tcPr>
          <w:p w14:paraId="179B0CB1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±5.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78; 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-87)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32429B79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rtl/>
              </w:rPr>
            </w:pPr>
            <w:r w:rsidRPr="004664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(years)</w:t>
            </w:r>
          </w:p>
        </w:tc>
      </w:tr>
      <w:tr w:rsidR="00F225EE" w:rsidRPr="004664EB" w14:paraId="1C91646C" w14:textId="77777777" w:rsidTr="00F225EE">
        <w:trPr>
          <w:trHeight w:val="179"/>
          <w:jc w:val="center"/>
        </w:trPr>
        <w:tc>
          <w:tcPr>
            <w:tcW w:w="2694" w:type="dxa"/>
          </w:tcPr>
          <w:p w14:paraId="541080CF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58.6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%/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41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2979" w:type="dxa"/>
          </w:tcPr>
          <w:p w14:paraId="182A6FE6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61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%/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38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3119" w:type="dxa"/>
          </w:tcPr>
          <w:p w14:paraId="2F139735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36.4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%/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63.6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1D9C9F21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664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Males/Females (%)</w:t>
            </w:r>
          </w:p>
        </w:tc>
      </w:tr>
      <w:tr w:rsidR="00F225EE" w:rsidRPr="004664EB" w14:paraId="316DF292" w14:textId="77777777" w:rsidTr="00F225EE">
        <w:trPr>
          <w:trHeight w:val="179"/>
          <w:jc w:val="center"/>
        </w:trPr>
        <w:tc>
          <w:tcPr>
            <w:tcW w:w="2694" w:type="dxa"/>
          </w:tcPr>
          <w:p w14:paraId="10C635E4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979" w:type="dxa"/>
          </w:tcPr>
          <w:p w14:paraId="1F0E1737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14:paraId="7A9D52F9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Vitelliform=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63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  <w:p w14:paraId="00850AEE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664EB">
              <w:rPr>
                <w:rFonts w:asciiTheme="majorBidi" w:hAnsiTheme="majorBidi" w:cstheme="majorBidi"/>
                <w:sz w:val="24"/>
                <w:szCs w:val="24"/>
              </w:rPr>
              <w:t>Pseudohypopyon</w:t>
            </w:r>
            <w:proofErr w:type="spellEnd"/>
            <w:r w:rsidRPr="004664EB">
              <w:rPr>
                <w:rFonts w:asciiTheme="majorBidi" w:hAnsiTheme="majorBidi" w:cstheme="majorBidi"/>
                <w:sz w:val="24"/>
                <w:szCs w:val="24"/>
              </w:rPr>
              <w:t>=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  <w:p w14:paraId="0B00F24E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664EB">
              <w:rPr>
                <w:rFonts w:asciiTheme="majorBidi" w:hAnsiTheme="majorBidi" w:cstheme="majorBidi"/>
                <w:sz w:val="24"/>
                <w:szCs w:val="24"/>
              </w:rPr>
              <w:t>Vitellieruptive</w:t>
            </w:r>
            <w:proofErr w:type="spellEnd"/>
            <w:r w:rsidRPr="004664EB">
              <w:rPr>
                <w:rFonts w:asciiTheme="majorBidi" w:hAnsiTheme="majorBidi" w:cstheme="majorBidi"/>
                <w:sz w:val="24"/>
                <w:szCs w:val="24"/>
              </w:rPr>
              <w:t>=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  <w:p w14:paraId="3E5C4366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Atrophic=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749273B6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AVFD stage (%)</w:t>
            </w:r>
          </w:p>
        </w:tc>
      </w:tr>
      <w:tr w:rsidR="00F225EE" w:rsidRPr="004664EB" w14:paraId="6868E30E" w14:textId="77777777" w:rsidTr="00F225EE">
        <w:trPr>
          <w:trHeight w:val="179"/>
          <w:jc w:val="center"/>
        </w:trPr>
        <w:tc>
          <w:tcPr>
            <w:tcW w:w="2694" w:type="dxa"/>
          </w:tcPr>
          <w:p w14:paraId="61FFA2C7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1.1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±0.6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0.9; 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0.4-2.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3)</w:t>
            </w:r>
            <w:r w:rsidRPr="00AD7B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</w:t>
            </w:r>
            <w:proofErr w:type="gramEnd"/>
          </w:p>
        </w:tc>
        <w:tc>
          <w:tcPr>
            <w:tcW w:w="2979" w:type="dxa"/>
          </w:tcPr>
          <w:p w14:paraId="2714A108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59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±0.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49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0.49; 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0.05-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95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14:paraId="5D728998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sz w:val="24"/>
                <w:szCs w:val="24"/>
              </w:rPr>
              <w:t>0.6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±0.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40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0.5; </w:t>
            </w:r>
            <w:r w:rsidRPr="004664EB">
              <w:rPr>
                <w:rFonts w:asciiTheme="majorBidi" w:hAnsiTheme="majorBidi" w:cstheme="majorBidi"/>
                <w:sz w:val="24"/>
                <w:szCs w:val="24"/>
              </w:rPr>
              <w:t>0.30-1.60)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0E157652" w14:textId="77777777" w:rsidR="00F225EE" w:rsidRPr="004664EB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664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Baseline VA</w:t>
            </w:r>
          </w:p>
        </w:tc>
      </w:tr>
    </w:tbl>
    <w:p w14:paraId="1ADB83ED" w14:textId="77777777" w:rsidR="00F225EE" w:rsidRPr="004664EB" w:rsidRDefault="00F225EE" w:rsidP="00F225E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260EDE4" w14:textId="77777777" w:rsidR="00F225EE" w:rsidRPr="004664EB" w:rsidRDefault="00F225EE" w:rsidP="00F225E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664EB">
        <w:rPr>
          <w:rFonts w:asciiTheme="majorBidi" w:hAnsiTheme="majorBidi" w:cstheme="majorBidi"/>
          <w:sz w:val="24"/>
          <w:szCs w:val="24"/>
        </w:rPr>
        <w:t xml:space="preserve">Continuous variables are presented by </w:t>
      </w:r>
      <w:proofErr w:type="spellStart"/>
      <w:r w:rsidRPr="004664EB">
        <w:rPr>
          <w:rFonts w:asciiTheme="majorBidi" w:hAnsiTheme="majorBidi" w:cstheme="majorBidi"/>
          <w:sz w:val="24"/>
          <w:szCs w:val="24"/>
        </w:rPr>
        <w:t>Mean</w:t>
      </w:r>
      <w:r>
        <w:rPr>
          <w:rFonts w:asciiTheme="majorBidi" w:hAnsiTheme="majorBidi" w:cstheme="majorBidi"/>
          <w:sz w:val="24"/>
          <w:szCs w:val="24"/>
        </w:rPr>
        <w:t>±</w:t>
      </w:r>
      <w:r w:rsidRPr="004664EB">
        <w:rPr>
          <w:rFonts w:asciiTheme="majorBidi" w:hAnsiTheme="majorBidi" w:cstheme="majorBidi"/>
          <w:sz w:val="24"/>
          <w:szCs w:val="24"/>
        </w:rPr>
        <w:t>standard</w:t>
      </w:r>
      <w:proofErr w:type="spellEnd"/>
      <w:r w:rsidRPr="004664EB">
        <w:rPr>
          <w:rFonts w:asciiTheme="majorBidi" w:hAnsiTheme="majorBidi" w:cstheme="majorBidi"/>
          <w:sz w:val="24"/>
          <w:szCs w:val="24"/>
        </w:rPr>
        <w:t xml:space="preserve"> deviation </w:t>
      </w:r>
      <w:r>
        <w:rPr>
          <w:rFonts w:asciiTheme="majorBidi" w:hAnsiTheme="majorBidi" w:cstheme="majorBidi"/>
          <w:sz w:val="24"/>
          <w:szCs w:val="24"/>
        </w:rPr>
        <w:t>(</w:t>
      </w:r>
      <w:r w:rsidRPr="004664EB">
        <w:rPr>
          <w:rFonts w:asciiTheme="majorBidi" w:hAnsiTheme="majorBidi" w:cstheme="majorBidi"/>
          <w:sz w:val="24"/>
          <w:szCs w:val="24"/>
        </w:rPr>
        <w:t>median</w:t>
      </w:r>
      <w:r>
        <w:rPr>
          <w:rFonts w:asciiTheme="majorBidi" w:hAnsiTheme="majorBidi" w:cstheme="majorBidi"/>
          <w:sz w:val="24"/>
          <w:szCs w:val="24"/>
        </w:rPr>
        <w:t xml:space="preserve">; </w:t>
      </w:r>
      <w:r w:rsidRPr="004664EB">
        <w:rPr>
          <w:rFonts w:asciiTheme="majorBidi" w:hAnsiTheme="majorBidi" w:cstheme="majorBidi"/>
          <w:sz w:val="24"/>
          <w:szCs w:val="24"/>
        </w:rPr>
        <w:t>minimum</w:t>
      </w:r>
      <w:r>
        <w:rPr>
          <w:rFonts w:asciiTheme="majorBidi" w:hAnsiTheme="majorBidi" w:cstheme="majorBidi"/>
          <w:sz w:val="24"/>
          <w:szCs w:val="24"/>
        </w:rPr>
        <w:t>-</w:t>
      </w:r>
      <w:r w:rsidRPr="004664EB">
        <w:rPr>
          <w:rFonts w:asciiTheme="majorBidi" w:hAnsiTheme="majorBidi" w:cstheme="majorBidi"/>
          <w:sz w:val="24"/>
          <w:szCs w:val="24"/>
        </w:rPr>
        <w:t>maximum values</w:t>
      </w:r>
      <w:r>
        <w:rPr>
          <w:rFonts w:asciiTheme="majorBidi" w:hAnsiTheme="majorBidi" w:cstheme="majorBidi"/>
          <w:sz w:val="24"/>
          <w:szCs w:val="24"/>
        </w:rPr>
        <w:t>)</w:t>
      </w:r>
      <w:r w:rsidRPr="004664EB">
        <w:rPr>
          <w:rFonts w:asciiTheme="majorBidi" w:hAnsiTheme="majorBidi" w:cstheme="majorBidi"/>
          <w:sz w:val="24"/>
          <w:szCs w:val="24"/>
        </w:rPr>
        <w:t>.</w:t>
      </w:r>
    </w:p>
    <w:p w14:paraId="0B933905" w14:textId="77777777" w:rsidR="00F225EE" w:rsidRPr="004664EB" w:rsidRDefault="00F225EE" w:rsidP="00F225E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664EB">
        <w:rPr>
          <w:rFonts w:asciiTheme="majorBidi" w:hAnsiTheme="majorBidi" w:cstheme="majorBidi"/>
          <w:sz w:val="24"/>
          <w:szCs w:val="24"/>
        </w:rPr>
        <w:t xml:space="preserve">AVFD=Adult vitelliform foveal dystrophy; AMD= Age related macular degeneration; NVAMD= Neovascular AMD; VA= Visual acuity, reported as </w:t>
      </w:r>
      <w:proofErr w:type="spellStart"/>
      <w:r w:rsidRPr="004664EB">
        <w:rPr>
          <w:rFonts w:asciiTheme="majorBidi" w:hAnsiTheme="majorBidi" w:cstheme="majorBidi"/>
          <w:sz w:val="24"/>
          <w:szCs w:val="24"/>
        </w:rPr>
        <w:t>LogMAR</w:t>
      </w:r>
      <w:proofErr w:type="spellEnd"/>
      <w:r w:rsidRPr="004664EB">
        <w:rPr>
          <w:rFonts w:asciiTheme="majorBidi" w:hAnsiTheme="majorBidi" w:cstheme="majorBidi"/>
          <w:sz w:val="24"/>
          <w:szCs w:val="24"/>
        </w:rPr>
        <w:t xml:space="preserve"> of best-corrected visual acuity; *P&lt;0.05</w:t>
      </w:r>
    </w:p>
    <w:p w14:paraId="29FF2B97" w14:textId="77777777" w:rsidR="00F225EE" w:rsidRPr="004664EB" w:rsidRDefault="00F225EE" w:rsidP="00F225E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F87D9CE" w14:textId="77777777" w:rsidR="00AD2149" w:rsidRDefault="00AD2149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14:paraId="6693CCEE" w14:textId="77777777" w:rsidR="00AD2149" w:rsidRDefault="00AD2149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14:paraId="0CFFC43D" w14:textId="77777777" w:rsidR="00AD2149" w:rsidRDefault="00AD2149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14:paraId="3991A3E8" w14:textId="77777777" w:rsidR="00AD2149" w:rsidRDefault="00AD2149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14:paraId="29EA47BE" w14:textId="77777777" w:rsidR="00F225EE" w:rsidRDefault="00F225EE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14:paraId="037F6B27" w14:textId="77777777" w:rsidR="00AD2149" w:rsidRDefault="00AD2149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14:paraId="0D03430F" w14:textId="77777777" w:rsidR="003578ED" w:rsidRDefault="003578ED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14:paraId="74B4F310" w14:textId="77777777" w:rsidR="00AD2149" w:rsidRDefault="00AD2149" w:rsidP="002B4CD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1E9EBDB" w14:textId="77777777" w:rsidR="00F225EE" w:rsidRPr="003F6800" w:rsidRDefault="00F225EE" w:rsidP="00F225EE">
      <w:pPr>
        <w:spacing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3F6800">
        <w:rPr>
          <w:rFonts w:asciiTheme="majorBidi" w:hAnsiTheme="majorBidi" w:cstheme="majorBidi"/>
          <w:b/>
          <w:bCs/>
          <w:sz w:val="28"/>
          <w:szCs w:val="28"/>
        </w:rPr>
        <w:t>Table 2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3F6800">
        <w:rPr>
          <w:rFonts w:asciiTheme="majorBidi" w:hAnsiTheme="majorBidi" w:cstheme="majorBidi"/>
          <w:b/>
          <w:bCs/>
          <w:sz w:val="28"/>
          <w:szCs w:val="28"/>
        </w:rPr>
        <w:t>: Demographic characteristics, laterality, visual acuity, and disease stage before and following cataract surgery in AFVD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for unilateral cases</w:t>
      </w:r>
    </w:p>
    <w:tbl>
      <w:tblPr>
        <w:tblStyle w:val="a4"/>
        <w:tblpPr w:leftFromText="180" w:rightFromText="180" w:vertAnchor="page" w:horzAnchor="margin" w:tblpXSpec="center" w:tblpY="2001"/>
        <w:bidiVisual/>
        <w:tblW w:w="16746" w:type="dxa"/>
        <w:tblLayout w:type="fixed"/>
        <w:tblLook w:val="04A0" w:firstRow="1" w:lastRow="0" w:firstColumn="1" w:lastColumn="0" w:noHBand="0" w:noVBand="1"/>
      </w:tblPr>
      <w:tblGrid>
        <w:gridCol w:w="2042"/>
        <w:gridCol w:w="1772"/>
        <w:gridCol w:w="1859"/>
        <w:gridCol w:w="1384"/>
        <w:gridCol w:w="1385"/>
        <w:gridCol w:w="1384"/>
        <w:gridCol w:w="1247"/>
        <w:gridCol w:w="1188"/>
        <w:gridCol w:w="1231"/>
        <w:gridCol w:w="1056"/>
        <w:gridCol w:w="1231"/>
        <w:gridCol w:w="967"/>
      </w:tblGrid>
      <w:tr w:rsidR="00F225EE" w:rsidRPr="003F6800" w14:paraId="3FAD171F" w14:textId="77777777" w:rsidTr="00F225EE">
        <w:trPr>
          <w:trHeight w:val="220"/>
        </w:trPr>
        <w:tc>
          <w:tcPr>
            <w:tcW w:w="2042" w:type="dxa"/>
            <w:shd w:val="clear" w:color="auto" w:fill="D9D9D9" w:themeFill="background1" w:themeFillShade="D9"/>
            <w:vAlign w:val="center"/>
          </w:tcPr>
          <w:p w14:paraId="5609FA96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lastRenderedPageBreak/>
              <w:t xml:space="preserve">AFVD Stage at Last Follow-up </w:t>
            </w:r>
          </w:p>
        </w:tc>
        <w:tc>
          <w:tcPr>
            <w:tcW w:w="1772" w:type="dxa"/>
            <w:shd w:val="clear" w:color="auto" w:fill="D9D9D9" w:themeFill="background1" w:themeFillShade="D9"/>
            <w:vAlign w:val="center"/>
          </w:tcPr>
          <w:p w14:paraId="57DF3803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>AFVD Stage 12 Months</w:t>
            </w:r>
          </w:p>
          <w:p w14:paraId="2974BE08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 xml:space="preserve">Post-Op </w:t>
            </w:r>
          </w:p>
        </w:tc>
        <w:tc>
          <w:tcPr>
            <w:tcW w:w="1859" w:type="dxa"/>
            <w:shd w:val="clear" w:color="auto" w:fill="D9D9D9" w:themeFill="background1" w:themeFillShade="D9"/>
            <w:vAlign w:val="center"/>
          </w:tcPr>
          <w:p w14:paraId="7EAB04CE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>AFVD Stage Pre-Op</w:t>
            </w:r>
          </w:p>
        </w:tc>
        <w:tc>
          <w:tcPr>
            <w:tcW w:w="1384" w:type="dxa"/>
            <w:shd w:val="clear" w:color="auto" w:fill="E7E6E6" w:themeFill="background2"/>
            <w:vAlign w:val="center"/>
          </w:tcPr>
          <w:p w14:paraId="01E4531E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 xml:space="preserve">BCVA </w:t>
            </w:r>
            <w:proofErr w:type="spellStart"/>
            <w:r w:rsidRPr="003F6800">
              <w:rPr>
                <w:rFonts w:asciiTheme="majorBidi" w:hAnsiTheme="majorBidi" w:cstheme="majorBidi"/>
                <w:b/>
                <w:bCs/>
              </w:rPr>
              <w:t>LogMAR</w:t>
            </w:r>
            <w:proofErr w:type="spellEnd"/>
            <w:r w:rsidRPr="003F6800">
              <w:rPr>
                <w:rFonts w:asciiTheme="majorBidi" w:hAnsiTheme="majorBidi" w:cstheme="majorBidi"/>
                <w:b/>
                <w:bCs/>
              </w:rPr>
              <w:t xml:space="preserve"> at Last Follow-up</w:t>
            </w:r>
          </w:p>
        </w:tc>
        <w:tc>
          <w:tcPr>
            <w:tcW w:w="1385" w:type="dxa"/>
            <w:shd w:val="clear" w:color="auto" w:fill="E7E6E6" w:themeFill="background2"/>
            <w:vAlign w:val="center"/>
          </w:tcPr>
          <w:p w14:paraId="2F55582D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 xml:space="preserve">BCVA </w:t>
            </w:r>
            <w:proofErr w:type="spellStart"/>
            <w:r w:rsidRPr="003F6800">
              <w:rPr>
                <w:rFonts w:asciiTheme="majorBidi" w:hAnsiTheme="majorBidi" w:cstheme="majorBidi"/>
                <w:b/>
                <w:bCs/>
              </w:rPr>
              <w:t>LogMAR</w:t>
            </w:r>
            <w:proofErr w:type="spellEnd"/>
            <w:r w:rsidRPr="003F6800">
              <w:rPr>
                <w:rFonts w:asciiTheme="majorBidi" w:hAnsiTheme="majorBidi" w:cstheme="majorBidi"/>
                <w:b/>
                <w:bCs/>
              </w:rPr>
              <w:t xml:space="preserve"> 12 Months</w:t>
            </w:r>
          </w:p>
          <w:p w14:paraId="78248B9E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>Post-Op</w:t>
            </w:r>
          </w:p>
        </w:tc>
        <w:tc>
          <w:tcPr>
            <w:tcW w:w="1384" w:type="dxa"/>
            <w:shd w:val="clear" w:color="auto" w:fill="E7E6E6" w:themeFill="background2"/>
            <w:vAlign w:val="center"/>
          </w:tcPr>
          <w:p w14:paraId="2D0D1201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 xml:space="preserve">BCVA </w:t>
            </w:r>
            <w:proofErr w:type="spellStart"/>
            <w:r w:rsidRPr="003F6800">
              <w:rPr>
                <w:rFonts w:asciiTheme="majorBidi" w:hAnsiTheme="majorBidi" w:cstheme="majorBidi"/>
                <w:b/>
                <w:bCs/>
              </w:rPr>
              <w:t>LogMAR</w:t>
            </w:r>
            <w:proofErr w:type="spellEnd"/>
            <w:r w:rsidRPr="003F6800">
              <w:rPr>
                <w:rFonts w:asciiTheme="majorBidi" w:hAnsiTheme="majorBidi" w:cstheme="majorBidi"/>
                <w:b/>
                <w:bCs/>
              </w:rPr>
              <w:t xml:space="preserve"> 1 Month</w:t>
            </w:r>
          </w:p>
          <w:p w14:paraId="69786F87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>Post-Op</w:t>
            </w:r>
          </w:p>
        </w:tc>
        <w:tc>
          <w:tcPr>
            <w:tcW w:w="1247" w:type="dxa"/>
            <w:shd w:val="clear" w:color="auto" w:fill="E7E6E6" w:themeFill="background2"/>
            <w:vAlign w:val="center"/>
          </w:tcPr>
          <w:p w14:paraId="4C5B6C9A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 xml:space="preserve">BCVA </w:t>
            </w:r>
            <w:proofErr w:type="spellStart"/>
            <w:r w:rsidRPr="003F6800">
              <w:rPr>
                <w:rFonts w:asciiTheme="majorBidi" w:hAnsiTheme="majorBidi" w:cstheme="majorBidi"/>
                <w:b/>
                <w:bCs/>
              </w:rPr>
              <w:t>LogMAR</w:t>
            </w:r>
            <w:proofErr w:type="spellEnd"/>
            <w:r w:rsidRPr="003F6800">
              <w:rPr>
                <w:rFonts w:asciiTheme="majorBidi" w:hAnsiTheme="majorBidi" w:cstheme="majorBidi"/>
                <w:b/>
                <w:bCs/>
              </w:rPr>
              <w:t xml:space="preserve"> Pre-Op</w:t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14:paraId="6A6232A0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>Follow- up (Months)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</w:tcPr>
          <w:p w14:paraId="543D066E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>Laterality</w:t>
            </w:r>
          </w:p>
        </w:tc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442C8FCA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>Gender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</w:tcPr>
          <w:p w14:paraId="7C950C73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>Age at Surgery (years)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14:paraId="7D0B9055" w14:textId="77777777" w:rsidR="00F225EE" w:rsidRPr="003F6800" w:rsidRDefault="00F225EE" w:rsidP="00810F49">
            <w:pPr>
              <w:rPr>
                <w:rFonts w:asciiTheme="majorBidi" w:hAnsiTheme="majorBidi" w:cstheme="majorBidi"/>
                <w:b/>
                <w:bCs/>
              </w:rPr>
            </w:pPr>
            <w:r w:rsidRPr="003F6800">
              <w:rPr>
                <w:rFonts w:asciiTheme="majorBidi" w:hAnsiTheme="majorBidi" w:cstheme="majorBidi"/>
                <w:b/>
                <w:bCs/>
              </w:rPr>
              <w:t>Patient no.</w:t>
            </w:r>
          </w:p>
        </w:tc>
      </w:tr>
      <w:tr w:rsidR="00F225EE" w:rsidRPr="003F6800" w14:paraId="7C7165B5" w14:textId="77777777" w:rsidTr="00F225EE">
        <w:trPr>
          <w:trHeight w:val="494"/>
        </w:trPr>
        <w:tc>
          <w:tcPr>
            <w:tcW w:w="2042" w:type="dxa"/>
            <w:vAlign w:val="center"/>
          </w:tcPr>
          <w:p w14:paraId="6E5CDF0B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atrophic</w:t>
            </w:r>
          </w:p>
        </w:tc>
        <w:tc>
          <w:tcPr>
            <w:tcW w:w="1772" w:type="dxa"/>
            <w:vAlign w:val="center"/>
          </w:tcPr>
          <w:p w14:paraId="7BE5A094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atrophic</w:t>
            </w:r>
          </w:p>
        </w:tc>
        <w:tc>
          <w:tcPr>
            <w:tcW w:w="1859" w:type="dxa"/>
            <w:vAlign w:val="center"/>
          </w:tcPr>
          <w:p w14:paraId="334E4A13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3F6800">
              <w:rPr>
                <w:rFonts w:asciiTheme="majorBidi" w:hAnsiTheme="majorBidi" w:cstheme="majorBidi"/>
              </w:rPr>
              <w:t>Vittelieruptive</w:t>
            </w:r>
            <w:proofErr w:type="spellEnd"/>
          </w:p>
        </w:tc>
        <w:tc>
          <w:tcPr>
            <w:tcW w:w="1384" w:type="dxa"/>
            <w:vAlign w:val="center"/>
          </w:tcPr>
          <w:p w14:paraId="5D7C7B90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1385" w:type="dxa"/>
            <w:vAlign w:val="center"/>
          </w:tcPr>
          <w:p w14:paraId="0B9D3A27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</w:t>
            </w:r>
          </w:p>
        </w:tc>
        <w:tc>
          <w:tcPr>
            <w:tcW w:w="1384" w:type="dxa"/>
            <w:vAlign w:val="center"/>
          </w:tcPr>
          <w:p w14:paraId="29CCA0CB" w14:textId="77777777" w:rsidR="00F225EE" w:rsidRPr="003F6800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</w:t>
            </w:r>
          </w:p>
        </w:tc>
        <w:tc>
          <w:tcPr>
            <w:tcW w:w="1247" w:type="dxa"/>
            <w:vAlign w:val="center"/>
          </w:tcPr>
          <w:p w14:paraId="2A414F2F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0.3</w:t>
            </w:r>
          </w:p>
        </w:tc>
        <w:tc>
          <w:tcPr>
            <w:tcW w:w="1188" w:type="dxa"/>
            <w:vAlign w:val="center"/>
          </w:tcPr>
          <w:p w14:paraId="268783D6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24</w:t>
            </w:r>
          </w:p>
        </w:tc>
        <w:tc>
          <w:tcPr>
            <w:tcW w:w="1231" w:type="dxa"/>
            <w:vAlign w:val="center"/>
          </w:tcPr>
          <w:p w14:paraId="37D96057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 w:rsidRPr="003F6800">
              <w:rPr>
                <w:rFonts w:asciiTheme="majorBidi" w:hAnsiTheme="majorBidi" w:cstheme="majorBidi"/>
              </w:rPr>
              <w:t>RE</w:t>
            </w:r>
          </w:p>
        </w:tc>
        <w:tc>
          <w:tcPr>
            <w:tcW w:w="1056" w:type="dxa"/>
            <w:vAlign w:val="center"/>
          </w:tcPr>
          <w:p w14:paraId="2951BAE8" w14:textId="77777777" w:rsidR="00F225EE" w:rsidRPr="003F6800" w:rsidRDefault="00F225EE" w:rsidP="00810F4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1231" w:type="dxa"/>
            <w:vAlign w:val="center"/>
          </w:tcPr>
          <w:p w14:paraId="3F7C0CD4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78</w:t>
            </w: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150503D9" w14:textId="77777777" w:rsidR="00F225EE" w:rsidRPr="003F6800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  <w:vertAlign w:val="superscript"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</w:tr>
      <w:tr w:rsidR="00F225EE" w:rsidRPr="003F6800" w14:paraId="21AE4287" w14:textId="77777777" w:rsidTr="00F225EE">
        <w:trPr>
          <w:trHeight w:val="494"/>
        </w:trPr>
        <w:tc>
          <w:tcPr>
            <w:tcW w:w="2042" w:type="dxa"/>
          </w:tcPr>
          <w:p w14:paraId="2557D4B4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854A0F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772" w:type="dxa"/>
          </w:tcPr>
          <w:p w14:paraId="3587D249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854A0F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859" w:type="dxa"/>
          </w:tcPr>
          <w:p w14:paraId="369B0CA4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854A0F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384" w:type="dxa"/>
            <w:vAlign w:val="center"/>
          </w:tcPr>
          <w:p w14:paraId="7540CC69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</w:t>
            </w:r>
          </w:p>
        </w:tc>
        <w:tc>
          <w:tcPr>
            <w:tcW w:w="1385" w:type="dxa"/>
            <w:vAlign w:val="center"/>
          </w:tcPr>
          <w:p w14:paraId="51EEDA5F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</w:t>
            </w:r>
          </w:p>
        </w:tc>
        <w:tc>
          <w:tcPr>
            <w:tcW w:w="1384" w:type="dxa"/>
            <w:vAlign w:val="center"/>
          </w:tcPr>
          <w:p w14:paraId="533C3CA9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</w:t>
            </w:r>
          </w:p>
        </w:tc>
        <w:tc>
          <w:tcPr>
            <w:tcW w:w="1247" w:type="dxa"/>
            <w:vAlign w:val="center"/>
          </w:tcPr>
          <w:p w14:paraId="48F00A8B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0.5</w:t>
            </w:r>
          </w:p>
        </w:tc>
        <w:tc>
          <w:tcPr>
            <w:tcW w:w="1188" w:type="dxa"/>
            <w:vAlign w:val="center"/>
          </w:tcPr>
          <w:p w14:paraId="3BD14698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34</w:t>
            </w:r>
          </w:p>
        </w:tc>
        <w:tc>
          <w:tcPr>
            <w:tcW w:w="1231" w:type="dxa"/>
            <w:vAlign w:val="center"/>
          </w:tcPr>
          <w:p w14:paraId="668E15B9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 w:rsidRPr="003F6800">
              <w:rPr>
                <w:rFonts w:asciiTheme="majorBidi" w:hAnsiTheme="majorBidi" w:cstheme="majorBidi"/>
              </w:rPr>
              <w:t>RE</w:t>
            </w:r>
          </w:p>
        </w:tc>
        <w:tc>
          <w:tcPr>
            <w:tcW w:w="1056" w:type="dxa"/>
            <w:vAlign w:val="center"/>
          </w:tcPr>
          <w:p w14:paraId="73E4589C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1231" w:type="dxa"/>
            <w:vAlign w:val="center"/>
          </w:tcPr>
          <w:p w14:paraId="1A2842EC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80</w:t>
            </w: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159C2118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</w:tr>
      <w:tr w:rsidR="00F225EE" w:rsidRPr="003F6800" w14:paraId="48892D92" w14:textId="77777777" w:rsidTr="00F225EE">
        <w:trPr>
          <w:trHeight w:val="494"/>
        </w:trPr>
        <w:tc>
          <w:tcPr>
            <w:tcW w:w="2042" w:type="dxa"/>
            <w:vAlign w:val="center"/>
          </w:tcPr>
          <w:p w14:paraId="353B0059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72" w:type="dxa"/>
            <w:vAlign w:val="center"/>
          </w:tcPr>
          <w:p w14:paraId="33891EDD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59" w:type="dxa"/>
            <w:vAlign w:val="center"/>
          </w:tcPr>
          <w:p w14:paraId="2E71D788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854A0F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384" w:type="dxa"/>
            <w:vAlign w:val="center"/>
          </w:tcPr>
          <w:p w14:paraId="60664EAD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385" w:type="dxa"/>
            <w:vAlign w:val="center"/>
          </w:tcPr>
          <w:p w14:paraId="4FE52D9F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384" w:type="dxa"/>
            <w:vAlign w:val="center"/>
          </w:tcPr>
          <w:p w14:paraId="26140062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</w:t>
            </w:r>
          </w:p>
        </w:tc>
        <w:tc>
          <w:tcPr>
            <w:tcW w:w="1247" w:type="dxa"/>
            <w:vAlign w:val="center"/>
          </w:tcPr>
          <w:p w14:paraId="685F7E59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1.6</w:t>
            </w:r>
          </w:p>
        </w:tc>
        <w:tc>
          <w:tcPr>
            <w:tcW w:w="1188" w:type="dxa"/>
            <w:vAlign w:val="center"/>
          </w:tcPr>
          <w:p w14:paraId="327F18DD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231" w:type="dxa"/>
            <w:vAlign w:val="center"/>
          </w:tcPr>
          <w:p w14:paraId="50E9ABC7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</w:t>
            </w:r>
          </w:p>
        </w:tc>
        <w:tc>
          <w:tcPr>
            <w:tcW w:w="1056" w:type="dxa"/>
            <w:vAlign w:val="center"/>
          </w:tcPr>
          <w:p w14:paraId="2F6FD4CD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1231" w:type="dxa"/>
            <w:vAlign w:val="center"/>
          </w:tcPr>
          <w:p w14:paraId="70437856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87</w:t>
            </w: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676C8076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</w:tr>
      <w:tr w:rsidR="00F225EE" w:rsidRPr="003F6800" w14:paraId="334CAC16" w14:textId="77777777" w:rsidTr="00F225EE">
        <w:trPr>
          <w:trHeight w:val="494"/>
        </w:trPr>
        <w:tc>
          <w:tcPr>
            <w:tcW w:w="2042" w:type="dxa"/>
            <w:vAlign w:val="center"/>
          </w:tcPr>
          <w:p w14:paraId="51A619CC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72" w:type="dxa"/>
          </w:tcPr>
          <w:p w14:paraId="6C388631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CB564A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859" w:type="dxa"/>
          </w:tcPr>
          <w:p w14:paraId="4F80F2E5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CB564A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384" w:type="dxa"/>
            <w:vAlign w:val="center"/>
          </w:tcPr>
          <w:p w14:paraId="20F32704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0.3</w:t>
            </w:r>
          </w:p>
        </w:tc>
        <w:tc>
          <w:tcPr>
            <w:tcW w:w="1385" w:type="dxa"/>
            <w:vAlign w:val="center"/>
          </w:tcPr>
          <w:p w14:paraId="2B2C868B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0.3</w:t>
            </w:r>
          </w:p>
        </w:tc>
        <w:tc>
          <w:tcPr>
            <w:tcW w:w="1384" w:type="dxa"/>
            <w:vAlign w:val="center"/>
          </w:tcPr>
          <w:p w14:paraId="66323DEA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</w:t>
            </w:r>
          </w:p>
        </w:tc>
        <w:tc>
          <w:tcPr>
            <w:tcW w:w="1247" w:type="dxa"/>
            <w:vAlign w:val="center"/>
          </w:tcPr>
          <w:p w14:paraId="307E156C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188" w:type="dxa"/>
            <w:vAlign w:val="center"/>
          </w:tcPr>
          <w:p w14:paraId="70089AC9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76</w:t>
            </w:r>
          </w:p>
        </w:tc>
        <w:tc>
          <w:tcPr>
            <w:tcW w:w="1231" w:type="dxa"/>
            <w:vAlign w:val="center"/>
          </w:tcPr>
          <w:p w14:paraId="152706F6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</w:t>
            </w:r>
          </w:p>
        </w:tc>
        <w:tc>
          <w:tcPr>
            <w:tcW w:w="1056" w:type="dxa"/>
            <w:vAlign w:val="center"/>
          </w:tcPr>
          <w:p w14:paraId="1542BB40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1231" w:type="dxa"/>
            <w:vAlign w:val="center"/>
          </w:tcPr>
          <w:p w14:paraId="3C163C59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74</w:t>
            </w: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3C1601B7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</w:tr>
      <w:tr w:rsidR="00F225EE" w:rsidRPr="003F6800" w14:paraId="28941FB8" w14:textId="77777777" w:rsidTr="00F225EE">
        <w:trPr>
          <w:trHeight w:val="494"/>
        </w:trPr>
        <w:tc>
          <w:tcPr>
            <w:tcW w:w="2042" w:type="dxa"/>
            <w:vAlign w:val="center"/>
          </w:tcPr>
          <w:p w14:paraId="1F72A355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72" w:type="dxa"/>
          </w:tcPr>
          <w:p w14:paraId="0BF0B778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CB564A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859" w:type="dxa"/>
          </w:tcPr>
          <w:p w14:paraId="2CBB23ED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CB564A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384" w:type="dxa"/>
            <w:vAlign w:val="center"/>
          </w:tcPr>
          <w:p w14:paraId="225E10D1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385" w:type="dxa"/>
            <w:vAlign w:val="center"/>
          </w:tcPr>
          <w:p w14:paraId="0DB7F3FA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384" w:type="dxa"/>
            <w:vAlign w:val="center"/>
          </w:tcPr>
          <w:p w14:paraId="65176D53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247" w:type="dxa"/>
            <w:vAlign w:val="center"/>
          </w:tcPr>
          <w:p w14:paraId="4EC9E923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0.7</w:t>
            </w:r>
          </w:p>
        </w:tc>
        <w:tc>
          <w:tcPr>
            <w:tcW w:w="1188" w:type="dxa"/>
            <w:vAlign w:val="center"/>
          </w:tcPr>
          <w:p w14:paraId="3301B157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231" w:type="dxa"/>
            <w:vAlign w:val="center"/>
          </w:tcPr>
          <w:p w14:paraId="62FD3756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</w:t>
            </w:r>
          </w:p>
        </w:tc>
        <w:tc>
          <w:tcPr>
            <w:tcW w:w="1056" w:type="dxa"/>
            <w:vAlign w:val="center"/>
          </w:tcPr>
          <w:p w14:paraId="2740CB31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1231" w:type="dxa"/>
            <w:vAlign w:val="center"/>
          </w:tcPr>
          <w:p w14:paraId="7BBFCE52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79</w:t>
            </w: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085B107C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</w:tr>
      <w:tr w:rsidR="00F225EE" w:rsidRPr="003F6800" w14:paraId="0E30E4B3" w14:textId="77777777" w:rsidTr="00F225EE">
        <w:trPr>
          <w:trHeight w:val="494"/>
        </w:trPr>
        <w:tc>
          <w:tcPr>
            <w:tcW w:w="2042" w:type="dxa"/>
            <w:vAlign w:val="center"/>
          </w:tcPr>
          <w:p w14:paraId="559191EF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72" w:type="dxa"/>
          </w:tcPr>
          <w:p w14:paraId="4C987197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CB564A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859" w:type="dxa"/>
          </w:tcPr>
          <w:p w14:paraId="0F4A79B0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CB564A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384" w:type="dxa"/>
            <w:vAlign w:val="center"/>
          </w:tcPr>
          <w:p w14:paraId="372B0185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NA</w:t>
            </w:r>
          </w:p>
        </w:tc>
        <w:tc>
          <w:tcPr>
            <w:tcW w:w="1385" w:type="dxa"/>
            <w:vAlign w:val="center"/>
          </w:tcPr>
          <w:p w14:paraId="07E62815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0.16</w:t>
            </w:r>
          </w:p>
        </w:tc>
        <w:tc>
          <w:tcPr>
            <w:tcW w:w="1384" w:type="dxa"/>
            <w:vAlign w:val="center"/>
          </w:tcPr>
          <w:p w14:paraId="239C5C29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0.16</w:t>
            </w:r>
          </w:p>
        </w:tc>
        <w:tc>
          <w:tcPr>
            <w:tcW w:w="1247" w:type="dxa"/>
            <w:vAlign w:val="center"/>
          </w:tcPr>
          <w:p w14:paraId="40886304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</w:t>
            </w:r>
          </w:p>
        </w:tc>
        <w:tc>
          <w:tcPr>
            <w:tcW w:w="1188" w:type="dxa"/>
            <w:vAlign w:val="center"/>
          </w:tcPr>
          <w:p w14:paraId="4B4B6D4A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1231" w:type="dxa"/>
            <w:vAlign w:val="center"/>
          </w:tcPr>
          <w:p w14:paraId="27AC8BBF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</w:t>
            </w:r>
          </w:p>
        </w:tc>
        <w:tc>
          <w:tcPr>
            <w:tcW w:w="1056" w:type="dxa"/>
            <w:vAlign w:val="center"/>
          </w:tcPr>
          <w:p w14:paraId="2179EC64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1231" w:type="dxa"/>
            <w:vAlign w:val="center"/>
          </w:tcPr>
          <w:p w14:paraId="5D6E6F2D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85</w:t>
            </w: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70ABE9AF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</w:tr>
      <w:tr w:rsidR="00F225EE" w:rsidRPr="003F6800" w14:paraId="01B469EE" w14:textId="77777777" w:rsidTr="00F225EE">
        <w:trPr>
          <w:trHeight w:val="494"/>
        </w:trPr>
        <w:tc>
          <w:tcPr>
            <w:tcW w:w="2042" w:type="dxa"/>
            <w:vAlign w:val="center"/>
          </w:tcPr>
          <w:p w14:paraId="04C25FE7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72" w:type="dxa"/>
          </w:tcPr>
          <w:p w14:paraId="2FE5CF3A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817BD3">
              <w:rPr>
                <w:rFonts w:asciiTheme="majorBidi" w:hAnsiTheme="majorBidi" w:cstheme="majorBidi"/>
                <w:color w:val="000000"/>
              </w:rPr>
              <w:t>Pseudohypopion</w:t>
            </w:r>
            <w:proofErr w:type="spellEnd"/>
          </w:p>
        </w:tc>
        <w:tc>
          <w:tcPr>
            <w:tcW w:w="1859" w:type="dxa"/>
          </w:tcPr>
          <w:p w14:paraId="1E4BA14A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817BD3">
              <w:rPr>
                <w:rFonts w:asciiTheme="majorBidi" w:hAnsiTheme="majorBidi" w:cstheme="majorBidi"/>
                <w:color w:val="000000"/>
              </w:rPr>
              <w:t>Pseudohypopion</w:t>
            </w:r>
            <w:proofErr w:type="spellEnd"/>
          </w:p>
        </w:tc>
        <w:tc>
          <w:tcPr>
            <w:tcW w:w="1384" w:type="dxa"/>
            <w:vAlign w:val="center"/>
          </w:tcPr>
          <w:p w14:paraId="567756B8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1385" w:type="dxa"/>
            <w:vAlign w:val="center"/>
          </w:tcPr>
          <w:p w14:paraId="3B46AB95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1384" w:type="dxa"/>
            <w:vAlign w:val="center"/>
          </w:tcPr>
          <w:p w14:paraId="21314BB2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</w:t>
            </w:r>
          </w:p>
        </w:tc>
        <w:tc>
          <w:tcPr>
            <w:tcW w:w="1247" w:type="dxa"/>
            <w:vAlign w:val="center"/>
          </w:tcPr>
          <w:p w14:paraId="7B31B9F6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0.48</w:t>
            </w:r>
          </w:p>
        </w:tc>
        <w:tc>
          <w:tcPr>
            <w:tcW w:w="1188" w:type="dxa"/>
            <w:vAlign w:val="center"/>
          </w:tcPr>
          <w:p w14:paraId="3DB80B74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130</w:t>
            </w:r>
          </w:p>
        </w:tc>
        <w:tc>
          <w:tcPr>
            <w:tcW w:w="1231" w:type="dxa"/>
            <w:vAlign w:val="center"/>
          </w:tcPr>
          <w:p w14:paraId="589C28FF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</w:t>
            </w:r>
          </w:p>
        </w:tc>
        <w:tc>
          <w:tcPr>
            <w:tcW w:w="1056" w:type="dxa"/>
            <w:vAlign w:val="center"/>
          </w:tcPr>
          <w:p w14:paraId="79DD9FE4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1231" w:type="dxa"/>
            <w:vAlign w:val="center"/>
          </w:tcPr>
          <w:p w14:paraId="464BE530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71</w:t>
            </w: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68A449E9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</w:tr>
      <w:tr w:rsidR="00F225EE" w:rsidRPr="003F6800" w14:paraId="22D3CE74" w14:textId="77777777" w:rsidTr="00F225EE">
        <w:trPr>
          <w:trHeight w:val="494"/>
        </w:trPr>
        <w:tc>
          <w:tcPr>
            <w:tcW w:w="2042" w:type="dxa"/>
            <w:vAlign w:val="center"/>
          </w:tcPr>
          <w:p w14:paraId="015093BA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772" w:type="dxa"/>
          </w:tcPr>
          <w:p w14:paraId="0B3FE5E5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BA1D42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859" w:type="dxa"/>
          </w:tcPr>
          <w:p w14:paraId="2D6349D2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BA1D42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384" w:type="dxa"/>
            <w:vAlign w:val="center"/>
          </w:tcPr>
          <w:p w14:paraId="5513B684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1385" w:type="dxa"/>
            <w:vAlign w:val="center"/>
          </w:tcPr>
          <w:p w14:paraId="704DBEF7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</w:t>
            </w:r>
          </w:p>
        </w:tc>
        <w:tc>
          <w:tcPr>
            <w:tcW w:w="1384" w:type="dxa"/>
            <w:vAlign w:val="center"/>
          </w:tcPr>
          <w:p w14:paraId="71A401D6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0.4</w:t>
            </w:r>
          </w:p>
        </w:tc>
        <w:tc>
          <w:tcPr>
            <w:tcW w:w="1247" w:type="dxa"/>
            <w:vAlign w:val="center"/>
          </w:tcPr>
          <w:p w14:paraId="3BE7758A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0.5</w:t>
            </w:r>
          </w:p>
        </w:tc>
        <w:tc>
          <w:tcPr>
            <w:tcW w:w="1188" w:type="dxa"/>
            <w:vAlign w:val="center"/>
          </w:tcPr>
          <w:p w14:paraId="39950048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1231" w:type="dxa"/>
            <w:vAlign w:val="center"/>
          </w:tcPr>
          <w:p w14:paraId="24389922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</w:t>
            </w:r>
          </w:p>
        </w:tc>
        <w:tc>
          <w:tcPr>
            <w:tcW w:w="1056" w:type="dxa"/>
            <w:vAlign w:val="center"/>
          </w:tcPr>
          <w:p w14:paraId="2A577210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1231" w:type="dxa"/>
            <w:vAlign w:val="center"/>
          </w:tcPr>
          <w:p w14:paraId="77BF98F0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86</w:t>
            </w: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0C5B3A2F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</w:tr>
      <w:tr w:rsidR="00F225EE" w:rsidRPr="003F6800" w14:paraId="6D4DBA76" w14:textId="77777777" w:rsidTr="00F225EE">
        <w:trPr>
          <w:trHeight w:val="494"/>
        </w:trPr>
        <w:tc>
          <w:tcPr>
            <w:tcW w:w="2042" w:type="dxa"/>
            <w:vAlign w:val="center"/>
          </w:tcPr>
          <w:p w14:paraId="32A40684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atrophic</w:t>
            </w:r>
          </w:p>
        </w:tc>
        <w:tc>
          <w:tcPr>
            <w:tcW w:w="1772" w:type="dxa"/>
            <w:vAlign w:val="center"/>
          </w:tcPr>
          <w:p w14:paraId="599ACFA4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3F6800">
              <w:rPr>
                <w:rFonts w:asciiTheme="majorBidi" w:hAnsiTheme="majorBidi" w:cstheme="majorBidi"/>
              </w:rPr>
              <w:t>Vittelieruptive</w:t>
            </w:r>
            <w:proofErr w:type="spellEnd"/>
          </w:p>
        </w:tc>
        <w:tc>
          <w:tcPr>
            <w:tcW w:w="1859" w:type="dxa"/>
            <w:vAlign w:val="center"/>
          </w:tcPr>
          <w:p w14:paraId="231CB0AE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817BD3">
              <w:rPr>
                <w:rFonts w:asciiTheme="majorBidi" w:hAnsiTheme="majorBidi" w:cstheme="majorBidi"/>
                <w:color w:val="000000"/>
              </w:rPr>
              <w:t>Pseudohypopion</w:t>
            </w:r>
            <w:proofErr w:type="spellEnd"/>
          </w:p>
        </w:tc>
        <w:tc>
          <w:tcPr>
            <w:tcW w:w="1384" w:type="dxa"/>
            <w:vAlign w:val="center"/>
          </w:tcPr>
          <w:p w14:paraId="1EB2BE7B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385" w:type="dxa"/>
            <w:vAlign w:val="center"/>
          </w:tcPr>
          <w:p w14:paraId="4A424229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1384" w:type="dxa"/>
            <w:vAlign w:val="center"/>
          </w:tcPr>
          <w:p w14:paraId="6AF0F1B0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0.16</w:t>
            </w:r>
          </w:p>
        </w:tc>
        <w:tc>
          <w:tcPr>
            <w:tcW w:w="1247" w:type="dxa"/>
            <w:vAlign w:val="center"/>
          </w:tcPr>
          <w:p w14:paraId="3874E220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0.4</w:t>
            </w:r>
          </w:p>
        </w:tc>
        <w:tc>
          <w:tcPr>
            <w:tcW w:w="1188" w:type="dxa"/>
            <w:vAlign w:val="center"/>
          </w:tcPr>
          <w:p w14:paraId="7713C2C2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36</w:t>
            </w:r>
          </w:p>
        </w:tc>
        <w:tc>
          <w:tcPr>
            <w:tcW w:w="1231" w:type="dxa"/>
            <w:vAlign w:val="center"/>
          </w:tcPr>
          <w:p w14:paraId="4C238436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</w:t>
            </w:r>
          </w:p>
        </w:tc>
        <w:tc>
          <w:tcPr>
            <w:tcW w:w="1056" w:type="dxa"/>
            <w:vAlign w:val="center"/>
          </w:tcPr>
          <w:p w14:paraId="0993EFA6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1231" w:type="dxa"/>
            <w:vAlign w:val="center"/>
          </w:tcPr>
          <w:p w14:paraId="0B5D7997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75</w:t>
            </w: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1C0E57DF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</w:tr>
      <w:tr w:rsidR="00F225EE" w:rsidRPr="003F6800" w14:paraId="2757EDDB" w14:textId="77777777" w:rsidTr="00F225EE">
        <w:trPr>
          <w:trHeight w:val="494"/>
        </w:trPr>
        <w:tc>
          <w:tcPr>
            <w:tcW w:w="2042" w:type="dxa"/>
            <w:vAlign w:val="center"/>
          </w:tcPr>
          <w:p w14:paraId="59F72066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BA1D42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772" w:type="dxa"/>
            <w:vAlign w:val="center"/>
          </w:tcPr>
          <w:p w14:paraId="78A2D9AB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859" w:type="dxa"/>
            <w:vAlign w:val="center"/>
          </w:tcPr>
          <w:p w14:paraId="1A85758D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BA1D42">
              <w:rPr>
                <w:rFonts w:asciiTheme="majorBidi" w:hAnsiTheme="majorBidi" w:cstheme="majorBidi"/>
              </w:rPr>
              <w:t>Vitteliform</w:t>
            </w:r>
            <w:proofErr w:type="spellEnd"/>
          </w:p>
        </w:tc>
        <w:tc>
          <w:tcPr>
            <w:tcW w:w="1384" w:type="dxa"/>
            <w:vAlign w:val="center"/>
          </w:tcPr>
          <w:p w14:paraId="0CFB6297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385" w:type="dxa"/>
            <w:vAlign w:val="center"/>
          </w:tcPr>
          <w:p w14:paraId="2301EF75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1384" w:type="dxa"/>
            <w:vAlign w:val="center"/>
          </w:tcPr>
          <w:p w14:paraId="1C4C229D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</w:t>
            </w:r>
          </w:p>
        </w:tc>
        <w:tc>
          <w:tcPr>
            <w:tcW w:w="1247" w:type="dxa"/>
            <w:vAlign w:val="center"/>
          </w:tcPr>
          <w:p w14:paraId="2FD8A2F9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1188" w:type="dxa"/>
            <w:vAlign w:val="center"/>
          </w:tcPr>
          <w:p w14:paraId="24F0FE4E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231" w:type="dxa"/>
            <w:vAlign w:val="center"/>
          </w:tcPr>
          <w:p w14:paraId="4C58B3A0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</w:t>
            </w:r>
          </w:p>
        </w:tc>
        <w:tc>
          <w:tcPr>
            <w:tcW w:w="1056" w:type="dxa"/>
            <w:vAlign w:val="center"/>
          </w:tcPr>
          <w:p w14:paraId="01EFF14C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1231" w:type="dxa"/>
            <w:vAlign w:val="center"/>
          </w:tcPr>
          <w:p w14:paraId="6D08A0DC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78</w:t>
            </w: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7F101739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</w:tr>
      <w:tr w:rsidR="00F225EE" w:rsidRPr="003F6800" w14:paraId="0929B800" w14:textId="77777777" w:rsidTr="00F225EE">
        <w:trPr>
          <w:trHeight w:val="494"/>
        </w:trPr>
        <w:tc>
          <w:tcPr>
            <w:tcW w:w="2042" w:type="dxa"/>
          </w:tcPr>
          <w:p w14:paraId="734C9FAE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6A6770">
              <w:rPr>
                <w:rFonts w:asciiTheme="majorBidi" w:hAnsiTheme="majorBidi" w:cstheme="majorBidi"/>
                <w:color w:val="000000"/>
              </w:rPr>
              <w:t>Pseudohypopion</w:t>
            </w:r>
            <w:proofErr w:type="spellEnd"/>
          </w:p>
        </w:tc>
        <w:tc>
          <w:tcPr>
            <w:tcW w:w="1772" w:type="dxa"/>
          </w:tcPr>
          <w:p w14:paraId="5D96CE18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6A6770">
              <w:rPr>
                <w:rFonts w:asciiTheme="majorBidi" w:hAnsiTheme="majorBidi" w:cstheme="majorBidi"/>
                <w:color w:val="000000"/>
              </w:rPr>
              <w:t>Pseudohypopion</w:t>
            </w:r>
            <w:proofErr w:type="spellEnd"/>
          </w:p>
        </w:tc>
        <w:tc>
          <w:tcPr>
            <w:tcW w:w="1859" w:type="dxa"/>
          </w:tcPr>
          <w:p w14:paraId="7D6D6088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proofErr w:type="spellStart"/>
            <w:r w:rsidRPr="006A6770">
              <w:rPr>
                <w:rFonts w:asciiTheme="majorBidi" w:hAnsiTheme="majorBidi" w:cstheme="majorBidi"/>
                <w:color w:val="000000"/>
              </w:rPr>
              <w:t>Pseudohypopion</w:t>
            </w:r>
            <w:proofErr w:type="spellEnd"/>
          </w:p>
        </w:tc>
        <w:tc>
          <w:tcPr>
            <w:tcW w:w="1384" w:type="dxa"/>
            <w:vAlign w:val="center"/>
          </w:tcPr>
          <w:p w14:paraId="681D3E3C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385" w:type="dxa"/>
            <w:vAlign w:val="center"/>
          </w:tcPr>
          <w:p w14:paraId="44E97550" w14:textId="77777777" w:rsidR="00F225EE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1384" w:type="dxa"/>
            <w:vAlign w:val="center"/>
          </w:tcPr>
          <w:p w14:paraId="4B465F05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</w:t>
            </w:r>
          </w:p>
        </w:tc>
        <w:tc>
          <w:tcPr>
            <w:tcW w:w="1247" w:type="dxa"/>
            <w:vAlign w:val="center"/>
          </w:tcPr>
          <w:p w14:paraId="65B81E4D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</w:t>
            </w:r>
          </w:p>
        </w:tc>
        <w:tc>
          <w:tcPr>
            <w:tcW w:w="1188" w:type="dxa"/>
            <w:vAlign w:val="center"/>
          </w:tcPr>
          <w:p w14:paraId="636F67DB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1231" w:type="dxa"/>
            <w:vAlign w:val="center"/>
          </w:tcPr>
          <w:p w14:paraId="43F02E60" w14:textId="77777777" w:rsidR="00F225EE" w:rsidRPr="003F6800" w:rsidRDefault="00F225EE" w:rsidP="00810F4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</w:t>
            </w:r>
          </w:p>
        </w:tc>
        <w:tc>
          <w:tcPr>
            <w:tcW w:w="1056" w:type="dxa"/>
            <w:vAlign w:val="center"/>
          </w:tcPr>
          <w:p w14:paraId="702FEF57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1231" w:type="dxa"/>
            <w:vAlign w:val="center"/>
          </w:tcPr>
          <w:p w14:paraId="79FDCDF8" w14:textId="77777777" w:rsidR="00F225EE" w:rsidRDefault="00F225EE" w:rsidP="00810F49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70</w:t>
            </w: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18D39C8E" w14:textId="77777777" w:rsidR="00F225EE" w:rsidRDefault="00F225EE" w:rsidP="00810F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</w:tr>
    </w:tbl>
    <w:p w14:paraId="20848542" w14:textId="77777777" w:rsidR="00F225EE" w:rsidRPr="003F6800" w:rsidRDefault="00F225EE" w:rsidP="00F225E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6F903BB" w14:textId="77777777" w:rsidR="00F225EE" w:rsidRPr="003F6800" w:rsidRDefault="00F225EE" w:rsidP="00F225E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C1FAEE6" w14:textId="77777777" w:rsidR="00F225EE" w:rsidRPr="003F6800" w:rsidRDefault="00F225EE" w:rsidP="00F225E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6858B24" w14:textId="77777777" w:rsidR="00F225EE" w:rsidRPr="003F6800" w:rsidRDefault="00F225EE" w:rsidP="00F225EE">
      <w:pPr>
        <w:autoSpaceDE w:val="0"/>
        <w:autoSpaceDN w:val="0"/>
        <w:adjustRightInd w:val="0"/>
        <w:spacing w:after="0" w:line="240" w:lineRule="auto"/>
        <w:ind w:left="2880"/>
        <w:rPr>
          <w:rFonts w:asciiTheme="majorBidi" w:hAnsiTheme="majorBidi" w:cstheme="majorBidi"/>
          <w:sz w:val="24"/>
          <w:szCs w:val="24"/>
        </w:rPr>
      </w:pPr>
      <w:r w:rsidRPr="003F6800">
        <w:rPr>
          <w:rFonts w:asciiTheme="majorBidi" w:hAnsiTheme="majorBidi" w:cstheme="majorBidi"/>
          <w:sz w:val="24"/>
          <w:szCs w:val="24"/>
        </w:rPr>
        <w:t xml:space="preserve">M: male, F: female, LE: left eye, RE: right eye, NA: not available, AFVD: Adult Foveal </w:t>
      </w:r>
      <w:proofErr w:type="spellStart"/>
      <w:r w:rsidRPr="003F6800">
        <w:rPr>
          <w:rFonts w:asciiTheme="majorBidi" w:hAnsiTheme="majorBidi" w:cstheme="majorBidi"/>
          <w:sz w:val="24"/>
          <w:szCs w:val="24"/>
        </w:rPr>
        <w:t>Vitteliform</w:t>
      </w:r>
      <w:proofErr w:type="spellEnd"/>
      <w:r w:rsidRPr="003F6800">
        <w:rPr>
          <w:rFonts w:asciiTheme="majorBidi" w:hAnsiTheme="majorBidi" w:cstheme="majorBidi"/>
          <w:sz w:val="24"/>
          <w:szCs w:val="24"/>
        </w:rPr>
        <w:t xml:space="preserve"> Dystrophy</w:t>
      </w:r>
    </w:p>
    <w:p w14:paraId="33E9D910" w14:textId="77777777" w:rsidR="00AD2149" w:rsidRDefault="00AD2149" w:rsidP="002B4CD1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</w:rPr>
      </w:pPr>
    </w:p>
    <w:p w14:paraId="7EBDE029" w14:textId="77777777" w:rsidR="00AD2149" w:rsidRDefault="00AD2149" w:rsidP="002B4CD1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</w:rPr>
      </w:pPr>
    </w:p>
    <w:p w14:paraId="187F52B3" w14:textId="77777777" w:rsidR="00AD2149" w:rsidRDefault="00AD2149" w:rsidP="002B4CD1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</w:rPr>
      </w:pPr>
    </w:p>
    <w:p w14:paraId="0448F8A4" w14:textId="77922E05" w:rsidR="00F225EE" w:rsidRPr="00F225EE" w:rsidRDefault="00AD2149" w:rsidP="00F225EE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225EE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Figure S3. </w:t>
      </w:r>
      <w:r w:rsidR="00F225EE" w:rsidRPr="00F225EE">
        <w:rPr>
          <w:rFonts w:asciiTheme="majorBidi" w:hAnsiTheme="majorBidi" w:cstheme="majorBidi"/>
          <w:b/>
          <w:bCs/>
          <w:sz w:val="28"/>
          <w:szCs w:val="28"/>
        </w:rPr>
        <w:t>Visual acuity changes following cataract surgery in AFVD (N=</w:t>
      </w:r>
      <w:r w:rsidR="00F225EE" w:rsidRPr="00F225EE">
        <w:rPr>
          <w:rFonts w:asciiTheme="majorBidi" w:hAnsiTheme="majorBidi" w:cstheme="majorBidi"/>
          <w:b/>
          <w:bCs/>
          <w:sz w:val="28"/>
          <w:szCs w:val="28"/>
        </w:rPr>
        <w:t>11</w:t>
      </w:r>
      <w:r w:rsidR="00F225EE" w:rsidRPr="00F225EE">
        <w:rPr>
          <w:rFonts w:asciiTheme="majorBidi" w:hAnsiTheme="majorBidi" w:cstheme="majorBidi"/>
          <w:b/>
          <w:bCs/>
          <w:sz w:val="28"/>
          <w:szCs w:val="28"/>
        </w:rPr>
        <w:t>), None-NV AMD (N=</w:t>
      </w:r>
      <w:r w:rsidR="00F225EE" w:rsidRPr="00F225EE">
        <w:rPr>
          <w:rFonts w:asciiTheme="majorBidi" w:hAnsiTheme="majorBidi" w:cstheme="majorBidi"/>
          <w:b/>
          <w:bCs/>
          <w:sz w:val="28"/>
          <w:szCs w:val="28"/>
        </w:rPr>
        <w:t>21</w:t>
      </w:r>
      <w:r w:rsidR="00F225EE" w:rsidRPr="00F225EE">
        <w:rPr>
          <w:rFonts w:asciiTheme="majorBidi" w:hAnsiTheme="majorBidi" w:cstheme="majorBidi"/>
          <w:b/>
          <w:bCs/>
          <w:sz w:val="28"/>
          <w:szCs w:val="28"/>
        </w:rPr>
        <w:t>), and NVAMD (N=</w:t>
      </w:r>
      <w:r w:rsidR="00F225EE" w:rsidRPr="00F225EE">
        <w:rPr>
          <w:rFonts w:asciiTheme="majorBidi" w:hAnsiTheme="majorBidi" w:cstheme="majorBidi"/>
          <w:b/>
          <w:bCs/>
          <w:sz w:val="28"/>
          <w:szCs w:val="28"/>
        </w:rPr>
        <w:t>29</w:t>
      </w:r>
      <w:proofErr w:type="gramStart"/>
      <w:r w:rsidR="00F225EE" w:rsidRPr="00F225EE">
        <w:rPr>
          <w:rFonts w:asciiTheme="majorBidi" w:hAnsiTheme="majorBidi" w:cstheme="majorBidi"/>
          <w:b/>
          <w:bCs/>
          <w:sz w:val="28"/>
          <w:szCs w:val="28"/>
        </w:rPr>
        <w:t>)  patients</w:t>
      </w:r>
      <w:proofErr w:type="gramEnd"/>
    </w:p>
    <w:p w14:paraId="3CCC501D" w14:textId="6C00CDC2" w:rsidR="00AD2149" w:rsidRPr="00F225EE" w:rsidRDefault="00AD2149" w:rsidP="00F225EE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IL"/>
        </w:rPr>
      </w:pPr>
      <w:r w:rsidRPr="00F225EE">
        <w:rPr>
          <w:rFonts w:asciiTheme="majorBidi" w:hAnsiTheme="majorBidi" w:cstheme="majorBidi"/>
          <w:b/>
          <w:bCs/>
          <w:sz w:val="28"/>
          <w:szCs w:val="28"/>
          <w:lang w:val="en-IL"/>
        </w:rPr>
        <w:t>(</w:t>
      </w:r>
      <w:r w:rsidRPr="00F225EE">
        <w:rPr>
          <w:rFonts w:asciiTheme="majorBidi" w:hAnsiTheme="majorBidi" w:cstheme="majorBidi"/>
          <w:b/>
          <w:bCs/>
          <w:sz w:val="28"/>
          <w:szCs w:val="28"/>
        </w:rPr>
        <w:t>one eye per patient</w:t>
      </w:r>
      <w:r w:rsidRPr="00F225EE">
        <w:rPr>
          <w:rFonts w:asciiTheme="majorBidi" w:hAnsiTheme="majorBidi" w:cstheme="majorBidi"/>
          <w:b/>
          <w:bCs/>
          <w:sz w:val="28"/>
          <w:szCs w:val="28"/>
          <w:lang w:val="en-IL"/>
        </w:rPr>
        <w:t>)</w:t>
      </w:r>
      <w:r w:rsidR="00F225EE" w:rsidRPr="00F225EE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3ABDC226" w14:textId="77777777" w:rsidR="00AD2149" w:rsidRDefault="00AD2149" w:rsidP="002B4CD1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</w:rPr>
      </w:pPr>
    </w:p>
    <w:p w14:paraId="2668005E" w14:textId="63061FDB" w:rsidR="00AD2149" w:rsidRPr="00821D25" w:rsidRDefault="00F225EE" w:rsidP="002B4CD1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  <w:rtl/>
        </w:rPr>
      </w:pPr>
      <w:r>
        <w:rPr>
          <w:noProof/>
        </w:rPr>
        <w:lastRenderedPageBreak/>
        <w:drawing>
          <wp:inline distT="0" distB="0" distL="0" distR="0" wp14:anchorId="1F7A3F58" wp14:editId="08CFC140">
            <wp:extent cx="8110855" cy="5731510"/>
            <wp:effectExtent l="0" t="0" r="4445" b="2540"/>
            <wp:docPr id="107545650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855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1E323" w14:textId="081CF3E3" w:rsidR="00F225EE" w:rsidRPr="00971901" w:rsidRDefault="00F225EE" w:rsidP="00F225EE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971901">
        <w:rPr>
          <w:rFonts w:asciiTheme="majorBidi" w:hAnsiTheme="majorBidi" w:cstheme="majorBidi"/>
          <w:color w:val="231F20"/>
          <w:sz w:val="24"/>
          <w:szCs w:val="24"/>
        </w:rPr>
        <w:lastRenderedPageBreak/>
        <w:t xml:space="preserve">N=number of eyes; M=months following surgery; BCVA </w:t>
      </w:r>
      <w:proofErr w:type="spellStart"/>
      <w:r w:rsidRPr="00971901">
        <w:rPr>
          <w:rFonts w:asciiTheme="majorBidi" w:hAnsiTheme="majorBidi" w:cstheme="majorBidi"/>
          <w:color w:val="231F20"/>
          <w:sz w:val="24"/>
          <w:szCs w:val="24"/>
        </w:rPr>
        <w:t>LogMAR</w:t>
      </w:r>
      <w:proofErr w:type="spellEnd"/>
      <w:r w:rsidRPr="00971901">
        <w:rPr>
          <w:rFonts w:asciiTheme="majorBidi" w:hAnsiTheme="majorBidi" w:cstheme="majorBidi"/>
          <w:color w:val="231F20"/>
          <w:sz w:val="24"/>
          <w:szCs w:val="24"/>
        </w:rPr>
        <w:t xml:space="preserve">= </w:t>
      </w:r>
      <w:proofErr w:type="spellStart"/>
      <w:r w:rsidRPr="00971901">
        <w:rPr>
          <w:rFonts w:asciiTheme="majorBidi" w:hAnsiTheme="majorBidi" w:cstheme="majorBidi"/>
          <w:color w:val="231F20"/>
          <w:sz w:val="24"/>
          <w:szCs w:val="24"/>
        </w:rPr>
        <w:t>LogMAR</w:t>
      </w:r>
      <w:proofErr w:type="spellEnd"/>
      <w:r w:rsidRPr="00971901">
        <w:rPr>
          <w:rFonts w:asciiTheme="majorBidi" w:hAnsiTheme="majorBidi" w:cstheme="majorBidi"/>
          <w:color w:val="231F20"/>
          <w:sz w:val="24"/>
          <w:szCs w:val="24"/>
        </w:rPr>
        <w:t xml:space="preserve"> of best-corrected visual acuity; </w:t>
      </w:r>
      <w:r w:rsidRPr="00971901">
        <w:rPr>
          <w:rFonts w:asciiTheme="majorBidi" w:hAnsiTheme="majorBidi" w:cstheme="majorBidi"/>
          <w:sz w:val="24"/>
          <w:szCs w:val="24"/>
        </w:rPr>
        <w:t>AFVD</w:t>
      </w:r>
      <w:r w:rsidRPr="00971901">
        <w:rPr>
          <w:rFonts w:asciiTheme="majorBidi" w:hAnsiTheme="majorBidi" w:cstheme="majorBidi"/>
          <w:color w:val="231F20"/>
          <w:sz w:val="24"/>
          <w:szCs w:val="24"/>
        </w:rPr>
        <w:t xml:space="preserve"> =Adult </w:t>
      </w:r>
      <w:proofErr w:type="spellStart"/>
      <w:r w:rsidRPr="00971901">
        <w:rPr>
          <w:rFonts w:asciiTheme="majorBidi" w:hAnsiTheme="majorBidi" w:cstheme="majorBidi"/>
          <w:color w:val="231F20"/>
          <w:sz w:val="24"/>
          <w:szCs w:val="24"/>
        </w:rPr>
        <w:t>foveo</w:t>
      </w:r>
      <w:proofErr w:type="spellEnd"/>
      <w:r w:rsidRPr="00971901">
        <w:rPr>
          <w:rFonts w:asciiTheme="majorBidi" w:hAnsiTheme="majorBidi" w:cstheme="majorBidi"/>
          <w:color w:val="231F20"/>
          <w:sz w:val="24"/>
          <w:szCs w:val="24"/>
        </w:rPr>
        <w:t>-macular vitelliform dystrophy; AMD=</w:t>
      </w:r>
      <w:r w:rsidRPr="00971901">
        <w:rPr>
          <w:rFonts w:asciiTheme="majorBidi" w:hAnsiTheme="majorBidi" w:cstheme="majorBidi"/>
          <w:sz w:val="24"/>
          <w:szCs w:val="24"/>
        </w:rPr>
        <w:t xml:space="preserve"> Age related macular degeneration; None-</w:t>
      </w:r>
      <w:r w:rsidRPr="00971901">
        <w:rPr>
          <w:rFonts w:asciiTheme="majorBidi" w:hAnsiTheme="majorBidi" w:cstheme="majorBidi"/>
          <w:color w:val="231F20"/>
          <w:sz w:val="24"/>
          <w:szCs w:val="24"/>
        </w:rPr>
        <w:t>NV AMD=</w:t>
      </w:r>
      <w:r w:rsidRPr="00971901">
        <w:rPr>
          <w:rFonts w:asciiTheme="majorBidi" w:hAnsiTheme="majorBidi" w:cstheme="majorBidi"/>
          <w:sz w:val="24"/>
          <w:szCs w:val="24"/>
        </w:rPr>
        <w:t xml:space="preserve"> None-neovascular age related macular degeneration; </w:t>
      </w:r>
      <w:r w:rsidRPr="00971901">
        <w:rPr>
          <w:rFonts w:asciiTheme="majorBidi" w:hAnsiTheme="majorBidi" w:cstheme="majorBidi"/>
          <w:color w:val="231F20"/>
          <w:sz w:val="24"/>
          <w:szCs w:val="24"/>
        </w:rPr>
        <w:t>NVAMD=</w:t>
      </w:r>
      <w:r w:rsidRPr="00971901">
        <w:rPr>
          <w:rFonts w:asciiTheme="majorBidi" w:hAnsiTheme="majorBidi" w:cstheme="majorBidi"/>
          <w:sz w:val="24"/>
          <w:szCs w:val="24"/>
        </w:rPr>
        <w:t xml:space="preserve"> Neovascular age related macular degeneration</w:t>
      </w:r>
      <w:r w:rsidRPr="00971901">
        <w:rPr>
          <w:rFonts w:asciiTheme="majorBidi" w:hAnsiTheme="majorBidi" w:cstheme="majorBidi"/>
          <w:color w:val="231F20"/>
          <w:sz w:val="24"/>
          <w:szCs w:val="24"/>
        </w:rPr>
        <w:t xml:space="preserve">   *P-value&lt;0.05; </w:t>
      </w:r>
      <w:r>
        <w:rPr>
          <w:rFonts w:asciiTheme="majorBidi" w:hAnsiTheme="majorBidi" w:cstheme="majorBidi"/>
          <w:color w:val="231F20"/>
          <w:sz w:val="24"/>
          <w:szCs w:val="24"/>
        </w:rPr>
        <w:t>*</w:t>
      </w:r>
      <w:r w:rsidRPr="00971901">
        <w:rPr>
          <w:rFonts w:asciiTheme="majorBidi" w:hAnsiTheme="majorBidi" w:cstheme="majorBidi"/>
          <w:color w:val="231F20"/>
          <w:sz w:val="24"/>
          <w:szCs w:val="24"/>
        </w:rPr>
        <w:t xml:space="preserve">*P-value&lt;0.01; </w:t>
      </w:r>
      <w:r>
        <w:rPr>
          <w:rFonts w:asciiTheme="majorBidi" w:hAnsiTheme="majorBidi" w:cstheme="majorBidi"/>
          <w:color w:val="231F20"/>
          <w:sz w:val="24"/>
          <w:szCs w:val="24"/>
        </w:rPr>
        <w:t>ns=non-significant</w:t>
      </w:r>
    </w:p>
    <w:p w14:paraId="692D67AF" w14:textId="77777777" w:rsidR="00F225EE" w:rsidRDefault="00F225EE" w:rsidP="00AD2149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  <w:sz w:val="24"/>
          <w:szCs w:val="24"/>
        </w:rPr>
      </w:pPr>
    </w:p>
    <w:p w14:paraId="43454484" w14:textId="77777777" w:rsidR="00AD2149" w:rsidRDefault="00AD2149" w:rsidP="00AD2149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  <w:sz w:val="24"/>
          <w:szCs w:val="24"/>
        </w:rPr>
      </w:pPr>
    </w:p>
    <w:p w14:paraId="011180F0" w14:textId="77777777" w:rsidR="00AD2149" w:rsidRDefault="00AD2149" w:rsidP="00AD2149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  <w:sz w:val="24"/>
          <w:szCs w:val="24"/>
        </w:rPr>
      </w:pPr>
    </w:p>
    <w:p w14:paraId="01E3F10B" w14:textId="36C89F83" w:rsidR="00F225EE" w:rsidRPr="00F225EE" w:rsidRDefault="00F225EE" w:rsidP="00F225EE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IL"/>
        </w:rPr>
      </w:pPr>
      <w:r w:rsidRPr="00F225EE">
        <w:rPr>
          <w:rFonts w:asciiTheme="majorBidi" w:hAnsiTheme="majorBidi" w:cstheme="majorBidi"/>
          <w:b/>
          <w:bCs/>
          <w:sz w:val="28"/>
          <w:szCs w:val="28"/>
        </w:rPr>
        <w:t xml:space="preserve">Figure </w:t>
      </w:r>
      <w:r w:rsidRPr="00F225EE">
        <w:rPr>
          <w:rFonts w:asciiTheme="majorBidi" w:hAnsiTheme="majorBidi" w:cstheme="majorBidi"/>
          <w:b/>
          <w:bCs/>
          <w:sz w:val="28"/>
          <w:szCs w:val="28"/>
        </w:rPr>
        <w:t>S4</w:t>
      </w:r>
      <w:r w:rsidRPr="00F225EE">
        <w:rPr>
          <w:rFonts w:asciiTheme="majorBidi" w:hAnsiTheme="majorBidi" w:cstheme="majorBidi"/>
          <w:b/>
          <w:bCs/>
          <w:sz w:val="28"/>
          <w:szCs w:val="28"/>
        </w:rPr>
        <w:t>. Comparison of visual acuity improvement 1 month, 12 months and at last extended follow-up post-cataract surgery in the different study groups</w:t>
      </w:r>
      <w:r w:rsidRPr="00F225E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F225EE">
        <w:rPr>
          <w:rFonts w:asciiTheme="majorBidi" w:hAnsiTheme="majorBidi" w:cstheme="majorBidi"/>
          <w:b/>
          <w:bCs/>
          <w:sz w:val="28"/>
          <w:szCs w:val="28"/>
          <w:lang w:val="en-IL"/>
        </w:rPr>
        <w:t>(</w:t>
      </w:r>
      <w:r w:rsidRPr="00F225EE">
        <w:rPr>
          <w:rFonts w:asciiTheme="majorBidi" w:hAnsiTheme="majorBidi" w:cstheme="majorBidi"/>
          <w:b/>
          <w:bCs/>
          <w:sz w:val="28"/>
          <w:szCs w:val="28"/>
        </w:rPr>
        <w:t>one eye per patient</w:t>
      </w:r>
      <w:r w:rsidRPr="00F225EE">
        <w:rPr>
          <w:rFonts w:asciiTheme="majorBidi" w:hAnsiTheme="majorBidi" w:cstheme="majorBidi"/>
          <w:b/>
          <w:bCs/>
          <w:sz w:val="28"/>
          <w:szCs w:val="28"/>
          <w:lang w:val="en-IL"/>
        </w:rPr>
        <w:t>)</w:t>
      </w:r>
      <w:r w:rsidRPr="00F225EE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6B5DB30B" w14:textId="05D0FDED" w:rsidR="00AD2149" w:rsidRDefault="00F225EE" w:rsidP="00AD2149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  <w:sz w:val="24"/>
          <w:szCs w:val="24"/>
          <w:rtl/>
        </w:rPr>
      </w:pPr>
      <w:r>
        <w:rPr>
          <w:noProof/>
        </w:rPr>
        <w:lastRenderedPageBreak/>
        <w:drawing>
          <wp:inline distT="0" distB="0" distL="0" distR="0" wp14:anchorId="5B985D42" wp14:editId="179D4E41">
            <wp:extent cx="8110855" cy="5731510"/>
            <wp:effectExtent l="0" t="0" r="4445" b="2540"/>
            <wp:docPr id="94508592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855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192F6" w14:textId="5BB6160A" w:rsidR="00F225EE" w:rsidRPr="00971901" w:rsidRDefault="00F225EE" w:rsidP="00F225EE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971901">
        <w:rPr>
          <w:rFonts w:asciiTheme="majorBidi" w:hAnsiTheme="majorBidi" w:cstheme="majorBidi"/>
          <w:color w:val="231F20"/>
          <w:sz w:val="24"/>
          <w:szCs w:val="24"/>
        </w:rPr>
        <w:lastRenderedPageBreak/>
        <w:t xml:space="preserve">N=number of eyes; M=months following surgery; BCVA </w:t>
      </w:r>
      <w:proofErr w:type="spellStart"/>
      <w:r w:rsidRPr="00971901">
        <w:rPr>
          <w:rFonts w:asciiTheme="majorBidi" w:hAnsiTheme="majorBidi" w:cstheme="majorBidi"/>
          <w:color w:val="231F20"/>
          <w:sz w:val="24"/>
          <w:szCs w:val="24"/>
        </w:rPr>
        <w:t>LogMAR</w:t>
      </w:r>
      <w:proofErr w:type="spellEnd"/>
      <w:r w:rsidRPr="00971901">
        <w:rPr>
          <w:rFonts w:asciiTheme="majorBidi" w:hAnsiTheme="majorBidi" w:cstheme="majorBidi"/>
          <w:color w:val="231F20"/>
          <w:sz w:val="24"/>
          <w:szCs w:val="24"/>
        </w:rPr>
        <w:t xml:space="preserve">= </w:t>
      </w:r>
      <w:proofErr w:type="spellStart"/>
      <w:r w:rsidRPr="00971901">
        <w:rPr>
          <w:rFonts w:asciiTheme="majorBidi" w:hAnsiTheme="majorBidi" w:cstheme="majorBidi"/>
          <w:color w:val="231F20"/>
          <w:sz w:val="24"/>
          <w:szCs w:val="24"/>
        </w:rPr>
        <w:t>LogMAR</w:t>
      </w:r>
      <w:proofErr w:type="spellEnd"/>
      <w:r w:rsidRPr="00971901">
        <w:rPr>
          <w:rFonts w:asciiTheme="majorBidi" w:hAnsiTheme="majorBidi" w:cstheme="majorBidi"/>
          <w:color w:val="231F20"/>
          <w:sz w:val="24"/>
          <w:szCs w:val="24"/>
        </w:rPr>
        <w:t xml:space="preserve"> of best-corrected visual acuity; </w:t>
      </w:r>
      <w:r w:rsidRPr="00971901">
        <w:rPr>
          <w:rFonts w:asciiTheme="majorBidi" w:hAnsiTheme="majorBidi" w:cstheme="majorBidi"/>
          <w:sz w:val="24"/>
          <w:szCs w:val="24"/>
        </w:rPr>
        <w:t>AFVD</w:t>
      </w:r>
      <w:r w:rsidRPr="00971901">
        <w:rPr>
          <w:rFonts w:asciiTheme="majorBidi" w:hAnsiTheme="majorBidi" w:cstheme="majorBidi"/>
          <w:color w:val="231F20"/>
          <w:sz w:val="24"/>
          <w:szCs w:val="24"/>
        </w:rPr>
        <w:t xml:space="preserve"> =Adult </w:t>
      </w:r>
      <w:proofErr w:type="spellStart"/>
      <w:r w:rsidRPr="00971901">
        <w:rPr>
          <w:rFonts w:asciiTheme="majorBidi" w:hAnsiTheme="majorBidi" w:cstheme="majorBidi"/>
          <w:color w:val="231F20"/>
          <w:sz w:val="24"/>
          <w:szCs w:val="24"/>
        </w:rPr>
        <w:t>foveo</w:t>
      </w:r>
      <w:proofErr w:type="spellEnd"/>
      <w:r w:rsidRPr="00971901">
        <w:rPr>
          <w:rFonts w:asciiTheme="majorBidi" w:hAnsiTheme="majorBidi" w:cstheme="majorBidi"/>
          <w:color w:val="231F20"/>
          <w:sz w:val="24"/>
          <w:szCs w:val="24"/>
        </w:rPr>
        <w:t>-macular vitelliform dystrophy; AMD=</w:t>
      </w:r>
      <w:r w:rsidRPr="00971901">
        <w:rPr>
          <w:rFonts w:asciiTheme="majorBidi" w:hAnsiTheme="majorBidi" w:cstheme="majorBidi"/>
          <w:sz w:val="24"/>
          <w:szCs w:val="24"/>
        </w:rPr>
        <w:t xml:space="preserve"> Age related macular degeneration; None-</w:t>
      </w:r>
      <w:r w:rsidRPr="00971901">
        <w:rPr>
          <w:rFonts w:asciiTheme="majorBidi" w:hAnsiTheme="majorBidi" w:cstheme="majorBidi"/>
          <w:color w:val="231F20"/>
          <w:sz w:val="24"/>
          <w:szCs w:val="24"/>
        </w:rPr>
        <w:t>NV AMD=</w:t>
      </w:r>
      <w:r w:rsidRPr="00971901">
        <w:rPr>
          <w:rFonts w:asciiTheme="majorBidi" w:hAnsiTheme="majorBidi" w:cstheme="majorBidi"/>
          <w:sz w:val="24"/>
          <w:szCs w:val="24"/>
        </w:rPr>
        <w:t xml:space="preserve"> None-neovascular age related macular degeneration;</w:t>
      </w:r>
      <w:r w:rsidRPr="00971901">
        <w:rPr>
          <w:rFonts w:asciiTheme="majorBidi" w:hAnsiTheme="majorBidi" w:cstheme="majorBidi"/>
          <w:color w:val="231F20"/>
          <w:sz w:val="24"/>
          <w:szCs w:val="24"/>
        </w:rPr>
        <w:t xml:space="preserve"> NVAMD=</w:t>
      </w:r>
      <w:r w:rsidRPr="00971901">
        <w:rPr>
          <w:rFonts w:asciiTheme="majorBidi" w:hAnsiTheme="majorBidi" w:cstheme="majorBidi"/>
          <w:sz w:val="24"/>
          <w:szCs w:val="24"/>
        </w:rPr>
        <w:t xml:space="preserve"> Neovascular age related macular degeneration</w:t>
      </w:r>
      <w:r w:rsidRPr="00971901">
        <w:rPr>
          <w:rFonts w:asciiTheme="majorBidi" w:hAnsiTheme="majorBidi" w:cstheme="majorBidi"/>
          <w:color w:val="231F20"/>
          <w:sz w:val="24"/>
          <w:szCs w:val="24"/>
        </w:rPr>
        <w:t>; ns=non-significant</w:t>
      </w:r>
    </w:p>
    <w:p w14:paraId="6FD50D95" w14:textId="77777777" w:rsidR="005B276A" w:rsidRDefault="005B276A"/>
    <w:p w14:paraId="7F953B13" w14:textId="77777777" w:rsidR="005B276A" w:rsidRDefault="005B276A"/>
    <w:p w14:paraId="28F697CB" w14:textId="77777777" w:rsidR="005B276A" w:rsidRDefault="005B276A"/>
    <w:p w14:paraId="455F159B" w14:textId="729C2D78" w:rsidR="005B276A" w:rsidRPr="00F225EE" w:rsidRDefault="00F225EE" w:rsidP="00F225EE">
      <w:pPr>
        <w:autoSpaceDE w:val="0"/>
        <w:autoSpaceDN w:val="0"/>
        <w:adjustRightInd w:val="0"/>
        <w:spacing w:after="0" w:line="480" w:lineRule="auto"/>
        <w:jc w:val="center"/>
        <w:rPr>
          <w:lang w:val="en-IL"/>
        </w:rPr>
      </w:pPr>
      <w:r w:rsidRPr="00F225EE">
        <w:rPr>
          <w:rFonts w:asciiTheme="majorBidi" w:hAnsiTheme="majorBidi" w:cstheme="majorBidi"/>
          <w:b/>
          <w:bCs/>
          <w:sz w:val="28"/>
          <w:szCs w:val="28"/>
        </w:rPr>
        <w:t>Figure</w:t>
      </w:r>
      <w:r w:rsidRPr="00F225EE">
        <w:rPr>
          <w:rFonts w:asciiTheme="majorBidi" w:hAnsiTheme="majorBidi" w:cstheme="majorBidi"/>
          <w:b/>
          <w:bCs/>
          <w:sz w:val="28"/>
          <w:szCs w:val="28"/>
        </w:rPr>
        <w:t xml:space="preserve"> S5</w:t>
      </w:r>
      <w:r w:rsidRPr="00F225EE">
        <w:rPr>
          <w:rFonts w:asciiTheme="majorBidi" w:hAnsiTheme="majorBidi" w:cstheme="majorBidi"/>
          <w:b/>
          <w:bCs/>
          <w:sz w:val="28"/>
          <w:szCs w:val="28"/>
        </w:rPr>
        <w:t xml:space="preserve">. Comparison of AVFD stage before, 12 months and at last extended follow-up post-cataract surgery </w:t>
      </w:r>
      <w:r w:rsidRPr="00F225EE">
        <w:rPr>
          <w:rFonts w:asciiTheme="majorBidi" w:hAnsiTheme="majorBidi" w:cstheme="majorBidi"/>
          <w:b/>
          <w:bCs/>
          <w:sz w:val="28"/>
          <w:szCs w:val="28"/>
          <w:lang w:val="en-IL"/>
        </w:rPr>
        <w:t>(</w:t>
      </w:r>
      <w:r w:rsidRPr="00F225EE">
        <w:rPr>
          <w:rFonts w:asciiTheme="majorBidi" w:hAnsiTheme="majorBidi" w:cstheme="majorBidi"/>
          <w:b/>
          <w:bCs/>
          <w:sz w:val="28"/>
          <w:szCs w:val="28"/>
        </w:rPr>
        <w:t>one eye per patient</w:t>
      </w:r>
      <w:r w:rsidRPr="00F225EE">
        <w:rPr>
          <w:rFonts w:asciiTheme="majorBidi" w:hAnsiTheme="majorBidi" w:cstheme="majorBidi"/>
          <w:b/>
          <w:bCs/>
          <w:sz w:val="28"/>
          <w:szCs w:val="28"/>
          <w:lang w:val="en-IL"/>
        </w:rPr>
        <w:t>)</w:t>
      </w:r>
      <w:r w:rsidRPr="00F225EE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26542FBB" w14:textId="77777777" w:rsidR="005B276A" w:rsidRDefault="005B276A"/>
    <w:p w14:paraId="56181392" w14:textId="66DDE4FC" w:rsidR="005B276A" w:rsidRDefault="00F225EE">
      <w:r>
        <w:rPr>
          <w:noProof/>
        </w:rPr>
        <w:lastRenderedPageBreak/>
        <w:drawing>
          <wp:inline distT="0" distB="0" distL="0" distR="0" wp14:anchorId="6FDC6930" wp14:editId="75B61F5B">
            <wp:extent cx="6832600" cy="4737100"/>
            <wp:effectExtent l="0" t="0" r="6350" b="6350"/>
            <wp:docPr id="1297337756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72487" w14:textId="77777777" w:rsidR="005B276A" w:rsidRDefault="005B276A"/>
    <w:p w14:paraId="379D9348" w14:textId="77777777" w:rsidR="00F225EE" w:rsidRPr="007A5C57" w:rsidRDefault="00F225EE" w:rsidP="00F225EE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971901">
        <w:rPr>
          <w:rFonts w:asciiTheme="majorBidi" w:hAnsiTheme="majorBidi" w:cstheme="majorBidi"/>
          <w:color w:val="231F20"/>
          <w:sz w:val="24"/>
          <w:szCs w:val="24"/>
        </w:rPr>
        <w:t xml:space="preserve">N=number of eyes; M=months following surgery; </w:t>
      </w:r>
      <w:r w:rsidRPr="00971901">
        <w:rPr>
          <w:rFonts w:asciiTheme="majorBidi" w:hAnsiTheme="majorBidi" w:cstheme="majorBidi"/>
          <w:sz w:val="24"/>
          <w:szCs w:val="24"/>
        </w:rPr>
        <w:t>AFVD</w:t>
      </w:r>
      <w:r w:rsidRPr="00971901">
        <w:rPr>
          <w:rFonts w:asciiTheme="majorBidi" w:hAnsiTheme="majorBidi" w:cstheme="majorBidi"/>
          <w:color w:val="231F20"/>
          <w:sz w:val="24"/>
          <w:szCs w:val="24"/>
        </w:rPr>
        <w:t xml:space="preserve"> =Adult </w:t>
      </w:r>
      <w:proofErr w:type="spellStart"/>
      <w:r w:rsidRPr="00971901">
        <w:rPr>
          <w:rFonts w:asciiTheme="majorBidi" w:hAnsiTheme="majorBidi" w:cstheme="majorBidi"/>
          <w:color w:val="231F20"/>
          <w:sz w:val="24"/>
          <w:szCs w:val="24"/>
        </w:rPr>
        <w:t>foveo</w:t>
      </w:r>
      <w:proofErr w:type="spellEnd"/>
      <w:r w:rsidRPr="00971901">
        <w:rPr>
          <w:rFonts w:asciiTheme="majorBidi" w:hAnsiTheme="majorBidi" w:cstheme="majorBidi"/>
          <w:color w:val="231F20"/>
          <w:sz w:val="24"/>
          <w:szCs w:val="24"/>
        </w:rPr>
        <w:t>-macular vitelliform dystrophy</w:t>
      </w:r>
      <w:r w:rsidRPr="007A5C57"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</w:p>
    <w:p w14:paraId="4CB4421E" w14:textId="77777777" w:rsidR="005B276A" w:rsidRDefault="005B276A"/>
    <w:p w14:paraId="132087CC" w14:textId="77777777" w:rsidR="005B276A" w:rsidRDefault="005B276A"/>
    <w:p w14:paraId="272BDDB8" w14:textId="77777777" w:rsidR="005B276A" w:rsidRDefault="005B276A"/>
    <w:p w14:paraId="7B503C18" w14:textId="77777777" w:rsidR="005B276A" w:rsidRDefault="005B276A"/>
    <w:p w14:paraId="378B9512" w14:textId="77777777" w:rsidR="005B276A" w:rsidRDefault="005B276A"/>
    <w:sectPr w:rsidR="005B276A" w:rsidSect="00F225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0MzSwtLM3MzC1MjcyUdpeDU4uLM/DyQArNaAL+LlMksAAAA"/>
  </w:docVars>
  <w:rsids>
    <w:rsidRoot w:val="002B4CD1"/>
    <w:rsid w:val="002B4CD1"/>
    <w:rsid w:val="003578ED"/>
    <w:rsid w:val="004D021B"/>
    <w:rsid w:val="0053121D"/>
    <w:rsid w:val="005A06DF"/>
    <w:rsid w:val="005B276A"/>
    <w:rsid w:val="00881426"/>
    <w:rsid w:val="00A21761"/>
    <w:rsid w:val="00A46493"/>
    <w:rsid w:val="00AD2149"/>
    <w:rsid w:val="00C4379E"/>
    <w:rsid w:val="00CA618B"/>
    <w:rsid w:val="00F2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ED448"/>
  <w15:chartTrackingRefBased/>
  <w15:docId w15:val="{F8B3ABD3-AA35-465A-AF85-470CE6AE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CD1"/>
    <w:pPr>
      <w:spacing w:line="256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CD1"/>
    <w:pPr>
      <w:ind w:left="720"/>
      <w:contextualSpacing/>
    </w:pPr>
  </w:style>
  <w:style w:type="table" w:styleId="a4">
    <w:name w:val="Table Grid"/>
    <w:basedOn w:val="a1"/>
    <w:uiPriority w:val="39"/>
    <w:rsid w:val="002B4CD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semiHidden/>
    <w:unhideWhenUsed/>
    <w:rsid w:val="00F225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Orchuk86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E155C-88BD-4EB7-A18A-13302CC1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 Shmueli</dc:creator>
  <cp:keywords/>
  <dc:description/>
  <cp:lastModifiedBy>Or Shmueli</cp:lastModifiedBy>
  <cp:revision>2</cp:revision>
  <dcterms:created xsi:type="dcterms:W3CDTF">2025-08-25T20:04:00Z</dcterms:created>
  <dcterms:modified xsi:type="dcterms:W3CDTF">2025-08-25T20:04:00Z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7bbd41f7-1443-4c29-90e4-cac7c78261b3</vt:lpwstr>
  </property>
  <property fmtid="{D5CDD505-2E9C-101B-9397-08002B2CF9AE}" pid="3" name="Mendeley Recent Style Id 0_1">
    <vt:lpwstr>http://www.zotero.org/styles/american-journal-of-ophthalmology-case-reports</vt:lpwstr>
  </property>
  <property fmtid="{D5CDD505-2E9C-101B-9397-08002B2CF9AE}" pid="4" name="Mendeley Recent Style Name 0_1">
    <vt:lpwstr>American Journal of Ophthalmology Case Reports</vt:lpwstr>
  </property>
  <property fmtid="{D5CDD505-2E9C-101B-9397-08002B2CF9AE}" pid="5" name="Mendeley Recent Style Id 1_1">
    <vt:lpwstr>http://www.zotero.org/styles/harvard-cite-them-right</vt:lpwstr>
  </property>
  <property fmtid="{D5CDD505-2E9C-101B-9397-08002B2CF9AE}" pid="6" name="Mendeley Recent Style Name 1_1">
    <vt:lpwstr>Cite Them Right 10th edition - Harvard</vt:lpwstr>
  </property>
  <property fmtid="{D5CDD505-2E9C-101B-9397-08002B2CF9AE}" pid="7" name="Mendeley Recent Style Id 2_1">
    <vt:lpwstr>http://www.zotero.org/styles/current-eye-research</vt:lpwstr>
  </property>
  <property fmtid="{D5CDD505-2E9C-101B-9397-08002B2CF9AE}" pid="8" name="Mendeley Recent Style Name 2_1">
    <vt:lpwstr>Current Eye Research</vt:lpwstr>
  </property>
  <property fmtid="{D5CDD505-2E9C-101B-9397-08002B2CF9AE}" pid="9" name="Mendeley Recent Style Id 3_1">
    <vt:lpwstr>http://www.zotero.org/styles/graefes-archive-for-clinical-and-experimental-ophthalmology</vt:lpwstr>
  </property>
  <property fmtid="{D5CDD505-2E9C-101B-9397-08002B2CF9AE}" pid="10" name="Mendeley Recent Style Name 3_1">
    <vt:lpwstr>Graefe's Archive for Clinical and Experimental Ophthalmology</vt:lpwstr>
  </property>
  <property fmtid="{D5CDD505-2E9C-101B-9397-08002B2CF9AE}" pid="11" name="Mendeley Recent Style Id 4_1">
    <vt:lpwstr>http://www.zotero.org/styles/ieee</vt:lpwstr>
  </property>
  <property fmtid="{D5CDD505-2E9C-101B-9397-08002B2CF9AE}" pid="12" name="Mendeley Recent Style Name 4_1">
    <vt:lpwstr>IEEE</vt:lpwstr>
  </property>
  <property fmtid="{D5CDD505-2E9C-101B-9397-08002B2CF9AE}" pid="13" name="Mendeley Recent Style Id 5_1">
    <vt:lpwstr>http://www.zotero.org/styles/journal-of-american-association-for-pediatric-ophthalmology-and-strabismus</vt:lpwstr>
  </property>
  <property fmtid="{D5CDD505-2E9C-101B-9397-08002B2CF9AE}" pid="14" name="Mendeley Recent Style Name 5_1">
    <vt:lpwstr>Journal of American Association for Pediatric Ophthalmology and Strabismus</vt:lpwstr>
  </property>
  <property fmtid="{D5CDD505-2E9C-101B-9397-08002B2CF9AE}" pid="15" name="Mendeley Recent Style Id 6_1">
    <vt:lpwstr>http://www.zotero.org/styles/journal-of-transport-and-health</vt:lpwstr>
  </property>
  <property fmtid="{D5CDD505-2E9C-101B-9397-08002B2CF9AE}" pid="16" name="Mendeley Recent Style Name 6_1">
    <vt:lpwstr>Journal of Transport &amp; Health</vt:lpwstr>
  </property>
  <property fmtid="{D5CDD505-2E9C-101B-9397-08002B2CF9AE}" pid="17" name="Mendeley Recent Style Id 7_1">
    <vt:lpwstr>http://www.zotero.org/styles/ophthalmology</vt:lpwstr>
  </property>
  <property fmtid="{D5CDD505-2E9C-101B-9397-08002B2CF9AE}" pid="18" name="Mendeley Recent Style Name 7_1">
    <vt:lpwstr>Ophthalmology</vt:lpwstr>
  </property>
  <property fmtid="{D5CDD505-2E9C-101B-9397-08002B2CF9AE}" pid="19" name="Mendeley Recent Style Id 8_1">
    <vt:lpwstr>http://www.zotero.org/styles/ophthalmology-retina</vt:lpwstr>
  </property>
  <property fmtid="{D5CDD505-2E9C-101B-9397-08002B2CF9AE}" pid="20" name="Mendeley Recent Style Name 8_1">
    <vt:lpwstr>Ophthalmology Retina</vt:lpwstr>
  </property>
  <property fmtid="{D5CDD505-2E9C-101B-9397-08002B2CF9AE}" pid="21" name="Mendeley Recent Style Id 9_1">
    <vt:lpwstr>http://www.zotero.org/styles/traffic-injury-prevention</vt:lpwstr>
  </property>
  <property fmtid="{D5CDD505-2E9C-101B-9397-08002B2CF9AE}" pid="22" name="Mendeley Recent Style Name 9_1">
    <vt:lpwstr>Traffic Injury Prevention</vt:lpwstr>
  </property>
</Properties>
</file>