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55B87" w14:textId="0CB49A9C" w:rsidR="000121F3" w:rsidRPr="008F5954" w:rsidRDefault="000121F3" w:rsidP="008F5954">
      <w:pPr>
        <w:jc w:val="both"/>
        <w:rPr>
          <w:rFonts w:ascii="Arial" w:hAnsi="Arial" w:cs="Arial"/>
          <w:b/>
          <w:bCs/>
          <w:color w:val="000000" w:themeColor="text1"/>
          <w:lang w:val="en-US"/>
        </w:rPr>
      </w:pPr>
      <w:r w:rsidRPr="0065386B">
        <w:rPr>
          <w:rFonts w:ascii="Arial" w:hAnsi="Arial" w:cs="Arial"/>
          <w:b/>
          <w:bCs/>
          <w:color w:val="000000" w:themeColor="text1"/>
          <w:lang w:val="en-US"/>
        </w:rPr>
        <w:t>Supplementary Material 1</w:t>
      </w:r>
      <w:r w:rsidR="0065386B" w:rsidRPr="0065386B">
        <w:rPr>
          <w:rFonts w:ascii="Arial" w:hAnsi="Arial" w:cs="Arial"/>
          <w:b/>
          <w:bCs/>
          <w:color w:val="000000" w:themeColor="text1"/>
          <w:lang w:val="en-US"/>
        </w:rPr>
        <w:t xml:space="preserve">: </w:t>
      </w:r>
      <w:r w:rsidR="0065386B" w:rsidRPr="008F5954">
        <w:rPr>
          <w:rFonts w:ascii="Arial" w:hAnsi="Arial" w:cs="Arial"/>
          <w:b/>
          <w:bCs/>
          <w:color w:val="000000" w:themeColor="text1"/>
          <w:lang w:val="en-US"/>
        </w:rPr>
        <w:t>Clinical Protocol</w:t>
      </w:r>
    </w:p>
    <w:p w14:paraId="5780E647" w14:textId="77777777" w:rsidR="000121F3" w:rsidRPr="0065386B" w:rsidRDefault="000121F3" w:rsidP="000121F3">
      <w:pPr>
        <w:jc w:val="both"/>
        <w:rPr>
          <w:rFonts w:ascii="Arial" w:hAnsi="Arial" w:cs="Arial"/>
          <w:b/>
          <w:bCs/>
          <w:color w:val="000000" w:themeColor="text1"/>
          <w:lang w:val="en-US"/>
        </w:rPr>
      </w:pPr>
    </w:p>
    <w:p w14:paraId="32FFEB4A" w14:textId="77777777" w:rsidR="000121F3" w:rsidRPr="00F712D8" w:rsidRDefault="000121F3" w:rsidP="00F712D8">
      <w:pPr>
        <w:rPr>
          <w:color w:val="000000" w:themeColor="text1"/>
          <w:lang w:val="en-US"/>
        </w:rPr>
      </w:pPr>
    </w:p>
    <w:p w14:paraId="5D71F75E" w14:textId="56B0C277"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 xml:space="preserve">Determination of </w:t>
      </w:r>
      <w:r w:rsidR="00CA7043" w:rsidRPr="00F712D8">
        <w:rPr>
          <w:rFonts w:ascii="Arial" w:hAnsi="Arial" w:cs="Arial"/>
          <w:b/>
          <w:bCs/>
          <w:color w:val="000000" w:themeColor="text1"/>
          <w:lang w:val="en-US"/>
        </w:rPr>
        <w:t xml:space="preserve">non-invasive tear break-up time  </w:t>
      </w:r>
    </w:p>
    <w:p w14:paraId="782BACEF" w14:textId="432B11E1" w:rsidR="002123AF" w:rsidRPr="0065386B" w:rsidRDefault="002123AF" w:rsidP="002123AF">
      <w:pPr>
        <w:jc w:val="both"/>
        <w:rPr>
          <w:rFonts w:ascii="Arial" w:hAnsi="Arial" w:cs="Arial"/>
          <w:color w:val="000000" w:themeColor="text1"/>
          <w:lang w:val="en-US"/>
        </w:rPr>
      </w:pPr>
      <w:r w:rsidRPr="0065386B">
        <w:rPr>
          <w:rFonts w:ascii="Arial" w:hAnsi="Arial" w:cs="Arial"/>
          <w:color w:val="000000" w:themeColor="text1"/>
          <w:lang w:val="en-US"/>
        </w:rPr>
        <w:t xml:space="preserve">The </w:t>
      </w:r>
      <w:r w:rsidR="00CA7043" w:rsidRPr="0065386B">
        <w:rPr>
          <w:rFonts w:ascii="Arial" w:hAnsi="Arial" w:cs="Arial"/>
          <w:color w:val="000000" w:themeColor="text1"/>
          <w:lang w:val="en-US"/>
        </w:rPr>
        <w:t>non-invasive tear break-up time (</w:t>
      </w:r>
      <w:r w:rsidRPr="0065386B">
        <w:rPr>
          <w:rFonts w:ascii="Arial" w:hAnsi="Arial" w:cs="Arial"/>
          <w:color w:val="000000" w:themeColor="text1"/>
          <w:lang w:val="en-US"/>
        </w:rPr>
        <w:t>N</w:t>
      </w:r>
      <w:r w:rsidR="00CA7043" w:rsidRPr="0065386B">
        <w:rPr>
          <w:rFonts w:ascii="Arial" w:hAnsi="Arial" w:cs="Arial"/>
          <w:color w:val="000000" w:themeColor="text1"/>
          <w:lang w:val="en-US"/>
        </w:rPr>
        <w:t>I</w:t>
      </w:r>
      <w:r w:rsidRPr="0065386B">
        <w:rPr>
          <w:rFonts w:ascii="Arial" w:hAnsi="Arial" w:cs="Arial"/>
          <w:color w:val="000000" w:themeColor="text1"/>
          <w:lang w:val="en-US"/>
        </w:rPr>
        <w:t>BUT</w:t>
      </w:r>
      <w:r w:rsidR="00CA7043" w:rsidRPr="0065386B">
        <w:rPr>
          <w:rFonts w:ascii="Arial" w:hAnsi="Arial" w:cs="Arial"/>
          <w:color w:val="000000" w:themeColor="text1"/>
          <w:lang w:val="en-US"/>
        </w:rPr>
        <w:t>)</w:t>
      </w:r>
      <w:r w:rsidRPr="0065386B">
        <w:rPr>
          <w:rFonts w:ascii="Arial" w:hAnsi="Arial" w:cs="Arial"/>
          <w:color w:val="000000" w:themeColor="text1"/>
          <w:lang w:val="en-US"/>
        </w:rPr>
        <w:t xml:space="preserve"> was measured using the Oculus </w:t>
      </w:r>
      <w:proofErr w:type="spellStart"/>
      <w:r w:rsidRPr="0065386B">
        <w:rPr>
          <w:rFonts w:ascii="Arial" w:hAnsi="Arial" w:cs="Arial"/>
          <w:color w:val="000000" w:themeColor="text1"/>
          <w:lang w:val="en-US"/>
        </w:rPr>
        <w:t>Keratograph</w:t>
      </w:r>
      <w:proofErr w:type="spellEnd"/>
      <w:r w:rsidRPr="0065386B">
        <w:rPr>
          <w:rFonts w:ascii="Arial" w:hAnsi="Arial" w:cs="Arial"/>
          <w:color w:val="000000" w:themeColor="text1"/>
          <w:lang w:val="en-US"/>
        </w:rPr>
        <w:t xml:space="preserve"> 5M. This technique involves projecting a Placido ring onto the ocular surface and focusing it clearly. After the subject completes one blink, they are instructed to stop blinking. The Oculus </w:t>
      </w:r>
      <w:proofErr w:type="spellStart"/>
      <w:r w:rsidRPr="0065386B">
        <w:rPr>
          <w:rFonts w:ascii="Arial" w:hAnsi="Arial" w:cs="Arial"/>
          <w:color w:val="000000" w:themeColor="text1"/>
          <w:lang w:val="en-US"/>
        </w:rPr>
        <w:t>Keratograph</w:t>
      </w:r>
      <w:proofErr w:type="spellEnd"/>
      <w:r w:rsidRPr="0065386B">
        <w:rPr>
          <w:rFonts w:ascii="Arial" w:hAnsi="Arial" w:cs="Arial"/>
          <w:color w:val="000000" w:themeColor="text1"/>
          <w:lang w:val="en-US"/>
        </w:rPr>
        <w:t xml:space="preserve"> 5M automatically</w:t>
      </w:r>
      <w:r w:rsidR="00623F98" w:rsidRPr="0065386B">
        <w:rPr>
          <w:rFonts w:ascii="Arial" w:hAnsi="Arial" w:cs="Arial"/>
          <w:color w:val="000000" w:themeColor="text1"/>
          <w:lang w:val="en-US"/>
        </w:rPr>
        <w:t xml:space="preserve"> detects</w:t>
      </w:r>
      <w:r w:rsidRPr="0065386B">
        <w:rPr>
          <w:rFonts w:ascii="Arial" w:hAnsi="Arial" w:cs="Arial"/>
          <w:color w:val="000000" w:themeColor="text1"/>
          <w:lang w:val="en-US"/>
        </w:rPr>
        <w:t xml:space="preserve"> the first break-up detected in any surface segment</w:t>
      </w:r>
      <w:r w:rsidR="00623F98" w:rsidRPr="0065386B">
        <w:rPr>
          <w:rFonts w:ascii="Arial" w:hAnsi="Arial" w:cs="Arial"/>
          <w:color w:val="000000" w:themeColor="text1"/>
          <w:lang w:val="en-US"/>
        </w:rPr>
        <w:t xml:space="preserve"> </w:t>
      </w:r>
      <w:r w:rsidRPr="0065386B">
        <w:rPr>
          <w:rFonts w:ascii="Arial" w:hAnsi="Arial" w:cs="Arial"/>
          <w:color w:val="000000" w:themeColor="text1"/>
          <w:lang w:val="en-US"/>
        </w:rPr>
        <w:fldChar w:fldCharType="begin"/>
      </w:r>
      <w:r w:rsidRPr="0065386B">
        <w:rPr>
          <w:rFonts w:ascii="Arial" w:hAnsi="Arial" w:cs="Arial"/>
          <w:color w:val="000000" w:themeColor="text1"/>
          <w:lang w:val="en-US"/>
        </w:rPr>
        <w:instrText xml:space="preserve"> ADDIN ZOTERO_ITEM CSL_CITATION {"citationID":"RrSEfiAk","properties":{"formattedCitation":"(1)","plainCitation":"(1)","noteIndex":0},"citationItems":[{"id":22456,"uris":["http://zotero.org/groups/5173662/items/68AGJRQM"],"itemData":{"id":22456,"type":"post-weblog","title":"Dry Eye Guide: A Guide to Comprehensive Dry Eye Screening with the OCULUS Keratograph 5M","URL":"https://d3ciwvs59ifrt8.cloudfront.net/7c82a155-a2d2-4de8-a159-f406905e28ca/fa6699ea-8ed7-4c98-ac39-b39186a7c94e.pdf","author":[{"family":"Kunert","given":"Kathleen"},{"family":"Sickenberger","given":"Wolfgang"}],"issued":{"date-parts":[["2017"]]}}}],"schema":"https://github.com/citation-style-language/schema/raw/master/csl-citation.json"} </w:instrText>
      </w:r>
      <w:r w:rsidRPr="0065386B">
        <w:rPr>
          <w:rFonts w:ascii="Arial" w:hAnsi="Arial" w:cs="Arial"/>
          <w:color w:val="000000" w:themeColor="text1"/>
          <w:lang w:val="en-US"/>
        </w:rPr>
        <w:fldChar w:fldCharType="separate"/>
      </w:r>
      <w:r w:rsidRPr="0065386B">
        <w:rPr>
          <w:rFonts w:ascii="Arial" w:hAnsi="Arial" w:cs="Arial"/>
          <w:noProof/>
          <w:color w:val="000000" w:themeColor="text1"/>
          <w:lang w:val="en-US"/>
        </w:rPr>
        <w:t>(1)</w:t>
      </w:r>
      <w:r w:rsidRPr="0065386B">
        <w:rPr>
          <w:rFonts w:ascii="Arial" w:hAnsi="Arial" w:cs="Arial"/>
          <w:color w:val="000000" w:themeColor="text1"/>
          <w:lang w:val="en-US"/>
        </w:rPr>
        <w:fldChar w:fldCharType="end"/>
      </w:r>
      <w:r w:rsidRPr="0065386B">
        <w:rPr>
          <w:rFonts w:ascii="Arial" w:hAnsi="Arial" w:cs="Arial"/>
          <w:color w:val="000000" w:themeColor="text1"/>
          <w:lang w:val="en-US"/>
        </w:rPr>
        <w:t>.</w:t>
      </w:r>
      <w:r w:rsidR="00CA7043" w:rsidRPr="0065386B">
        <w:rPr>
          <w:rFonts w:ascii="Arial" w:hAnsi="Arial" w:cs="Arial"/>
          <w:color w:val="000000" w:themeColor="text1"/>
          <w:lang w:val="en-US"/>
        </w:rPr>
        <w:t xml:space="preserve"> </w:t>
      </w:r>
      <w:r w:rsidR="00CA7043" w:rsidRPr="00F712D8">
        <w:rPr>
          <w:rFonts w:ascii="Arial" w:hAnsi="Arial" w:cs="Arial"/>
          <w:color w:val="000000" w:themeColor="text1"/>
          <w:lang w:val="en-US"/>
        </w:rPr>
        <w:t xml:space="preserve">A NIBUT &lt;10 seconds was considered abnormal, while values </w:t>
      </w:r>
      <w:r w:rsidR="00CA7043" w:rsidRPr="00F712D8">
        <w:rPr>
          <w:rFonts w:ascii="Arial" w:hAnsi="Arial" w:cs="Arial"/>
          <w:color w:val="000000" w:themeColor="text1"/>
          <w:u w:val="single"/>
          <w:lang w:val="en-US"/>
        </w:rPr>
        <w:t>&gt;</w:t>
      </w:r>
      <w:r w:rsidR="00CA7043" w:rsidRPr="00F712D8">
        <w:rPr>
          <w:rFonts w:ascii="Arial" w:hAnsi="Arial" w:cs="Arial"/>
          <w:color w:val="000000" w:themeColor="text1"/>
          <w:lang w:val="en-US"/>
        </w:rPr>
        <w:t>10 seconds were considered normal</w:t>
      </w:r>
      <w:r w:rsidR="00E24327" w:rsidRPr="00F712D8">
        <w:rPr>
          <w:rFonts w:ascii="Arial" w:hAnsi="Arial" w:cs="Arial"/>
          <w:color w:val="000000" w:themeColor="text1"/>
          <w:lang w:val="en-US"/>
        </w:rPr>
        <w:t xml:space="preserve"> </w:t>
      </w:r>
      <w:r w:rsidR="00132E7B" w:rsidRPr="00F712D8">
        <w:rPr>
          <w:rFonts w:ascii="Arial" w:hAnsi="Arial" w:cs="Arial"/>
          <w:color w:val="000000" w:themeColor="text1"/>
          <w:lang w:val="en-US"/>
        </w:rPr>
        <w:fldChar w:fldCharType="begin"/>
      </w:r>
      <w:r w:rsidR="00132E7B" w:rsidRPr="00F712D8">
        <w:rPr>
          <w:rFonts w:ascii="Arial" w:hAnsi="Arial" w:cs="Arial"/>
          <w:color w:val="000000" w:themeColor="text1"/>
          <w:lang w:val="en-US"/>
        </w:rPr>
        <w:instrText xml:space="preserve"> ADDIN ZOTERO_ITEM CSL_CITATION {"citationID":"EBkycs2x","properties":{"formattedCitation":"(2)","plainCitation":"(2)","noteIndex":0},"citationItems":[{"id":20792,"uris":["http://zotero.org/groups/5506244/items/6FGTTXTM"],"itemData":{"id":20792,"type":"article-journal","container-title":"The Ocular Surface","DOI":"10.1016/j.jtos.2017.05.001","ISSN":"15420124","issue":"3","journalAbbreviation":"The Ocular Surface","language":"en","page":"539-574","source":"DOI.org (Crossref)","title":"TFOS DEWS II Diagnostic Methodology report","volume":"15","author":[{"family":"Wolffsohn","given":"James S."},{"family":"Arita","given":"Reiko"},{"family":"Chalmers","given":"Robin"},{"family":"Djalilian","given":"Ali"},{"family":"Dogru","given":"Murat"},{"family":"Dumbleton","given":"Kathy"},{"family":"Gupta","given":"Preeya K."},{"family":"Karpecki","given":"Paul"},{"family":"Lazreg","given":"Sihem"},{"family":"Pult","given":"Heiko"},{"family":"Sullivan","given":"Benjamin D."},{"family":"Tomlinson","given":"Alan"},{"family":"Tong","given":"Louis"},{"family":"Villani","given":"Edoardo"},{"family":"Yoon","given":"Kyung Chul"},{"family":"Jones","given":"Lyndon"},{"family":"Craig","given":"Jennifer P."}],"issued":{"date-parts":[["2017"]]}}}],"schema":"https://github.com/citation-style-language/schema/raw/master/csl-citation.json"} </w:instrText>
      </w:r>
      <w:r w:rsidR="00132E7B" w:rsidRPr="00F712D8">
        <w:rPr>
          <w:rFonts w:ascii="Arial" w:hAnsi="Arial" w:cs="Arial"/>
          <w:color w:val="000000" w:themeColor="text1"/>
          <w:lang w:val="en-US"/>
        </w:rPr>
        <w:fldChar w:fldCharType="separate"/>
      </w:r>
      <w:r w:rsidR="00132E7B" w:rsidRPr="00F712D8">
        <w:rPr>
          <w:rFonts w:ascii="Arial" w:hAnsi="Arial" w:cs="Arial"/>
          <w:noProof/>
          <w:color w:val="000000" w:themeColor="text1"/>
          <w:lang w:val="en-US"/>
        </w:rPr>
        <w:t>(2)</w:t>
      </w:r>
      <w:r w:rsidR="00132E7B" w:rsidRPr="00F712D8">
        <w:rPr>
          <w:rFonts w:ascii="Arial" w:hAnsi="Arial" w:cs="Arial"/>
          <w:color w:val="000000" w:themeColor="text1"/>
          <w:lang w:val="en-US"/>
        </w:rPr>
        <w:fldChar w:fldCharType="end"/>
      </w:r>
      <w:r w:rsidR="00E24327" w:rsidRPr="00F712D8">
        <w:rPr>
          <w:rFonts w:ascii="Arial" w:hAnsi="Arial" w:cs="Arial"/>
          <w:color w:val="000000" w:themeColor="text1"/>
          <w:lang w:val="en-US"/>
        </w:rPr>
        <w:t>.</w:t>
      </w:r>
    </w:p>
    <w:p w14:paraId="417475B6" w14:textId="77777777" w:rsidR="00301636" w:rsidRPr="0065386B" w:rsidRDefault="00301636" w:rsidP="002123AF">
      <w:pPr>
        <w:jc w:val="both"/>
        <w:rPr>
          <w:rFonts w:ascii="Arial" w:hAnsi="Arial" w:cs="Arial"/>
          <w:color w:val="000000" w:themeColor="text1"/>
          <w:lang w:val="en-US"/>
        </w:rPr>
      </w:pPr>
    </w:p>
    <w:p w14:paraId="1C9CB72F" w14:textId="1B7669EB" w:rsidR="00301636" w:rsidRPr="00F712D8" w:rsidRDefault="00301636" w:rsidP="00F712D8">
      <w:pPr>
        <w:jc w:val="both"/>
        <w:rPr>
          <w:rFonts w:ascii="Arial" w:hAnsi="Arial" w:cs="Arial"/>
          <w:b/>
          <w:bCs/>
          <w:color w:val="000000" w:themeColor="text1"/>
          <w:lang w:val="en-US"/>
        </w:rPr>
      </w:pPr>
      <w:r w:rsidRPr="00F712D8">
        <w:rPr>
          <w:rFonts w:ascii="Arial" w:hAnsi="Arial" w:cs="Arial"/>
          <w:b/>
          <w:bCs/>
          <w:color w:val="000000" w:themeColor="text1"/>
          <w:lang w:val="en-US"/>
        </w:rPr>
        <w:t>Lipid layer thickness</w:t>
      </w:r>
    </w:p>
    <w:p w14:paraId="093C49C2" w14:textId="6CC52716" w:rsidR="00301636" w:rsidRPr="0065386B" w:rsidRDefault="00301636" w:rsidP="00301636">
      <w:pPr>
        <w:jc w:val="both"/>
        <w:rPr>
          <w:rFonts w:ascii="Arial" w:hAnsi="Arial" w:cs="Arial"/>
          <w:color w:val="000000" w:themeColor="text1"/>
          <w:lang w:val="en-US"/>
        </w:rPr>
      </w:pPr>
      <w:r w:rsidRPr="0065386B">
        <w:rPr>
          <w:rFonts w:ascii="Arial" w:hAnsi="Arial" w:cs="Arial"/>
          <w:color w:val="000000" w:themeColor="text1"/>
          <w:lang w:val="en-US"/>
        </w:rPr>
        <w:t xml:space="preserve">The lipid layer thickness was obtained using Oculus </w:t>
      </w:r>
      <w:proofErr w:type="spellStart"/>
      <w:r w:rsidRPr="0065386B">
        <w:rPr>
          <w:rFonts w:ascii="Arial" w:hAnsi="Arial" w:cs="Arial"/>
          <w:color w:val="000000" w:themeColor="text1"/>
          <w:lang w:val="en-US"/>
        </w:rPr>
        <w:t>Keratograph</w:t>
      </w:r>
      <w:proofErr w:type="spellEnd"/>
      <w:r w:rsidRPr="0065386B">
        <w:rPr>
          <w:rFonts w:ascii="Arial" w:hAnsi="Arial" w:cs="Arial"/>
          <w:color w:val="000000" w:themeColor="text1"/>
          <w:lang w:val="en-US"/>
        </w:rPr>
        <w:t xml:space="preserve"> 5M. The subjects were instructed to focus on the camera, which recorded a 20-second video of the tear film. </w:t>
      </w:r>
      <w:r w:rsidRPr="00F712D8">
        <w:rPr>
          <w:rFonts w:ascii="Arial" w:hAnsi="Arial" w:cs="Arial"/>
          <w:color w:val="000000" w:themeColor="text1"/>
          <w:lang w:val="en-US"/>
        </w:rPr>
        <w:t>The lipid layer thickness was considered thin when it was lower than 30 nm; values</w:t>
      </w:r>
      <w:r w:rsidR="0074640E" w:rsidRPr="00F712D8">
        <w:rPr>
          <w:rFonts w:ascii="Arial" w:hAnsi="Arial" w:cs="Arial"/>
          <w:color w:val="000000" w:themeColor="text1"/>
          <w:lang w:val="en-US"/>
        </w:rPr>
        <w:t xml:space="preserve"> </w:t>
      </w:r>
      <w:r w:rsidRPr="00F712D8">
        <w:rPr>
          <w:rFonts w:ascii="Arial" w:hAnsi="Arial" w:cs="Arial"/>
          <w:color w:val="000000" w:themeColor="text1"/>
          <w:u w:val="single"/>
          <w:lang w:val="en-US"/>
        </w:rPr>
        <w:t>&gt;</w:t>
      </w:r>
      <w:r w:rsidRPr="00F712D8">
        <w:rPr>
          <w:rFonts w:ascii="Arial" w:hAnsi="Arial" w:cs="Arial"/>
          <w:color w:val="000000" w:themeColor="text1"/>
          <w:lang w:val="en-US"/>
        </w:rPr>
        <w:t xml:space="preserve"> 30  nm were considered normal </w:t>
      </w:r>
      <w:r w:rsidRPr="0065386B">
        <w:rPr>
          <w:rFonts w:ascii="Arial" w:hAnsi="Arial" w:cs="Arial"/>
          <w:color w:val="000000" w:themeColor="text1"/>
          <w:lang w:val="en-US"/>
        </w:rPr>
        <w:fldChar w:fldCharType="begin"/>
      </w:r>
      <w:r w:rsidR="00132E7B" w:rsidRPr="0065386B">
        <w:rPr>
          <w:rFonts w:ascii="Arial" w:hAnsi="Arial" w:cs="Arial"/>
          <w:color w:val="000000" w:themeColor="text1"/>
          <w:lang w:val="en-US"/>
        </w:rPr>
        <w:instrText xml:space="preserve"> ADDIN ZOTERO_ITEM CSL_CITATION {"citationID":"rQ2yOhcX","properties":{"formattedCitation":"(1)","plainCitation":"(1)","noteIndex":0},"citationItems":[{"id":22456,"uris":["http://zotero.org/groups/5173662/items/68AGJRQM"],"itemData":{"id":22456,"type":"post-weblog","title":"Dry Eye Guide: A Guide to Comprehensive Dry Eye Screening with the OCULUS Keratograph 5M","URL":"https://d3ciwvs59ifrt8.cloudfront.net/7c82a155-a2d2-4de8-a159-f406905e28ca/fa6699ea-8ed7-4c98-ac39-b39186a7c94e.pdf","author":[{"family":"Kunert","given":"Kathleen"},{"family":"Sickenberger","given":"Wolfgang"}],"issued":{"date-parts":[["2017"]]}}}],"schema":"https://github.com/citation-style-language/schema/raw/master/csl-citation.json"} </w:instrText>
      </w:r>
      <w:r w:rsidRPr="0065386B">
        <w:rPr>
          <w:rFonts w:ascii="Arial" w:hAnsi="Arial" w:cs="Arial"/>
          <w:color w:val="000000" w:themeColor="text1"/>
          <w:lang w:val="en-US"/>
        </w:rPr>
        <w:fldChar w:fldCharType="separate"/>
      </w:r>
      <w:r w:rsidRPr="0065386B">
        <w:rPr>
          <w:rFonts w:ascii="Arial" w:hAnsi="Arial" w:cs="Arial"/>
          <w:noProof/>
          <w:color w:val="000000" w:themeColor="text1"/>
          <w:lang w:val="en-US"/>
        </w:rPr>
        <w:t>(1)</w:t>
      </w:r>
      <w:r w:rsidRPr="0065386B">
        <w:rPr>
          <w:rFonts w:ascii="Arial" w:hAnsi="Arial" w:cs="Arial"/>
          <w:color w:val="000000" w:themeColor="text1"/>
          <w:lang w:val="en-US"/>
        </w:rPr>
        <w:fldChar w:fldCharType="end"/>
      </w:r>
      <w:r w:rsidRPr="0065386B">
        <w:rPr>
          <w:rFonts w:ascii="Arial" w:hAnsi="Arial" w:cs="Arial"/>
          <w:color w:val="000000" w:themeColor="text1"/>
          <w:lang w:val="en-US"/>
        </w:rPr>
        <w:t>.</w:t>
      </w:r>
    </w:p>
    <w:p w14:paraId="3E963A38" w14:textId="77777777" w:rsidR="002123AF" w:rsidRPr="0065386B" w:rsidRDefault="002123AF" w:rsidP="002123AF">
      <w:pPr>
        <w:jc w:val="both"/>
        <w:rPr>
          <w:rFonts w:ascii="Arial" w:hAnsi="Arial" w:cs="Arial"/>
          <w:color w:val="000000" w:themeColor="text1"/>
          <w:lang w:val="en-US"/>
        </w:rPr>
      </w:pPr>
    </w:p>
    <w:p w14:paraId="244457AD" w14:textId="473020C0"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Determination of Osmolarity</w:t>
      </w:r>
    </w:p>
    <w:p w14:paraId="6CE45FD0" w14:textId="1A36F114" w:rsidR="002123AF" w:rsidRPr="0065386B" w:rsidRDefault="002123AF" w:rsidP="002123AF">
      <w:pPr>
        <w:jc w:val="both"/>
        <w:rPr>
          <w:rFonts w:ascii="Arial" w:hAnsi="Arial" w:cs="Arial"/>
          <w:color w:val="000000" w:themeColor="text1"/>
          <w:lang w:val="en-US"/>
        </w:rPr>
      </w:pPr>
      <w:r w:rsidRPr="0065386B">
        <w:rPr>
          <w:rFonts w:ascii="Arial" w:hAnsi="Arial" w:cs="Arial"/>
          <w:color w:val="000000" w:themeColor="text1"/>
          <w:lang w:val="en-US"/>
        </w:rPr>
        <w:t xml:space="preserve">Tear osmolarity was measured using the Tear Lab Osmolarity System. The tear collection procedure followed the user manual instructions. </w:t>
      </w:r>
      <w:r w:rsidRPr="0065386B">
        <w:rPr>
          <w:rFonts w:ascii="Arial" w:hAnsi="Arial" w:cs="Arial"/>
          <w:color w:val="000000" w:themeColor="text1"/>
          <w:lang w:val="en-US"/>
        </w:rPr>
        <w:fldChar w:fldCharType="begin"/>
      </w:r>
      <w:r w:rsidR="00132E7B" w:rsidRPr="0065386B">
        <w:rPr>
          <w:rFonts w:ascii="Arial" w:hAnsi="Arial" w:cs="Arial"/>
          <w:color w:val="000000" w:themeColor="text1"/>
          <w:lang w:val="en-US"/>
        </w:rPr>
        <w:instrText xml:space="preserve"> ADDIN ZOTERO_ITEM CSL_CITATION {"citationID":"gftYVbTb","properties":{"formattedCitation":"(3)","plainCitation":"(3)","noteIndex":0},"citationItems":[{"id":22457,"uris":["http://zotero.org/groups/5173662/items/SEWGV8NL"],"itemData":{"id":22457,"type":"post-weblog","title":"TearLab Osmolarity System User Manual","URL":"https://trukera.com/wp-content/uploads/2022/08/TearLab_Osmolarity_System_User_Manual_-_English.pdf","author":[{"family":"TearLab","given":""}],"issued":{"date-parts":[["2012"]]}}}],"schema":"https://github.com/citation-style-language/schema/raw/master/csl-citation.json"} </w:instrText>
      </w:r>
      <w:r w:rsidRPr="0065386B">
        <w:rPr>
          <w:rFonts w:ascii="Arial" w:hAnsi="Arial" w:cs="Arial"/>
          <w:color w:val="000000" w:themeColor="text1"/>
          <w:lang w:val="en-US"/>
        </w:rPr>
        <w:fldChar w:fldCharType="separate"/>
      </w:r>
      <w:r w:rsidR="00132E7B" w:rsidRPr="0065386B">
        <w:rPr>
          <w:rFonts w:ascii="Arial" w:hAnsi="Arial" w:cs="Arial"/>
          <w:noProof/>
          <w:color w:val="000000" w:themeColor="text1"/>
          <w:lang w:val="en-US"/>
        </w:rPr>
        <w:t>(3)</w:t>
      </w:r>
      <w:r w:rsidRPr="0065386B">
        <w:rPr>
          <w:rFonts w:ascii="Arial" w:hAnsi="Arial" w:cs="Arial"/>
          <w:color w:val="000000" w:themeColor="text1"/>
          <w:lang w:val="en-US"/>
        </w:rPr>
        <w:fldChar w:fldCharType="end"/>
      </w:r>
      <w:r w:rsidRPr="0065386B">
        <w:rPr>
          <w:rFonts w:ascii="Arial" w:hAnsi="Arial" w:cs="Arial"/>
          <w:color w:val="000000" w:themeColor="text1"/>
          <w:lang w:val="en-US"/>
        </w:rPr>
        <w:t xml:space="preserve"> The patient was seated with their head tilted upwards and eyes looking up. The tip of the osmometer was positioned just above the lower lid in the lateral canthal area until it touched the thin line of the tear film. A beeping sound and the disappearance of the green light confirmed successful tear collection. The osmometer was then placed into the reader within 5–10 seconds, the test card code was selected, the OK button was pressed, and the test result was obtained </w:t>
      </w:r>
      <w:r w:rsidRPr="0065386B">
        <w:rPr>
          <w:rFonts w:ascii="Arial" w:hAnsi="Arial" w:cs="Arial"/>
          <w:color w:val="000000" w:themeColor="text1"/>
          <w:lang w:val="en-US"/>
        </w:rPr>
        <w:fldChar w:fldCharType="begin"/>
      </w:r>
      <w:r w:rsidR="00132E7B" w:rsidRPr="0065386B">
        <w:rPr>
          <w:rFonts w:ascii="Arial" w:hAnsi="Arial" w:cs="Arial"/>
          <w:color w:val="000000" w:themeColor="text1"/>
          <w:lang w:val="en-US"/>
        </w:rPr>
        <w:instrText xml:space="preserve"> ADDIN ZOTERO_ITEM CSL_CITATION {"citationID":"VTYy5arw","properties":{"formattedCitation":"(3)","plainCitation":"(3)","noteIndex":0},"citationItems":[{"id":22457,"uris":["http://zotero.org/groups/5173662/items/SEWGV8NL"],"itemData":{"id":22457,"type":"post-weblog","title":"TearLab Osmolarity System User Manual","URL":"https://trukera.com/wp-content/uploads/2022/08/TearLab_Osmolarity_System_User_Manual_-_English.pdf","author":[{"family":"TearLab","given":""}],"issued":{"date-parts":[["2012"]]}}}],"schema":"https://github.com/citation-style-language/schema/raw/master/csl-citation.json"} </w:instrText>
      </w:r>
      <w:r w:rsidRPr="0065386B">
        <w:rPr>
          <w:rFonts w:ascii="Arial" w:hAnsi="Arial" w:cs="Arial"/>
          <w:color w:val="000000" w:themeColor="text1"/>
          <w:lang w:val="en-US"/>
        </w:rPr>
        <w:fldChar w:fldCharType="separate"/>
      </w:r>
      <w:r w:rsidR="00132E7B" w:rsidRPr="0065386B">
        <w:rPr>
          <w:rFonts w:ascii="Arial" w:hAnsi="Arial" w:cs="Arial"/>
          <w:noProof/>
          <w:color w:val="000000" w:themeColor="text1"/>
          <w:lang w:val="en-US"/>
        </w:rPr>
        <w:t>(3)</w:t>
      </w:r>
      <w:r w:rsidRPr="0065386B">
        <w:rPr>
          <w:rFonts w:ascii="Arial" w:hAnsi="Arial" w:cs="Arial"/>
          <w:color w:val="000000" w:themeColor="text1"/>
          <w:lang w:val="en-US"/>
        </w:rPr>
        <w:fldChar w:fldCharType="end"/>
      </w:r>
      <w:r w:rsidRPr="0065386B">
        <w:rPr>
          <w:rFonts w:ascii="Arial" w:hAnsi="Arial" w:cs="Arial"/>
          <w:color w:val="000000" w:themeColor="text1"/>
          <w:lang w:val="en-US"/>
        </w:rPr>
        <w:t>.</w:t>
      </w:r>
      <w:r w:rsidR="00CA7043" w:rsidRPr="0065386B">
        <w:rPr>
          <w:rFonts w:ascii="Arial" w:hAnsi="Arial" w:cs="Arial"/>
          <w:color w:val="000000" w:themeColor="text1"/>
          <w:lang w:val="en-US"/>
        </w:rPr>
        <w:t xml:space="preserve">  </w:t>
      </w:r>
      <w:r w:rsidR="00CA7043" w:rsidRPr="00F712D8">
        <w:rPr>
          <w:rFonts w:ascii="Arial" w:hAnsi="Arial" w:cs="Arial"/>
          <w:color w:val="000000" w:themeColor="text1"/>
          <w:lang w:val="en-US"/>
        </w:rPr>
        <w:t xml:space="preserve">An osmolarity &gt;308 mOsm/L in either eye or an interocular difference &gt;8 mOsm/L was considered abnormal </w:t>
      </w:r>
      <w:r w:rsidR="00132E7B" w:rsidRPr="00F712D8">
        <w:rPr>
          <w:rFonts w:ascii="Arial" w:hAnsi="Arial" w:cs="Arial"/>
          <w:color w:val="000000" w:themeColor="text1"/>
          <w:lang w:val="en-US"/>
        </w:rPr>
        <w:fldChar w:fldCharType="begin"/>
      </w:r>
      <w:r w:rsidR="007A0EEA" w:rsidRPr="00F712D8">
        <w:rPr>
          <w:rFonts w:ascii="Arial" w:hAnsi="Arial" w:cs="Arial"/>
          <w:color w:val="000000" w:themeColor="text1"/>
          <w:lang w:val="en-US"/>
        </w:rPr>
        <w:instrText xml:space="preserve"> ADDIN ZOTERO_ITEM CSL_CITATION {"citationID":"PHmNH3Nt","properties":{"formattedCitation":"(2)","plainCitation":"(2)","noteIndex":0},"citationItems":[{"id":20792,"uris":["http://zotero.org/groups/5506244/items/6FGTTXTM"],"itemData":{"id":20792,"type":"article-journal","container-title":"The Ocular Surface","DOI":"10.1016/j.jtos.2017.05.001","ISSN":"15420124","issue":"3","journalAbbreviation":"The Ocular Surface","language":"en","page":"539-574","source":"DOI.org (Crossref)","title":"TFOS DEWS II Diagnostic Methodology report","volume":"15","author":[{"family":"Wolffsohn","given":"James S."},{"family":"Arita","given":"Reiko"},{"family":"Chalmers","given":"Robin"},{"family":"Djalilian","given":"Ali"},{"family":"Dogru","given":"Murat"},{"family":"Dumbleton","given":"Kathy"},{"family":"Gupta","given":"Preeya K."},{"family":"Karpecki","given":"Paul"},{"family":"Lazreg","given":"Sihem"},{"family":"Pult","given":"Heiko"},{"family":"Sullivan","given":"Benjamin D."},{"family":"Tomlinson","given":"Alan"},{"family":"Tong","given":"Louis"},{"family":"Villani","given":"Edoardo"},{"family":"Yoon","given":"Kyung Chul"},{"family":"Jones","given":"Lyndon"},{"family":"Craig","given":"Jennifer P."}],"issued":{"date-parts":[["2017"]]}}}],"schema":"https://github.com/citation-style-language/schema/raw/master/csl-citation.json"} </w:instrText>
      </w:r>
      <w:r w:rsidR="00132E7B" w:rsidRPr="00F712D8">
        <w:rPr>
          <w:rFonts w:ascii="Arial" w:hAnsi="Arial" w:cs="Arial"/>
          <w:color w:val="000000" w:themeColor="text1"/>
          <w:lang w:val="en-US"/>
        </w:rPr>
        <w:fldChar w:fldCharType="separate"/>
      </w:r>
      <w:r w:rsidR="00132E7B" w:rsidRPr="00F712D8">
        <w:rPr>
          <w:rFonts w:ascii="Arial" w:hAnsi="Arial" w:cs="Arial"/>
          <w:noProof/>
          <w:color w:val="000000" w:themeColor="text1"/>
          <w:lang w:val="en-US"/>
        </w:rPr>
        <w:t>(2)</w:t>
      </w:r>
      <w:r w:rsidR="00132E7B" w:rsidRPr="00F712D8">
        <w:rPr>
          <w:rFonts w:ascii="Arial" w:hAnsi="Arial" w:cs="Arial"/>
          <w:color w:val="000000" w:themeColor="text1"/>
          <w:lang w:val="en-US"/>
        </w:rPr>
        <w:fldChar w:fldCharType="end"/>
      </w:r>
      <w:r w:rsidR="00132E7B" w:rsidRPr="00F712D8">
        <w:rPr>
          <w:rFonts w:ascii="Arial" w:hAnsi="Arial" w:cs="Arial"/>
          <w:color w:val="000000" w:themeColor="text1"/>
          <w:lang w:val="en-US"/>
        </w:rPr>
        <w:t>.</w:t>
      </w:r>
    </w:p>
    <w:p w14:paraId="103C91D9" w14:textId="77777777" w:rsidR="002123AF" w:rsidRPr="0065386B" w:rsidRDefault="002123AF" w:rsidP="002123AF">
      <w:pPr>
        <w:jc w:val="both"/>
        <w:rPr>
          <w:rFonts w:ascii="Arial" w:hAnsi="Arial" w:cs="Arial"/>
          <w:color w:val="000000" w:themeColor="text1"/>
          <w:lang w:val="en-US"/>
        </w:rPr>
      </w:pPr>
    </w:p>
    <w:p w14:paraId="7EB3D8DE" w14:textId="43A1EF0F"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Determination of ocular surface staining.</w:t>
      </w:r>
    </w:p>
    <w:p w14:paraId="0DDB4560" w14:textId="079C0793" w:rsidR="00540128" w:rsidRDefault="0062668A" w:rsidP="002123AF">
      <w:pPr>
        <w:jc w:val="both"/>
        <w:rPr>
          <w:rFonts w:ascii="Arial" w:hAnsi="Arial" w:cs="Arial"/>
          <w:color w:val="000000" w:themeColor="text1"/>
          <w:lang w:val="en-US"/>
        </w:rPr>
      </w:pPr>
      <w:r w:rsidRPr="0065386B">
        <w:rPr>
          <w:rFonts w:ascii="Arial" w:hAnsi="Arial" w:cs="Arial"/>
          <w:color w:val="000000" w:themeColor="text1"/>
          <w:lang w:val="en-US"/>
        </w:rPr>
        <w:t xml:space="preserve">For fluorescein staining, a picture was taken two minutes after instilling a single drop of 0.25% fluorescein sodium in each eye, with a cobalt blue filter in the slit lamp. For </w:t>
      </w:r>
      <w:proofErr w:type="spellStart"/>
      <w:r w:rsidRPr="0065386B">
        <w:rPr>
          <w:rFonts w:ascii="Arial" w:hAnsi="Arial" w:cs="Arial"/>
          <w:color w:val="000000" w:themeColor="text1"/>
          <w:lang w:val="en-US"/>
        </w:rPr>
        <w:t>lissamine</w:t>
      </w:r>
      <w:proofErr w:type="spellEnd"/>
      <w:r w:rsidRPr="0065386B">
        <w:rPr>
          <w:rFonts w:ascii="Arial" w:hAnsi="Arial" w:cs="Arial"/>
          <w:color w:val="000000" w:themeColor="text1"/>
          <w:lang w:val="en-US"/>
        </w:rPr>
        <w:t xml:space="preserve"> green staining, a single drop of 1% </w:t>
      </w:r>
      <w:proofErr w:type="spellStart"/>
      <w:r w:rsidRPr="0065386B">
        <w:rPr>
          <w:rFonts w:ascii="Arial" w:hAnsi="Arial" w:cs="Arial"/>
          <w:color w:val="000000" w:themeColor="text1"/>
          <w:lang w:val="en-US"/>
        </w:rPr>
        <w:t>lissamine</w:t>
      </w:r>
      <w:proofErr w:type="spellEnd"/>
      <w:r w:rsidRPr="0065386B">
        <w:rPr>
          <w:rFonts w:ascii="Arial" w:hAnsi="Arial" w:cs="Arial"/>
          <w:color w:val="000000" w:themeColor="text1"/>
          <w:lang w:val="en-US"/>
        </w:rPr>
        <w:t xml:space="preserve"> green solution was applied to each eye, and the subjects were instructed to blink gently. Two minutes after instillation, a picture was taken and analyzed using a red-free filter in the slit lamp</w:t>
      </w:r>
      <w:r w:rsidR="00132E7B" w:rsidRPr="0065386B">
        <w:rPr>
          <w:rFonts w:ascii="Arial" w:hAnsi="Arial" w:cs="Arial"/>
          <w:color w:val="000000" w:themeColor="text1"/>
          <w:lang w:val="en-US"/>
        </w:rPr>
        <w:t xml:space="preserve"> </w:t>
      </w:r>
      <w:r w:rsidR="00132E7B" w:rsidRPr="0065386B">
        <w:rPr>
          <w:rFonts w:ascii="Arial" w:hAnsi="Arial" w:cs="Arial"/>
          <w:color w:val="000000" w:themeColor="text1"/>
          <w:lang w:val="en-US"/>
        </w:rPr>
        <w:fldChar w:fldCharType="begin"/>
      </w:r>
      <w:r w:rsidR="007A0EEA" w:rsidRPr="0065386B">
        <w:rPr>
          <w:rFonts w:ascii="Arial" w:hAnsi="Arial" w:cs="Arial"/>
          <w:color w:val="000000" w:themeColor="text1"/>
          <w:lang w:val="en-US"/>
        </w:rPr>
        <w:instrText xml:space="preserve"> ADDIN ZOTERO_ITEM CSL_CITATION {"citationID":"LUgyfmuP","properties":{"formattedCitation":"(1)","plainCitation":"(1)","noteIndex":0},"citationItems":[{"id":22456,"uris":["http://zotero.org/groups/5173662/items/68AGJRQM"],"itemData":{"id":22456,"type":"post-weblog","title":"Dry Eye Guide: A Guide to Comprehensive Dry Eye Screening with the OCULUS Keratograph 5M","URL":"https://d3ciwvs59ifrt8.cloudfront.net/7c82a155-a2d2-4de8-a159-f406905e28ca/fa6699ea-8ed7-4c98-ac39-b39186a7c94e.pdf","author":[{"family":"Kunert","given":"Kathleen"},{"family":"Sickenberger","given":"Wolfgang"}],"issued":{"date-parts":[["2017"]]}}}],"schema":"https://github.com/citation-style-language/schema/raw/master/csl-citation.json"} </w:instrText>
      </w:r>
      <w:r w:rsidR="00132E7B" w:rsidRPr="0065386B">
        <w:rPr>
          <w:rFonts w:ascii="Arial" w:hAnsi="Arial" w:cs="Arial"/>
          <w:color w:val="000000" w:themeColor="text1"/>
          <w:lang w:val="en-US"/>
        </w:rPr>
        <w:fldChar w:fldCharType="separate"/>
      </w:r>
      <w:r w:rsidR="00132E7B" w:rsidRPr="0065386B">
        <w:rPr>
          <w:rFonts w:ascii="Arial" w:hAnsi="Arial" w:cs="Arial"/>
          <w:noProof/>
          <w:color w:val="000000" w:themeColor="text1"/>
          <w:lang w:val="en-US"/>
        </w:rPr>
        <w:t>(1)</w:t>
      </w:r>
      <w:r w:rsidR="00132E7B" w:rsidRPr="0065386B">
        <w:rPr>
          <w:rFonts w:ascii="Arial" w:hAnsi="Arial" w:cs="Arial"/>
          <w:color w:val="000000" w:themeColor="text1"/>
          <w:lang w:val="en-US"/>
        </w:rPr>
        <w:fldChar w:fldCharType="end"/>
      </w:r>
      <w:r w:rsidR="00132E7B" w:rsidRPr="0065386B">
        <w:rPr>
          <w:rFonts w:ascii="Arial" w:hAnsi="Arial" w:cs="Arial"/>
          <w:color w:val="000000" w:themeColor="text1"/>
          <w:lang w:val="en-US"/>
        </w:rPr>
        <w:t>.</w:t>
      </w:r>
      <w:r w:rsidR="00540128">
        <w:rPr>
          <w:rFonts w:ascii="Arial" w:hAnsi="Arial" w:cs="Arial"/>
          <w:color w:val="000000" w:themeColor="text1"/>
          <w:lang w:val="en-US"/>
        </w:rPr>
        <w:t xml:space="preserve"> </w:t>
      </w:r>
      <w:r w:rsidR="00540128" w:rsidRPr="00540128">
        <w:rPr>
          <w:rFonts w:ascii="Arial" w:hAnsi="Arial" w:cs="Arial"/>
          <w:color w:val="000000" w:themeColor="text1"/>
          <w:lang w:val="en-US"/>
        </w:rPr>
        <w:t xml:space="preserve">Staining severity was graded from 0 to 5 based on </w:t>
      </w:r>
      <w:r w:rsidR="00540128">
        <w:rPr>
          <w:rFonts w:ascii="Arial" w:hAnsi="Arial" w:cs="Arial"/>
          <w:color w:val="000000" w:themeColor="text1"/>
          <w:lang w:val="en-US"/>
        </w:rPr>
        <w:t xml:space="preserve">a </w:t>
      </w:r>
      <w:r w:rsidR="00540128" w:rsidRPr="00540128">
        <w:rPr>
          <w:rFonts w:ascii="Arial" w:hAnsi="Arial" w:cs="Arial"/>
          <w:color w:val="000000" w:themeColor="text1"/>
          <w:lang w:val="en-US"/>
        </w:rPr>
        <w:t>comparison of the captured photographs with the standardized reference images published by Bron et al.</w:t>
      </w:r>
      <w:r w:rsidR="00A079FA">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D5DMEXSi","properties":{"formattedCitation":"(4)","plainCitation":"(4)","noteIndex":0},"citationItems":[{"id":23962,"uris":["http://zotero.org/groups/5728082/items/WBBPA7HK"],"itemData":{"id":23962,"type":"article-journal","container-title":"Cornea","DOI":"10.1097/00003226-200310000-00008","ISSN":"0277-3740","issue":"7","journalAbbreviation":"Cornea","language":"en","page":"640-650","source":"DOI.org (Crossref)","title":"Grading Of Corneal and Conjunctival Staining in the Context of Other Dry Eye Tests:","title-short":"Grading Of Corneal and Conjunctival Staining in the Context of Other Dry Eye Tests","volume":"22","author":[{"family":"Bron","given":"Anthony J."},{"family":"Evans","given":"Victoria E."},{"family":"Smith","given":"Janine A."}],"issued":{"date-parts":[["2003"]]}}}],"schema":"https://github.com/citation-style-language/schema/raw/master/csl-citation.json"} </w:instrText>
      </w:r>
      <w:r w:rsidR="00A079FA">
        <w:rPr>
          <w:rFonts w:ascii="Arial" w:hAnsi="Arial" w:cs="Arial"/>
          <w:color w:val="000000" w:themeColor="text1"/>
          <w:lang w:val="en-US"/>
        </w:rPr>
        <w:fldChar w:fldCharType="separate"/>
      </w:r>
      <w:r w:rsidR="00A079FA">
        <w:rPr>
          <w:rFonts w:ascii="Arial" w:hAnsi="Arial" w:cs="Arial"/>
          <w:noProof/>
          <w:color w:val="000000" w:themeColor="text1"/>
          <w:lang w:val="en-US"/>
        </w:rPr>
        <w:t>(4)</w:t>
      </w:r>
      <w:r w:rsidR="00A079FA">
        <w:rPr>
          <w:rFonts w:ascii="Arial" w:hAnsi="Arial" w:cs="Arial"/>
          <w:color w:val="000000" w:themeColor="text1"/>
          <w:lang w:val="en-US"/>
        </w:rPr>
        <w:fldChar w:fldCharType="end"/>
      </w:r>
      <w:r w:rsidR="00540128" w:rsidRPr="00540128">
        <w:rPr>
          <w:rFonts w:ascii="Arial" w:hAnsi="Arial" w:cs="Arial"/>
          <w:color w:val="000000" w:themeColor="text1"/>
          <w:lang w:val="en-US"/>
        </w:rPr>
        <w:t xml:space="preserve">, as </w:t>
      </w:r>
      <w:r w:rsidR="00540128">
        <w:rPr>
          <w:rFonts w:ascii="Arial" w:hAnsi="Arial" w:cs="Arial"/>
          <w:color w:val="000000" w:themeColor="text1"/>
          <w:lang w:val="en-US"/>
        </w:rPr>
        <w:t xml:space="preserve">one of the grading systems recommended by </w:t>
      </w:r>
      <w:r w:rsidR="00540128" w:rsidRPr="00540128">
        <w:rPr>
          <w:rFonts w:ascii="Arial" w:hAnsi="Arial" w:cs="Arial"/>
          <w:color w:val="000000" w:themeColor="text1"/>
          <w:lang w:val="en-US"/>
        </w:rPr>
        <w:t xml:space="preserve">Dry Eye Workshop-II </w:t>
      </w:r>
      <w:r w:rsidR="00A079FA">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{"citationID":"Q5raA2mO","properties":{"formattedCitation":"(2)","plainCitation":"(2)","noteIndex":0},"citationItems":[{"id":20792,"uris":["http://zotero.org/groups/5506244/items/6FGTTXTM"],"itemData":{"id":20792,"type":"article-journal","container-title":"The Ocular Surface","DOI":"10.1016/j.jtos.2017.05.001","ISSN":"15420124","issue":"3","journalAbbreviation":"The Ocular Surface","language":"en","page":"539-574","source":"DOI.org (Crossref)","title":"TFOS DEWS II Diagnostic Methodology report","volume":"15","author":[{"family":"Wolffsohn","given":"James S."},{"family":"Arita","given":"Reiko"},{"family":"Chalmers","given":"Robin"},{"family":"Djalilian","given":"Ali"},{"family":"Dogru","given":"Murat"},{"family":"Dumbleton","given":"Kathy"},{"family":"Gupta","given":"Preeya K."},{"family":"Karpecki","given":"Paul"},{"family":"Lazreg","given":"Sihem"},{"family":"Pult","given":"Heiko"},{"family":"Sullivan","given":"Benjamin D."},{"family":"Tomlinson","given":"Alan"},{"family":"Tong","given":"Louis"},{"family":"Villani","given":"Edoardo"},{"family":"Yoon","given":"Kyung Chul"},{"family":"Jones","given":"Lyndon"},{"family":"Craig","given":"Jennifer P."}],"issued":{"date-parts":[["2017"]]}}}],"schema":"https://github.com/citation-style-language/schema/raw/master/csl-citation.json"} </w:instrText>
      </w:r>
      <w:r w:rsidR="00A079FA">
        <w:rPr>
          <w:rFonts w:ascii="Arial" w:hAnsi="Arial" w:cs="Arial"/>
          <w:color w:val="000000" w:themeColor="text1"/>
          <w:lang w:val="en-US"/>
        </w:rPr>
        <w:fldChar w:fldCharType="separate"/>
      </w:r>
      <w:r w:rsidR="00A079FA">
        <w:rPr>
          <w:rFonts w:ascii="Arial" w:hAnsi="Arial" w:cs="Arial"/>
          <w:noProof/>
          <w:color w:val="000000" w:themeColor="text1"/>
          <w:lang w:val="en-US"/>
        </w:rPr>
        <w:t>(2)</w:t>
      </w:r>
      <w:r w:rsidR="00A079FA">
        <w:rPr>
          <w:rFonts w:ascii="Arial" w:hAnsi="Arial" w:cs="Arial"/>
          <w:color w:val="000000" w:themeColor="text1"/>
          <w:lang w:val="en-US"/>
        </w:rPr>
        <w:fldChar w:fldCharType="end"/>
      </w:r>
      <w:r w:rsidR="00A079FA">
        <w:rPr>
          <w:rFonts w:ascii="Arial" w:hAnsi="Arial" w:cs="Arial"/>
          <w:color w:val="000000" w:themeColor="text1"/>
          <w:lang w:val="en-US"/>
        </w:rPr>
        <w:t xml:space="preserve"> </w:t>
      </w:r>
      <w:r w:rsidR="00540128">
        <w:rPr>
          <w:rFonts w:ascii="Arial" w:hAnsi="Arial" w:cs="Arial"/>
          <w:color w:val="000000" w:themeColor="text1"/>
          <w:lang w:val="en-US"/>
        </w:rPr>
        <w:t xml:space="preserve">and </w:t>
      </w:r>
      <w:r w:rsidR="00540128" w:rsidRPr="00540128">
        <w:rPr>
          <w:rFonts w:ascii="Arial" w:hAnsi="Arial" w:cs="Arial"/>
          <w:color w:val="000000" w:themeColor="text1"/>
          <w:lang w:val="en-US"/>
        </w:rPr>
        <w:t>the American Academy of Ophthalmology</w:t>
      </w:r>
      <w:r w:rsidR="00A079FA">
        <w:rPr>
          <w:rFonts w:ascii="Arial" w:hAnsi="Arial" w:cs="Arial"/>
          <w:color w:val="000000" w:themeColor="text1"/>
          <w:lang w:val="en-US"/>
        </w:rPr>
        <w:t xml:space="preserve"> </w:t>
      </w:r>
      <w:r w:rsidR="00A079FA">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{"citationID":"fDAGwCUD","properties":{"formattedCitation":"(5)","plainCitation":"(5)","noteIndex":0},"citationItems":[{"id":27957,"uris":["http://zotero.org/groups/5728082/items/CJGYAIJ3"],"itemData":{"id":27957,"type":"post-weblog","title":"Oxford Grading System","URL":"https://www.aao.org/education/image/oxford-grading-system","author":[{"family":"American Academy of Ophthalmology","given":""}]}}],"schema":"https://github.com/citation-style-language/schema/raw/master/csl-citation.json"} </w:instrText>
      </w:r>
      <w:r w:rsidR="00A079FA">
        <w:rPr>
          <w:rFonts w:ascii="Arial" w:hAnsi="Arial" w:cs="Arial"/>
          <w:color w:val="000000" w:themeColor="text1"/>
          <w:lang w:val="en-US"/>
        </w:rPr>
        <w:fldChar w:fldCharType="separate"/>
      </w:r>
      <w:r w:rsidR="00A079FA">
        <w:rPr>
          <w:rFonts w:ascii="Arial" w:hAnsi="Arial" w:cs="Arial"/>
          <w:noProof/>
          <w:color w:val="000000" w:themeColor="text1"/>
          <w:lang w:val="en-US"/>
        </w:rPr>
        <w:t>(5)</w:t>
      </w:r>
      <w:r w:rsidR="00A079FA">
        <w:rPr>
          <w:rFonts w:ascii="Arial" w:hAnsi="Arial" w:cs="Arial"/>
          <w:color w:val="000000" w:themeColor="text1"/>
          <w:lang w:val="en-US"/>
        </w:rPr>
        <w:fldChar w:fldCharType="end"/>
      </w:r>
      <w:r w:rsidR="00A079FA">
        <w:rPr>
          <w:rFonts w:ascii="Arial" w:hAnsi="Arial" w:cs="Arial"/>
          <w:color w:val="000000" w:themeColor="text1"/>
          <w:lang w:val="en-US"/>
        </w:rPr>
        <w:t>.</w:t>
      </w:r>
    </w:p>
    <w:p w14:paraId="78C7AC38" w14:textId="77777777" w:rsidR="00540128" w:rsidRDefault="00540128" w:rsidP="002123AF">
      <w:pPr>
        <w:jc w:val="both"/>
        <w:rPr>
          <w:rFonts w:ascii="Arial" w:hAnsi="Arial" w:cs="Arial"/>
          <w:color w:val="000000" w:themeColor="text1"/>
          <w:lang w:val="en-US"/>
        </w:rPr>
      </w:pPr>
    </w:p>
    <w:p w14:paraId="6B776C7B" w14:textId="766FE5F0"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Determination of ocular redness</w:t>
      </w:r>
    </w:p>
    <w:p w14:paraId="5F89A5F0" w14:textId="5F5DF0EB" w:rsidR="002123AF" w:rsidRPr="0065386B" w:rsidRDefault="002123AF" w:rsidP="002123AF">
      <w:pPr>
        <w:jc w:val="both"/>
        <w:rPr>
          <w:rFonts w:ascii="Arial" w:hAnsi="Arial" w:cs="Arial"/>
          <w:color w:val="000000" w:themeColor="text1"/>
          <w:lang w:val="en-US"/>
        </w:rPr>
      </w:pPr>
      <w:r w:rsidRPr="0065386B">
        <w:rPr>
          <w:rFonts w:ascii="Arial" w:eastAsia="Times New Roman" w:hAnsi="Arial" w:cs="Arial"/>
          <w:color w:val="000000" w:themeColor="text1"/>
          <w:kern w:val="0"/>
          <w:lang w:val="en-US" w:eastAsia="es-MX"/>
          <w14:ligatures w14:val="none"/>
        </w:rPr>
        <w:t xml:space="preserve">Conjunctival redness was assessed using a photograph taken with the Topcon DC3 camera. The image of the exposed bulbar conjunctiva was then scanned and analyzed by the Oculus </w:t>
      </w:r>
      <w:proofErr w:type="spellStart"/>
      <w:r w:rsidRPr="0065386B">
        <w:rPr>
          <w:rFonts w:ascii="Arial" w:eastAsia="Times New Roman" w:hAnsi="Arial" w:cs="Arial"/>
          <w:color w:val="000000" w:themeColor="text1"/>
          <w:kern w:val="0"/>
          <w:lang w:val="en-US" w:eastAsia="es-MX"/>
          <w14:ligatures w14:val="none"/>
        </w:rPr>
        <w:t>Keratograph</w:t>
      </w:r>
      <w:proofErr w:type="spellEnd"/>
      <w:r w:rsidRPr="0065386B">
        <w:rPr>
          <w:rFonts w:ascii="Arial" w:eastAsia="Times New Roman" w:hAnsi="Arial" w:cs="Arial"/>
          <w:color w:val="000000" w:themeColor="text1"/>
          <w:kern w:val="0"/>
          <w:lang w:val="en-US" w:eastAsia="es-MX"/>
          <w14:ligatures w14:val="none"/>
        </w:rPr>
        <w:t xml:space="preserve"> 5M, automatically generating a score based on the </w:t>
      </w:r>
      <w:proofErr w:type="spellStart"/>
      <w:r w:rsidRPr="0065386B">
        <w:rPr>
          <w:rFonts w:ascii="Arial" w:eastAsia="Times New Roman" w:hAnsi="Arial" w:cs="Arial"/>
          <w:color w:val="000000" w:themeColor="text1"/>
          <w:kern w:val="0"/>
          <w:lang w:val="en-US" w:eastAsia="es-MX"/>
          <w14:ligatures w14:val="none"/>
        </w:rPr>
        <w:t>Jenvis</w:t>
      </w:r>
      <w:proofErr w:type="spellEnd"/>
      <w:r w:rsidRPr="0065386B">
        <w:rPr>
          <w:rFonts w:ascii="Arial" w:eastAsia="Times New Roman" w:hAnsi="Arial" w:cs="Arial"/>
          <w:color w:val="000000" w:themeColor="text1"/>
          <w:kern w:val="0"/>
          <w:lang w:val="en-US" w:eastAsia="es-MX"/>
          <w14:ligatures w14:val="none"/>
        </w:rPr>
        <w:t xml:space="preserve"> Classification. This classification system evaluates the area percentage ratio between blood vessels and the rest of the scanned bulbar conjunctiva, providing a score on a scale from 0 to 4: </w:t>
      </w:r>
      <w:r w:rsidRPr="00F712D8">
        <w:rPr>
          <w:rFonts w:ascii="Arial" w:eastAsia="Times New Roman" w:hAnsi="Arial" w:cs="Arial"/>
          <w:color w:val="000000" w:themeColor="text1"/>
          <w:kern w:val="0"/>
          <w:lang w:val="en-US" w:eastAsia="es-MX"/>
          <w14:ligatures w14:val="none"/>
        </w:rPr>
        <w:t>normal (0-0.9), mild (1-1.9), moderate (2-</w:t>
      </w:r>
      <w:r w:rsidRPr="00F712D8">
        <w:rPr>
          <w:rFonts w:ascii="Arial" w:eastAsia="Times New Roman" w:hAnsi="Arial" w:cs="Arial"/>
          <w:color w:val="000000" w:themeColor="text1"/>
          <w:kern w:val="0"/>
          <w:lang w:val="en-US" w:eastAsia="es-MX"/>
          <w14:ligatures w14:val="none"/>
        </w:rPr>
        <w:lastRenderedPageBreak/>
        <w:t xml:space="preserve">2.9), and severe (3-4). </w:t>
      </w:r>
      <w:r w:rsidRPr="0065386B">
        <w:rPr>
          <w:rFonts w:ascii="Arial" w:eastAsia="Times New Roman" w:hAnsi="Arial" w:cs="Arial"/>
          <w:color w:val="000000" w:themeColor="text1"/>
          <w:kern w:val="0"/>
          <w:lang w:val="en-US" w:eastAsia="es-MX"/>
          <w14:ligatures w14:val="none"/>
        </w:rPr>
        <w:t xml:space="preserve">The Oculus provides two distinct measurements, one for the nasal region and one for the temporal region </w:t>
      </w:r>
      <w:r w:rsidRPr="0065386B">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{"citationID":"ORg4lApf","properties":{"formattedCitation":"(1,6)","plainCitation":"(1,6)","noteIndex":0},"citationItems":[{"id":22456,"uris":["http://zotero.org/groups/5173662/items/68AGJRQM"],"itemData":{"id":22456,"type":"post-weblog","title":"Dry Eye Guide: A Guide to Comprehensive Dry Eye Screening with the OCULUS Keratograph 5M","URL":"https://d3ciwvs59ifrt8.cloudfront.net/7c82a155-a2d2-4de8-a159-f406905e28ca/fa6699ea-8ed7-4c98-ac39-b39186a7c94e.pdf","author":[{"family":"Kunert","given":"Kathleen"},{"family":"Sickenberger","given":"Wolfgang"}],"issued":{"date-parts":[["2017"]]}}},{"id":22458,"uris":["http://zotero.org/groups/5173662/items/JSINL8QI"],"itemData":{"id":22458,"type":"article-journal","abstract":"Dry eye disease (DED) is a multifactorial disease that represents one of the most common ophthalmologic conditions encountered in everyday clinical practice. Traditional diagnostic tests for DED, such as subjective questionnaires, tear film break-up time and the Schirmer test, are often associated with poor reproducibility and reliability, which make the diagnosis, follow-up, and management of the disease challenging. New advances in imaging technologies enable objective and reproducible measurements of DED parameters, thus making the diagnosis a multimodal imaging-based process. The aim of this review is to summarize all the current and emerging diagnostic tools available for the diagnosis and monitoring of DED, such as non-invasive tear breakup time, thermography, anterior segment optical coherence tomography, meibography, interferometry, in vivo confocal microscopy, and optical quality assessment. Although there is not a gold standard imaging technique, new multi-imaging-integrated devices are precious instruments to help clinicians to better cope with the diagnostic complexity of DED.","container-title":"Applied Sciences","DOI":"10.3390/app112110384","ISSN":"2076-3417","issue":"21","journalAbbreviation":"Appl Sci","language":"en","license":"https://creativecommons.org/licenses/by/4.0/","page":"10384","source":"DOI.org (Crossref)","title":"Advances in the Noninvasive Diagnosis of Dry Eye Disease","volume":"11","author":[{"family":"Di Cello","given":"Luca"},{"family":"Pellegrini","given":"Marco"},{"family":"Vagge","given":"Aldo"},{"family":"Borselli","given":"Massimiliano"},{"family":"Ferro Desideri","given":"Lorenzo"},{"family":"Scorcia","given":"Vincenzo"},{"family":"Traverso","given":"Carlo E."},{"family":"Giannaccare","given":"Giuseppe"}],"issued":{"date-parts":[["2021"]]}}}],"schema":"https://github.com/citation-style-language/schema/raw/master/csl-citation.json"} </w:instrText>
      </w:r>
      <w:r w:rsidRPr="0065386B">
        <w:rPr>
          <w:rFonts w:ascii="Arial" w:hAnsi="Arial" w:cs="Arial"/>
          <w:color w:val="000000" w:themeColor="text1"/>
          <w:lang w:val="en-US"/>
        </w:rPr>
        <w:fldChar w:fldCharType="separate"/>
      </w:r>
      <w:r w:rsidR="00A079FA">
        <w:rPr>
          <w:rFonts w:ascii="Arial" w:hAnsi="Arial" w:cs="Arial"/>
          <w:noProof/>
          <w:color w:val="000000" w:themeColor="text1"/>
          <w:lang w:val="en-US"/>
        </w:rPr>
        <w:t>(1,6)</w:t>
      </w:r>
      <w:r w:rsidRPr="0065386B">
        <w:rPr>
          <w:rFonts w:ascii="Arial" w:hAnsi="Arial" w:cs="Arial"/>
          <w:color w:val="000000" w:themeColor="text1"/>
          <w:lang w:val="en-US"/>
        </w:rPr>
        <w:fldChar w:fldCharType="end"/>
      </w:r>
      <w:r w:rsidRPr="0065386B">
        <w:rPr>
          <w:rFonts w:ascii="Arial" w:hAnsi="Arial" w:cs="Arial"/>
          <w:color w:val="000000" w:themeColor="text1"/>
          <w:lang w:val="en-US"/>
        </w:rPr>
        <w:t>.</w:t>
      </w:r>
    </w:p>
    <w:p w14:paraId="3EAFE0BF" w14:textId="77777777" w:rsidR="002123AF" w:rsidRPr="0065386B" w:rsidRDefault="002123AF" w:rsidP="002123AF">
      <w:pPr>
        <w:jc w:val="both"/>
        <w:rPr>
          <w:rFonts w:ascii="Arial" w:hAnsi="Arial" w:cs="Arial"/>
          <w:color w:val="000000" w:themeColor="text1"/>
          <w:lang w:val="en-US"/>
        </w:rPr>
      </w:pPr>
    </w:p>
    <w:p w14:paraId="0EDE5493" w14:textId="77777777" w:rsidR="002123AF" w:rsidRPr="00F712D8" w:rsidRDefault="002123AF" w:rsidP="00F712D8">
      <w:pPr>
        <w:rPr>
          <w:rFonts w:ascii="Arial" w:hAnsi="Arial" w:cs="Arial"/>
          <w:b/>
          <w:bCs/>
          <w:color w:val="000000" w:themeColor="text1"/>
          <w:lang w:val="en-US"/>
        </w:rPr>
      </w:pPr>
      <w:r w:rsidRPr="00F712D8">
        <w:rPr>
          <w:rFonts w:ascii="Arial" w:hAnsi="Arial" w:cs="Arial"/>
          <w:b/>
          <w:bCs/>
          <w:color w:val="000000" w:themeColor="text1"/>
          <w:lang w:val="en-US"/>
        </w:rPr>
        <w:t xml:space="preserve">Determination of </w:t>
      </w:r>
      <w:proofErr w:type="spellStart"/>
      <w:r w:rsidRPr="00F712D8">
        <w:rPr>
          <w:rFonts w:ascii="Arial" w:hAnsi="Arial" w:cs="Arial"/>
          <w:b/>
          <w:bCs/>
          <w:color w:val="000000" w:themeColor="text1"/>
          <w:lang w:val="en-US"/>
        </w:rPr>
        <w:t>Meibography</w:t>
      </w:r>
      <w:proofErr w:type="spellEnd"/>
    </w:p>
    <w:p w14:paraId="025F4B05" w14:textId="56A85895" w:rsidR="002123AF" w:rsidRPr="00F712D8" w:rsidRDefault="002123AF" w:rsidP="002123AF">
      <w:pPr>
        <w:jc w:val="both"/>
        <w:rPr>
          <w:rFonts w:ascii="Arial" w:hAnsi="Arial" w:cs="Arial"/>
          <w:color w:val="000000" w:themeColor="text1"/>
          <w:lang w:val="en-US"/>
        </w:rPr>
      </w:pPr>
      <w:proofErr w:type="spellStart"/>
      <w:r w:rsidRPr="0065386B">
        <w:rPr>
          <w:rFonts w:ascii="Arial" w:hAnsi="Arial" w:cs="Arial"/>
          <w:color w:val="000000" w:themeColor="text1"/>
          <w:lang w:val="en-US"/>
        </w:rPr>
        <w:t>Meibography</w:t>
      </w:r>
      <w:proofErr w:type="spellEnd"/>
      <w:r w:rsidRPr="0065386B">
        <w:rPr>
          <w:rFonts w:ascii="Arial" w:hAnsi="Arial" w:cs="Arial"/>
          <w:color w:val="000000" w:themeColor="text1"/>
          <w:lang w:val="en-US"/>
        </w:rPr>
        <w:t xml:space="preserve"> was performed using the Oculus </w:t>
      </w:r>
      <w:proofErr w:type="spellStart"/>
      <w:r w:rsidRPr="0065386B">
        <w:rPr>
          <w:rFonts w:ascii="Arial" w:hAnsi="Arial" w:cs="Arial"/>
          <w:color w:val="000000" w:themeColor="text1"/>
          <w:lang w:val="en-US"/>
        </w:rPr>
        <w:t>Keratograph</w:t>
      </w:r>
      <w:proofErr w:type="spellEnd"/>
      <w:r w:rsidRPr="0065386B">
        <w:rPr>
          <w:rFonts w:ascii="Arial" w:hAnsi="Arial" w:cs="Arial"/>
          <w:color w:val="000000" w:themeColor="text1"/>
          <w:lang w:val="en-US"/>
        </w:rPr>
        <w:t xml:space="preserve"> 5M, based on the criteria proposed by </w:t>
      </w:r>
      <w:proofErr w:type="spellStart"/>
      <w:r w:rsidRPr="0065386B">
        <w:rPr>
          <w:rFonts w:ascii="Arial" w:hAnsi="Arial" w:cs="Arial"/>
          <w:color w:val="000000" w:themeColor="text1"/>
          <w:lang w:val="en-US"/>
        </w:rPr>
        <w:t>Pult</w:t>
      </w:r>
      <w:proofErr w:type="spellEnd"/>
      <w:r w:rsidRPr="0065386B">
        <w:rPr>
          <w:rFonts w:ascii="Arial" w:hAnsi="Arial" w:cs="Arial"/>
          <w:color w:val="000000" w:themeColor="text1"/>
          <w:lang w:val="en-US"/>
        </w:rPr>
        <w:t xml:space="preserve"> and </w:t>
      </w:r>
      <w:proofErr w:type="spellStart"/>
      <w:r w:rsidRPr="0065386B">
        <w:rPr>
          <w:rFonts w:ascii="Arial" w:hAnsi="Arial" w:cs="Arial"/>
          <w:color w:val="000000" w:themeColor="text1"/>
          <w:lang w:val="en-US"/>
        </w:rPr>
        <w:t>Riede-Pult</w:t>
      </w:r>
      <w:proofErr w:type="spellEnd"/>
      <w:r w:rsidRPr="0065386B">
        <w:rPr>
          <w:rFonts w:ascii="Arial" w:hAnsi="Arial" w:cs="Arial"/>
          <w:color w:val="000000" w:themeColor="text1"/>
          <w:lang w:val="en-US"/>
        </w:rPr>
        <w:t xml:space="preserve"> </w:t>
      </w:r>
      <w:r w:rsidRPr="0065386B">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{"citationID":"cvCbACpm","properties":{"formattedCitation":"(7)","plainCitation":"(7)","noteIndex":0},"citationItems":[{"id":22460,"uris":["http://zotero.org/groups/5173662/items/X2CVZ6TZ"],"itemData":{"id":22460,"type":"article-journal","container-title":"Contact Lens and Anterior Eye","DOI":"10.1016/j.clae.2012.10.074","ISSN":"13670484","issue":"1","journalAbbreviation":"Cont Lens Anterior Eye","language":"en","license":"https://www.elsevier.com/tdm/userlicense/1.0/","page":"22-27","source":"DOI.org (Crossref)","title":"Comparison of subjective grading and objective assessment in meibography","volume":"36","author":[{"family":"Pult","given":"Heiko"},{"family":"Riede-Pult","given":"Britta"}],"issued":{"date-parts":[["2013"]]}}}],"schema":"https://github.com/citation-style-language/schema/raw/master/csl-citation.json"} </w:instrText>
      </w:r>
      <w:r w:rsidRPr="0065386B">
        <w:rPr>
          <w:rFonts w:ascii="Arial" w:hAnsi="Arial" w:cs="Arial"/>
          <w:color w:val="000000" w:themeColor="text1"/>
          <w:lang w:val="en-US"/>
        </w:rPr>
        <w:fldChar w:fldCharType="separate"/>
      </w:r>
      <w:r w:rsidR="00A079FA">
        <w:rPr>
          <w:rFonts w:ascii="Arial" w:hAnsi="Arial" w:cs="Arial"/>
          <w:noProof/>
          <w:color w:val="000000" w:themeColor="text1"/>
          <w:lang w:val="en-US"/>
        </w:rPr>
        <w:t>(7)</w:t>
      </w:r>
      <w:r w:rsidRPr="0065386B">
        <w:rPr>
          <w:rFonts w:ascii="Arial" w:hAnsi="Arial" w:cs="Arial"/>
          <w:color w:val="000000" w:themeColor="text1"/>
          <w:lang w:val="en-US"/>
        </w:rPr>
        <w:fldChar w:fldCharType="end"/>
      </w:r>
      <w:r w:rsidRPr="0065386B">
        <w:rPr>
          <w:rFonts w:ascii="Arial" w:hAnsi="Arial" w:cs="Arial"/>
          <w:color w:val="000000" w:themeColor="text1"/>
          <w:lang w:val="en-US"/>
        </w:rPr>
        <w:t xml:space="preserve">. The evaluation defined the area of Meibomian gland loss (MGL) as the percentage of the area without visible glands in relation to the total visible tarsal area, assigning a score from 0 to 4. Both the upper and lower eyelid Meibomian glands were visualized and graded. </w:t>
      </w:r>
      <w:r w:rsidRPr="00F712D8">
        <w:rPr>
          <w:rFonts w:ascii="Arial" w:hAnsi="Arial" w:cs="Arial"/>
          <w:color w:val="000000" w:themeColor="text1"/>
          <w:lang w:val="en-US"/>
        </w:rPr>
        <w:t xml:space="preserve">A score of 0 represented no atrophy; a score of 1 indicated </w:t>
      </w:r>
      <w:r w:rsidR="00CA7043" w:rsidRPr="00F712D8">
        <w:rPr>
          <w:rFonts w:ascii="Arial" w:hAnsi="Arial" w:cs="Arial"/>
          <w:color w:val="000000" w:themeColor="text1"/>
          <w:u w:val="single"/>
          <w:lang w:val="en-US"/>
        </w:rPr>
        <w:t>&lt;</w:t>
      </w:r>
      <w:r w:rsidRPr="00F712D8">
        <w:rPr>
          <w:rFonts w:ascii="Arial" w:hAnsi="Arial" w:cs="Arial"/>
          <w:color w:val="000000" w:themeColor="text1"/>
          <w:lang w:val="en-US"/>
        </w:rPr>
        <w:t>2</w:t>
      </w:r>
      <w:r w:rsidR="00CA7043" w:rsidRPr="00F712D8">
        <w:rPr>
          <w:rFonts w:ascii="Arial" w:hAnsi="Arial" w:cs="Arial"/>
          <w:color w:val="000000" w:themeColor="text1"/>
          <w:lang w:val="en-US"/>
        </w:rPr>
        <w:t>5</w:t>
      </w:r>
      <w:r w:rsidRPr="00F712D8">
        <w:rPr>
          <w:rFonts w:ascii="Arial" w:hAnsi="Arial" w:cs="Arial"/>
          <w:color w:val="000000" w:themeColor="text1"/>
          <w:lang w:val="en-US"/>
        </w:rPr>
        <w:t>% MG</w:t>
      </w:r>
      <w:r w:rsidR="00CA7043" w:rsidRPr="00F712D8">
        <w:rPr>
          <w:rFonts w:ascii="Arial" w:hAnsi="Arial" w:cs="Arial"/>
          <w:color w:val="000000" w:themeColor="text1"/>
          <w:lang w:val="en-US"/>
        </w:rPr>
        <w:t>L</w:t>
      </w:r>
      <w:r w:rsidRPr="00F712D8">
        <w:rPr>
          <w:rFonts w:ascii="Arial" w:hAnsi="Arial" w:cs="Arial"/>
          <w:color w:val="000000" w:themeColor="text1"/>
          <w:lang w:val="en-US"/>
        </w:rPr>
        <w:t>; a score of 2 indicated 2</w:t>
      </w:r>
      <w:r w:rsidR="00CA7043" w:rsidRPr="00F712D8">
        <w:rPr>
          <w:rFonts w:ascii="Arial" w:hAnsi="Arial" w:cs="Arial"/>
          <w:color w:val="000000" w:themeColor="text1"/>
          <w:lang w:val="en-US"/>
        </w:rPr>
        <w:t>6</w:t>
      </w:r>
      <w:r w:rsidRPr="00F712D8">
        <w:rPr>
          <w:rFonts w:ascii="Arial" w:hAnsi="Arial" w:cs="Arial"/>
          <w:color w:val="000000" w:themeColor="text1"/>
          <w:lang w:val="en-US"/>
        </w:rPr>
        <w:t xml:space="preserve">% to </w:t>
      </w:r>
      <w:r w:rsidR="00CA7043" w:rsidRPr="00F712D8">
        <w:rPr>
          <w:rFonts w:ascii="Arial" w:hAnsi="Arial" w:cs="Arial"/>
          <w:color w:val="000000" w:themeColor="text1"/>
          <w:lang w:val="en-US"/>
        </w:rPr>
        <w:t>50</w:t>
      </w:r>
      <w:r w:rsidRPr="00F712D8">
        <w:rPr>
          <w:rFonts w:ascii="Arial" w:hAnsi="Arial" w:cs="Arial"/>
          <w:color w:val="000000" w:themeColor="text1"/>
          <w:lang w:val="en-US"/>
        </w:rPr>
        <w:t>% MGL; a score of 3 indicated 5</w:t>
      </w:r>
      <w:r w:rsidR="00DE6D61" w:rsidRPr="00F712D8">
        <w:rPr>
          <w:rFonts w:ascii="Arial" w:hAnsi="Arial" w:cs="Arial"/>
          <w:color w:val="000000" w:themeColor="text1"/>
          <w:lang w:val="en-US"/>
        </w:rPr>
        <w:t>1</w:t>
      </w:r>
      <w:r w:rsidRPr="00F712D8">
        <w:rPr>
          <w:rFonts w:ascii="Arial" w:hAnsi="Arial" w:cs="Arial"/>
          <w:color w:val="000000" w:themeColor="text1"/>
          <w:lang w:val="en-US"/>
        </w:rPr>
        <w:t>% to 7</w:t>
      </w:r>
      <w:r w:rsidR="00DE6D61" w:rsidRPr="00F712D8">
        <w:rPr>
          <w:rFonts w:ascii="Arial" w:hAnsi="Arial" w:cs="Arial"/>
          <w:color w:val="000000" w:themeColor="text1"/>
          <w:lang w:val="en-US"/>
        </w:rPr>
        <w:t>5</w:t>
      </w:r>
      <w:r w:rsidRPr="00F712D8">
        <w:rPr>
          <w:rFonts w:ascii="Arial" w:hAnsi="Arial" w:cs="Arial"/>
          <w:color w:val="000000" w:themeColor="text1"/>
          <w:lang w:val="en-US"/>
        </w:rPr>
        <w:t xml:space="preserve">% MGL; and a score of 4 indicated &gt;75% MGL </w:t>
      </w:r>
      <w:r w:rsidRPr="00F712D8">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{"citationID":"rSFcDTP2","properties":{"formattedCitation":"(8)","plainCitation":"(8)","noteIndex":0},"citationItems":[{"id":22463,"uris":["http://zotero.org/groups/5173662/items/REFHNAW3"],"itemData":{"id":22463,"type":"article-journal","container-title":"Translational Vision Science &amp; Technology","DOI":"10.1167/tvst.8.6.6","ISSN":"2164-2591","issue":"6","journalAbbreviation":"Transl Vis Sci Technol","language":"en","license":"http://creativecommons.org/licenses/by-nc-nd/4.0/","page":"6","source":"DOI.org (Crossref)","title":"The Role of Meibography in the Diagnosis of Meibomian Gland Dysfunction in Ocular Surface Diseases","volume":"8","author":[{"family":"Robin","given":"Mathieu"},{"family":"Liang","given":"Hong"},{"family":"Rabut","given":"Ghislaine"},{"family":"Augstburger","given":"Edouard"},{"family":"Baudouin","given":"Christophe"},{"family":"Labbé","given":"Antoine"}],"issued":{"date-parts":[["2019"]]}}}],"schema":"https://github.com/citation-style-language/schema/raw/master/csl-citation.json"} </w:instrText>
      </w:r>
      <w:r w:rsidRPr="00F712D8">
        <w:rPr>
          <w:rFonts w:ascii="Arial" w:hAnsi="Arial" w:cs="Arial"/>
          <w:color w:val="000000" w:themeColor="text1"/>
          <w:lang w:val="en-US"/>
        </w:rPr>
        <w:fldChar w:fldCharType="separate"/>
      </w:r>
      <w:r w:rsidR="00A079FA">
        <w:rPr>
          <w:rFonts w:ascii="Arial" w:hAnsi="Arial" w:cs="Arial"/>
          <w:noProof/>
          <w:color w:val="000000" w:themeColor="text1"/>
          <w:lang w:val="en-US"/>
        </w:rPr>
        <w:t>(8)</w:t>
      </w:r>
      <w:r w:rsidRPr="00F712D8">
        <w:rPr>
          <w:rFonts w:ascii="Arial" w:hAnsi="Arial" w:cs="Arial"/>
          <w:color w:val="000000" w:themeColor="text1"/>
          <w:lang w:val="en-US"/>
        </w:rPr>
        <w:fldChar w:fldCharType="end"/>
      </w:r>
      <w:r w:rsidRPr="00F712D8">
        <w:rPr>
          <w:rFonts w:ascii="Arial" w:hAnsi="Arial" w:cs="Arial"/>
          <w:color w:val="000000" w:themeColor="text1"/>
          <w:lang w:val="en-US"/>
        </w:rPr>
        <w:t>.</w:t>
      </w:r>
    </w:p>
    <w:p w14:paraId="1CCDBA76" w14:textId="77777777" w:rsidR="002123AF" w:rsidRPr="0065386B" w:rsidRDefault="002123AF" w:rsidP="002123AF">
      <w:pPr>
        <w:jc w:val="both"/>
        <w:rPr>
          <w:rFonts w:ascii="Arial" w:hAnsi="Arial" w:cs="Arial"/>
          <w:color w:val="000000" w:themeColor="text1"/>
          <w:lang w:val="en-US"/>
        </w:rPr>
      </w:pPr>
    </w:p>
    <w:p w14:paraId="1B770AD4" w14:textId="458A6D6B"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InflammaDry Testing</w:t>
      </w:r>
    </w:p>
    <w:p w14:paraId="40E715D9" w14:textId="77777777" w:rsidR="002123AF" w:rsidRPr="0065386B" w:rsidRDefault="002123AF" w:rsidP="002123AF">
      <w:pPr>
        <w:jc w:val="both"/>
        <w:rPr>
          <w:rFonts w:ascii="Arial" w:hAnsi="Arial" w:cs="Arial"/>
          <w:color w:val="000000" w:themeColor="text1"/>
          <w:lang w:val="en-US"/>
        </w:rPr>
      </w:pPr>
      <w:r w:rsidRPr="0065386B">
        <w:rPr>
          <w:rFonts w:ascii="Arial" w:eastAsia="Times New Roman" w:hAnsi="Arial" w:cs="Arial"/>
          <w:color w:val="000000" w:themeColor="text1"/>
          <w:lang w:val="en-US"/>
        </w:rPr>
        <w:t>For the InflammaDry test (</w:t>
      </w:r>
      <w:proofErr w:type="spellStart"/>
      <w:r w:rsidRPr="0065386B">
        <w:rPr>
          <w:rFonts w:ascii="Arial" w:eastAsia="Times New Roman" w:hAnsi="Arial" w:cs="Arial"/>
          <w:color w:val="000000" w:themeColor="text1"/>
          <w:lang w:val="en-US"/>
        </w:rPr>
        <w:t>Inoftal</w:t>
      </w:r>
      <w:proofErr w:type="spellEnd"/>
      <w:r w:rsidRPr="0065386B">
        <w:rPr>
          <w:rFonts w:ascii="Arial" w:eastAsia="Times New Roman" w:hAnsi="Arial" w:cs="Arial"/>
          <w:color w:val="000000" w:themeColor="text1"/>
          <w:lang w:val="en-US"/>
        </w:rPr>
        <w:t xml:space="preserve">, Quidel Corporation, USA), the operator collected tear samples by dabbing the patient's lower palpebral conjunctiva 6–8 times with the sample collector without using anesthetic or fluorescein to achieve saturation indicated by a pink or glistening fleece. The saturated fleece was inserted into the cassette, and the tip was immersed in a buffering solution for 20 seconds. </w:t>
      </w:r>
      <w:r w:rsidRPr="00F712D8">
        <w:rPr>
          <w:rFonts w:ascii="Arial" w:eastAsia="Times New Roman" w:hAnsi="Arial" w:cs="Arial"/>
          <w:color w:val="000000" w:themeColor="text1"/>
          <w:lang w:val="en-US"/>
        </w:rPr>
        <w:t>Results were determined after 10 minutes, with one blue and one red line indicating a positive result (MMP-9 ≥40 ng/mL) and a single blue line a negative result (MMP-9 &lt;40 ng/mL). InflammaDry positivity was determined at the clinician's discretion.</w:t>
      </w:r>
    </w:p>
    <w:p w14:paraId="7C3DED76" w14:textId="77777777" w:rsidR="002123AF" w:rsidRPr="0065386B" w:rsidRDefault="002123AF" w:rsidP="002123AF">
      <w:pPr>
        <w:jc w:val="both"/>
        <w:rPr>
          <w:rFonts w:ascii="Arial" w:hAnsi="Arial" w:cs="Arial"/>
          <w:color w:val="000000" w:themeColor="text1"/>
          <w:lang w:val="en-US"/>
        </w:rPr>
      </w:pPr>
    </w:p>
    <w:p w14:paraId="6ECBBA94" w14:textId="3DA7CA89"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 xml:space="preserve">Schirmer test </w:t>
      </w:r>
    </w:p>
    <w:p w14:paraId="18C1C391" w14:textId="4D04EB01" w:rsidR="002123AF" w:rsidRPr="0065386B" w:rsidRDefault="002123AF" w:rsidP="002123AF">
      <w:pPr>
        <w:jc w:val="both"/>
        <w:rPr>
          <w:rFonts w:ascii="Arial" w:hAnsi="Arial" w:cs="Arial"/>
          <w:color w:val="000000" w:themeColor="text1"/>
          <w:lang w:val="en-US"/>
        </w:rPr>
      </w:pPr>
      <w:r w:rsidRPr="0065386B">
        <w:rPr>
          <w:rFonts w:ascii="Arial" w:hAnsi="Arial" w:cs="Arial"/>
          <w:color w:val="000000" w:themeColor="text1"/>
          <w:lang w:val="en-US"/>
        </w:rPr>
        <w:t xml:space="preserve">The Schirmer I test with anesthesia was performed after the </w:t>
      </w:r>
      <w:r w:rsidRPr="0065386B">
        <w:rPr>
          <w:rFonts w:ascii="Arial" w:eastAsia="Times New Roman" w:hAnsi="Arial" w:cs="Arial"/>
          <w:color w:val="000000" w:themeColor="text1"/>
          <w:lang w:val="en-US"/>
        </w:rPr>
        <w:t xml:space="preserve">InflammaDry test </w:t>
      </w:r>
      <w:r w:rsidRPr="0065386B">
        <w:rPr>
          <w:rFonts w:ascii="Arial" w:hAnsi="Arial" w:cs="Arial"/>
          <w:color w:val="000000" w:themeColor="text1"/>
          <w:lang w:val="en-US"/>
        </w:rPr>
        <w:t xml:space="preserve">by applying a drop of proparacaine hydrochloride 0.5% in each eye and placing a Schirmer strip in the inferior conjunctival fornix. The measured length of wetting after a 5-minute period was recorded </w:t>
      </w:r>
      <w:r w:rsidRPr="0065386B">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{"citationID":"Fu5ryRWx","properties":{"formattedCitation":"(9)","plainCitation":"(9)","noteIndex":0},"citationItems":[{"id":22465,"uris":["http://zotero.org/groups/5173662/items/XGQQCDIL"],"itemData":{"id":22465,"type":"article-journal","container-title":"Journal of Ocular Biology, Diseases, and Informatics","DOI":"10.1007/s12177-008-9006-2","ISSN":"1936-8445","issue":"1","journalAbbreviation":"j ocul biol dis inform","language":"en","page":"1-6","source":"DOI.org (Crossref)","title":"Quantitative assessment of tear production: A review of methods and utility in dry eye drug discovery","title-short":"Quantitative assessment of tear production","volume":"1","author":[{"family":"Senchyna","given":"Michelle"},{"family":"Wax","given":"Martin B"}],"issued":{"date-parts":[["2008",3]]}}}],"schema":"https://github.com/citation-style-language/schema/raw/master/csl-citation.json"} </w:instrText>
      </w:r>
      <w:r w:rsidRPr="0065386B">
        <w:rPr>
          <w:rFonts w:ascii="Arial" w:hAnsi="Arial" w:cs="Arial"/>
          <w:color w:val="000000" w:themeColor="text1"/>
          <w:lang w:val="en-US"/>
        </w:rPr>
        <w:fldChar w:fldCharType="separate"/>
      </w:r>
      <w:r w:rsidR="00A079FA">
        <w:rPr>
          <w:rFonts w:ascii="Arial" w:hAnsi="Arial" w:cs="Arial"/>
          <w:noProof/>
          <w:color w:val="000000" w:themeColor="text1"/>
          <w:lang w:val="en-US"/>
        </w:rPr>
        <w:t>(9)</w:t>
      </w:r>
      <w:r w:rsidRPr="0065386B">
        <w:rPr>
          <w:rFonts w:ascii="Arial" w:hAnsi="Arial" w:cs="Arial"/>
          <w:color w:val="000000" w:themeColor="text1"/>
          <w:lang w:val="en-US"/>
        </w:rPr>
        <w:fldChar w:fldCharType="end"/>
      </w:r>
      <w:r w:rsidRPr="0065386B">
        <w:rPr>
          <w:rFonts w:ascii="Arial" w:hAnsi="Arial" w:cs="Arial"/>
          <w:color w:val="000000" w:themeColor="text1"/>
          <w:lang w:val="en-US"/>
        </w:rPr>
        <w:t>.</w:t>
      </w:r>
      <w:r w:rsidR="00DE6D61" w:rsidRPr="0065386B">
        <w:rPr>
          <w:rFonts w:ascii="Arial" w:hAnsi="Arial" w:cs="Arial"/>
          <w:color w:val="000000" w:themeColor="text1"/>
          <w:lang w:val="en-US"/>
        </w:rPr>
        <w:t xml:space="preserve">  </w:t>
      </w:r>
      <w:r w:rsidR="00DE6D61" w:rsidRPr="00F712D8">
        <w:rPr>
          <w:rFonts w:ascii="Arial" w:hAnsi="Arial" w:cs="Arial"/>
          <w:color w:val="000000" w:themeColor="text1"/>
          <w:lang w:val="en-US"/>
        </w:rPr>
        <w:t xml:space="preserve">A result of &lt;10 mm was considered abnormal </w:t>
      </w:r>
      <w:r w:rsidR="00132E7B" w:rsidRPr="00F712D8">
        <w:rPr>
          <w:rFonts w:ascii="Arial" w:hAnsi="Arial" w:cs="Arial"/>
          <w:color w:val="000000" w:themeColor="text1"/>
          <w:lang w:val="en-US"/>
        </w:rPr>
        <w:fldChar w:fldCharType="begin"/>
      </w:r>
      <w:r w:rsidR="007A0EEA" w:rsidRPr="00F712D8">
        <w:rPr>
          <w:rFonts w:ascii="Arial" w:hAnsi="Arial" w:cs="Arial"/>
          <w:color w:val="000000" w:themeColor="text1"/>
          <w:lang w:val="en-US"/>
        </w:rPr>
        <w:instrText xml:space="preserve"> ADDIN ZOTERO_ITEM CSL_CITATION {"citationID":"Xsf0AOhR","properties":{"formattedCitation":"(2)","plainCitation":"(2)","noteIndex":0},"citationItems":[{"id":20792,"uris":["http://zotero.org/groups/5506244/items/6FGTTXTM"],"itemData":{"id":20792,"type":"article-journal","container-title":"The Ocular Surface","DOI":"10.1016/j.jtos.2017.05.001","ISSN":"15420124","issue":"3","journalAbbreviation":"The Ocular Surface","language":"en","page":"539-574","source":"DOI.org (Crossref)","title":"TFOS DEWS II Diagnostic Methodology report","volume":"15","author":[{"family":"Wolffsohn","given":"James S."},{"family":"Arita","given":"Reiko"},{"family":"Chalmers","given":"Robin"},{"family":"Djalilian","given":"Ali"},{"family":"Dogru","given":"Murat"},{"family":"Dumbleton","given":"Kathy"},{"family":"Gupta","given":"Preeya K."},{"family":"Karpecki","given":"Paul"},{"family":"Lazreg","given":"Sihem"},{"family":"Pult","given":"Heiko"},{"family":"Sullivan","given":"Benjamin D."},{"family":"Tomlinson","given":"Alan"},{"family":"Tong","given":"Louis"},{"family":"Villani","given":"Edoardo"},{"family":"Yoon","given":"Kyung Chul"},{"family":"Jones","given":"Lyndon"},{"family":"Craig","given":"Jennifer P."}],"issued":{"date-parts":[["2017"]]}}}],"schema":"https://github.com/citation-style-language/schema/raw/master/csl-citation.json"} </w:instrText>
      </w:r>
      <w:r w:rsidR="00132E7B" w:rsidRPr="00F712D8">
        <w:rPr>
          <w:rFonts w:ascii="Arial" w:hAnsi="Arial" w:cs="Arial"/>
          <w:color w:val="000000" w:themeColor="text1"/>
          <w:lang w:val="en-US"/>
        </w:rPr>
        <w:fldChar w:fldCharType="separate"/>
      </w:r>
      <w:r w:rsidR="00132E7B" w:rsidRPr="00F712D8">
        <w:rPr>
          <w:rFonts w:ascii="Arial" w:hAnsi="Arial" w:cs="Arial"/>
          <w:noProof/>
          <w:color w:val="000000" w:themeColor="text1"/>
          <w:lang w:val="en-US"/>
        </w:rPr>
        <w:t>(2)</w:t>
      </w:r>
      <w:r w:rsidR="00132E7B" w:rsidRPr="00F712D8">
        <w:rPr>
          <w:rFonts w:ascii="Arial" w:hAnsi="Arial" w:cs="Arial"/>
          <w:color w:val="000000" w:themeColor="text1"/>
          <w:lang w:val="en-US"/>
        </w:rPr>
        <w:fldChar w:fldCharType="end"/>
      </w:r>
      <w:r w:rsidR="00132E7B" w:rsidRPr="00F712D8">
        <w:rPr>
          <w:rFonts w:ascii="Arial" w:hAnsi="Arial" w:cs="Arial"/>
          <w:color w:val="000000" w:themeColor="text1"/>
          <w:lang w:val="en-US"/>
        </w:rPr>
        <w:t>.</w:t>
      </w:r>
    </w:p>
    <w:p w14:paraId="33F53C34" w14:textId="77777777" w:rsidR="002123AF" w:rsidRPr="0065386B" w:rsidRDefault="002123AF" w:rsidP="002123AF">
      <w:pPr>
        <w:jc w:val="both"/>
        <w:rPr>
          <w:rFonts w:ascii="Arial" w:hAnsi="Arial" w:cs="Arial"/>
          <w:color w:val="000000" w:themeColor="text1"/>
          <w:lang w:val="en-US"/>
        </w:rPr>
      </w:pPr>
    </w:p>
    <w:p w14:paraId="5FDA1294" w14:textId="291FE6AD" w:rsidR="002123AF" w:rsidRPr="00F712D8" w:rsidRDefault="002123AF" w:rsidP="00F712D8">
      <w:pPr>
        <w:jc w:val="both"/>
        <w:rPr>
          <w:rFonts w:ascii="Arial" w:hAnsi="Arial" w:cs="Arial"/>
          <w:b/>
          <w:bCs/>
          <w:color w:val="000000" w:themeColor="text1"/>
          <w:lang w:val="en-US"/>
        </w:rPr>
      </w:pPr>
      <w:r w:rsidRPr="00F712D8">
        <w:rPr>
          <w:rFonts w:ascii="Arial" w:hAnsi="Arial" w:cs="Arial"/>
          <w:b/>
          <w:bCs/>
          <w:color w:val="000000" w:themeColor="text1"/>
          <w:lang w:val="en-US"/>
        </w:rPr>
        <w:t>Corneal sensitivity determination</w:t>
      </w:r>
    </w:p>
    <w:p w14:paraId="5DB64EDA" w14:textId="0DE9B9E2" w:rsidR="00AE5849" w:rsidRPr="00746266" w:rsidRDefault="002123AF" w:rsidP="002123AF">
      <w:pPr>
        <w:jc w:val="both"/>
        <w:rPr>
          <w:rFonts w:ascii="Arial" w:hAnsi="Arial" w:cs="Arial"/>
          <w:color w:val="000000" w:themeColor="text1"/>
          <w:lang w:val="en-US"/>
        </w:rPr>
      </w:pPr>
      <w:r w:rsidRPr="0065386B">
        <w:rPr>
          <w:rFonts w:ascii="Arial" w:hAnsi="Arial" w:cs="Arial"/>
          <w:color w:val="000000" w:themeColor="text1"/>
          <w:lang w:val="en-US"/>
        </w:rPr>
        <w:t xml:space="preserve">Corneal sensitivity was evaluated with the Cochet-Bonnet esthesiometer (Luneau </w:t>
      </w:r>
      <w:proofErr w:type="spellStart"/>
      <w:r w:rsidRPr="0065386B">
        <w:rPr>
          <w:rFonts w:ascii="Arial" w:hAnsi="Arial" w:cs="Arial"/>
          <w:color w:val="000000" w:themeColor="text1"/>
          <w:lang w:val="en-US"/>
        </w:rPr>
        <w:t>Ophtalmologie</w:t>
      </w:r>
      <w:proofErr w:type="spellEnd"/>
      <w:r w:rsidRPr="0065386B">
        <w:rPr>
          <w:rFonts w:ascii="Arial" w:hAnsi="Arial" w:cs="Arial"/>
          <w:color w:val="000000" w:themeColor="text1"/>
          <w:lang w:val="en-US"/>
        </w:rPr>
        <w:t xml:space="preserve">, Chartres, France). It provides repetitive information about </w:t>
      </w:r>
      <w:r w:rsidR="00541BA4" w:rsidRPr="0065386B">
        <w:rPr>
          <w:rFonts w:ascii="Arial" w:hAnsi="Arial" w:cs="Arial"/>
          <w:color w:val="000000" w:themeColor="text1"/>
          <w:lang w:val="en-US"/>
        </w:rPr>
        <w:t xml:space="preserve">corneal </w:t>
      </w:r>
      <w:r w:rsidRPr="0065386B">
        <w:rPr>
          <w:rFonts w:ascii="Arial" w:hAnsi="Arial" w:cs="Arial"/>
          <w:color w:val="000000" w:themeColor="text1"/>
          <w:lang w:val="en-US"/>
        </w:rPr>
        <w:t xml:space="preserve">sensitivity </w:t>
      </w:r>
      <w:r w:rsidR="00541BA4" w:rsidRPr="0065386B">
        <w:rPr>
          <w:rFonts w:ascii="Arial" w:hAnsi="Arial" w:cs="Arial"/>
          <w:color w:val="000000" w:themeColor="text1"/>
          <w:lang w:val="en-US"/>
        </w:rPr>
        <w:t>through</w:t>
      </w:r>
      <w:r w:rsidRPr="0065386B">
        <w:rPr>
          <w:rFonts w:ascii="Arial" w:hAnsi="Arial" w:cs="Arial"/>
          <w:color w:val="000000" w:themeColor="text1"/>
          <w:lang w:val="en-US"/>
        </w:rPr>
        <w:t xml:space="preserve"> subjective patient response</w:t>
      </w:r>
      <w:r w:rsidR="00541BA4" w:rsidRPr="0065386B">
        <w:rPr>
          <w:rFonts w:ascii="Arial" w:hAnsi="Arial" w:cs="Arial"/>
          <w:color w:val="000000" w:themeColor="text1"/>
          <w:lang w:val="en-US"/>
        </w:rPr>
        <w:t>s</w:t>
      </w:r>
      <w:r w:rsidRPr="0065386B">
        <w:rPr>
          <w:rFonts w:ascii="Arial" w:hAnsi="Arial" w:cs="Arial"/>
          <w:color w:val="000000" w:themeColor="text1"/>
          <w:lang w:val="en-US"/>
        </w:rPr>
        <w:t xml:space="preserve">. It consists of a nylon monofilament with a diameter of 0.12 mm that can be modified in length from 0 to 60 mm to obtain a different pressure applied to the cornea. It produces a pressure ranging from 0.96 to 17.68 g/mm2; a 60-mm length corresponds to 0.96 g/mm2, a 55-mm length to 1.08 g/mm2, and so on; finally, a 5-mm length corresponds to 17.68 g/mm2, according to the manufacturer’s instructions </w:t>
      </w:r>
      <w:r w:rsidRPr="0065386B">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{"citationID":"AD5Z23eK","properties":{"formattedCitation":"(10)","plainCitation":"(10)","noteIndex":0},"citationItems":[{"id":22477,"uris":["http://zotero.org/groups/5173662/items/G5SI4MDU"],"itemData":{"id":22477,"type":"article-journal","abstract":"&lt;i&gt;Purpose:&lt;/i&gt; To evaluate central and peripheral corneal sensitivity (CS) in relation to age. &lt;i&gt;Methods:&lt;/i&gt; Five hundred eyes of 320 healthy subjects (185 males and 135 females) were examined. The age of participants ranged from 20 to 90 years. All subjects were divided into 3 groups according to age. CS was assessed with the Cochet-Bonnet esthesiometer in the central cornea and in 8 peripheral points. The averages were used as the values of central and peripheral CS. &lt;i&gt;Results:&lt;/i&gt; In the young population, CS was equal in both examined zones (p &gt; 0.05); although, with respect to the periphery after the fifth decade, it was significantly higher in the centre (p &lt; 0.05). Both central and peripheral sensitivity decreased with age (p &lt; 0.05), and such variations are represented by parabolic curves. No differences were observed between males and females. &lt;i&gt;Conclusions:&lt;/i&gt; The age-related decrement of CS involves at first the corneal periphery and successively spreads toward the central zone. Topographical distribution and age-related modifications should be considered in clinical investigations of CS, especially in patients who underwent any corneal surgical procedure.","container-title":"Ophthalmologica","DOI":"10.1159/000079478","ISSN":"0030-3755, 1423-0267","issue":"5","journalAbbreviation":"Ophthalmologica","language":"en","license":"https://www.karger.com/Services/SiteLicenses","page":"350-355","source":"DOI.org (Crossref)","title":"Age-Related Modifications of Corneal Sensitivity","volume":"218","author":[{"family":"Roszkowska","given":"Anna M."},{"family":"Colosi","given":"Pietro"},{"family":"Ferreri","given":"Felicia M.B."},{"family":"Galasso","given":"Santo"}],"issued":{"date-parts":[["2004"]]}}}],"schema":"https://github.com/citation-style-language/schema/raw/master/csl-citation.json"} </w:instrText>
      </w:r>
      <w:r w:rsidRPr="0065386B">
        <w:rPr>
          <w:rFonts w:ascii="Arial" w:hAnsi="Arial" w:cs="Arial"/>
          <w:color w:val="000000" w:themeColor="text1"/>
          <w:lang w:val="en-US"/>
        </w:rPr>
        <w:fldChar w:fldCharType="separate"/>
      </w:r>
      <w:r w:rsidR="00A079FA">
        <w:rPr>
          <w:rFonts w:ascii="Arial" w:hAnsi="Arial" w:cs="Arial"/>
          <w:noProof/>
          <w:color w:val="000000" w:themeColor="text1"/>
          <w:lang w:val="en-US"/>
        </w:rPr>
        <w:t>(10)</w:t>
      </w:r>
      <w:r w:rsidRPr="0065386B">
        <w:rPr>
          <w:rFonts w:ascii="Arial" w:hAnsi="Arial" w:cs="Arial"/>
          <w:color w:val="000000" w:themeColor="text1"/>
          <w:lang w:val="en-US"/>
        </w:rPr>
        <w:fldChar w:fldCharType="end"/>
      </w:r>
      <w:r w:rsidR="003C65DD" w:rsidRPr="0065386B">
        <w:rPr>
          <w:rFonts w:ascii="Arial" w:hAnsi="Arial" w:cs="Arial"/>
          <w:color w:val="000000" w:themeColor="text1"/>
          <w:lang w:val="en-US"/>
        </w:rPr>
        <w:t>. A range from 0.4g/mm2 to 0.8g/mm2 was considered normal</w:t>
      </w:r>
      <w:r w:rsidR="003C65DD" w:rsidRPr="00F712D8">
        <w:rPr>
          <w:rFonts w:ascii="Arial" w:hAnsi="Arial" w:cs="Arial"/>
          <w:color w:val="000000" w:themeColor="text1"/>
          <w:lang w:val="en-US"/>
        </w:rPr>
        <w:t xml:space="preserve"> </w:t>
      </w:r>
      <w:r w:rsidR="007A0EEA" w:rsidRPr="00F712D8">
        <w:rPr>
          <w:rFonts w:ascii="Arial" w:hAnsi="Arial" w:cs="Arial"/>
          <w:color w:val="000000" w:themeColor="text1"/>
          <w:lang w:val="en-US"/>
        </w:rPr>
        <w:fldChar w:fldCharType="begin"/>
      </w:r>
      <w:r w:rsidR="00A079FA">
        <w:rPr>
          <w:rFonts w:ascii="Arial" w:hAnsi="Arial" w:cs="Arial"/>
          <w:color w:val="000000" w:themeColor="text1"/>
          <w:lang w:val="en-US"/>
        </w:rPr>
        <w:instrText xml:space="preserve"> ADDIN ZOTERO_ITEM CSL_CITATION {"citationID":"5VzzDasA","properties":{"formattedCitation":"(11)","plainCitation":"(11)","noteIndex":0},"citationItems":[{"id":24581,"uris":["http://zotero.org/groups/5506244/items/KLB6BKZC"],"itemData":{"id":24581,"type":"article","DOI":"10.21427/ZT34-SZ38","publisher":"Technological University Dublin","source":"DOI.org (Datacite)","title":"Corneal sensitivity in normal subjects as measured using the Cochet-Bonnet aesthesiometer","URL":"https://arrow.tudublin.ie/scschphycon/32/","author":[{"family":"McDonnell","given":"Claire"},{"family":"Boland","given":"Clara"},{"family":"Khalid","given":"Kayinat"},{"family":"Osman","given":"Muno"}],"accessed":{"date-parts":[["2024",11,10]]},"issued":{"date-parts":[["2023"]]}}}],"schema":"https://github.com/citation-style-language/schema/raw/master/csl-citation.json"} </w:instrText>
      </w:r>
      <w:r w:rsidR="007A0EEA" w:rsidRPr="00F712D8">
        <w:rPr>
          <w:rFonts w:ascii="Arial" w:hAnsi="Arial" w:cs="Arial"/>
          <w:color w:val="000000" w:themeColor="text1"/>
          <w:lang w:val="en-US"/>
        </w:rPr>
        <w:fldChar w:fldCharType="separate"/>
      </w:r>
      <w:r w:rsidR="00A079FA">
        <w:rPr>
          <w:rFonts w:ascii="Arial" w:hAnsi="Arial" w:cs="Arial"/>
          <w:noProof/>
          <w:color w:val="000000" w:themeColor="text1"/>
          <w:lang w:val="en-US"/>
        </w:rPr>
        <w:t>(11)</w:t>
      </w:r>
      <w:r w:rsidR="007A0EEA" w:rsidRPr="00F712D8">
        <w:rPr>
          <w:rFonts w:ascii="Arial" w:hAnsi="Arial" w:cs="Arial"/>
          <w:color w:val="000000" w:themeColor="text1"/>
          <w:lang w:val="en-US"/>
        </w:rPr>
        <w:fldChar w:fldCharType="end"/>
      </w:r>
      <w:r w:rsidR="007A0EEA" w:rsidRPr="00F712D8">
        <w:rPr>
          <w:rFonts w:ascii="Arial" w:hAnsi="Arial" w:cs="Arial"/>
          <w:color w:val="000000" w:themeColor="text1"/>
          <w:lang w:val="en-US"/>
        </w:rPr>
        <w:t>.</w:t>
      </w:r>
    </w:p>
    <w:p w14:paraId="67967752" w14:textId="77777777" w:rsidR="00746266" w:rsidRDefault="00746266" w:rsidP="002123AF">
      <w:pPr>
        <w:jc w:val="both"/>
        <w:rPr>
          <w:rFonts w:ascii="Arial" w:eastAsiaTheme="minorEastAsia" w:hAnsi="Arial" w:cs="Arial"/>
          <w:color w:val="000000" w:themeColor="text1"/>
          <w:lang w:val="en-US"/>
        </w:rPr>
      </w:pPr>
    </w:p>
    <w:p w14:paraId="03734AA3" w14:textId="77777777" w:rsidR="008F5954" w:rsidRDefault="008F5954" w:rsidP="002123AF">
      <w:pPr>
        <w:jc w:val="both"/>
        <w:rPr>
          <w:rFonts w:ascii="Arial" w:hAnsi="Arial" w:cs="Arial"/>
          <w:b/>
          <w:bCs/>
          <w:color w:val="000000" w:themeColor="text1"/>
          <w:lang w:val="en-US"/>
        </w:rPr>
      </w:pPr>
    </w:p>
    <w:p w14:paraId="02DE99BC" w14:textId="77777777" w:rsidR="008F5954" w:rsidRDefault="008F5954" w:rsidP="002123AF">
      <w:pPr>
        <w:jc w:val="both"/>
        <w:rPr>
          <w:rFonts w:ascii="Arial" w:hAnsi="Arial" w:cs="Arial"/>
          <w:b/>
          <w:bCs/>
          <w:color w:val="000000" w:themeColor="text1"/>
          <w:lang w:val="en-US"/>
        </w:rPr>
      </w:pPr>
    </w:p>
    <w:p w14:paraId="4B56C4E5" w14:textId="77777777" w:rsidR="008F5954" w:rsidRDefault="008F5954" w:rsidP="002123AF">
      <w:pPr>
        <w:jc w:val="both"/>
        <w:rPr>
          <w:rFonts w:ascii="Arial" w:hAnsi="Arial" w:cs="Arial"/>
          <w:b/>
          <w:bCs/>
          <w:color w:val="000000" w:themeColor="text1"/>
          <w:lang w:val="en-US"/>
        </w:rPr>
      </w:pPr>
    </w:p>
    <w:p w14:paraId="6BE838C7" w14:textId="77777777" w:rsidR="008F5954" w:rsidRDefault="008F5954" w:rsidP="002123AF">
      <w:pPr>
        <w:jc w:val="both"/>
        <w:rPr>
          <w:rFonts w:ascii="Arial" w:hAnsi="Arial" w:cs="Arial"/>
          <w:b/>
          <w:bCs/>
          <w:color w:val="000000" w:themeColor="text1"/>
          <w:lang w:val="en-US"/>
        </w:rPr>
      </w:pPr>
    </w:p>
    <w:p w14:paraId="435BABCA" w14:textId="77777777" w:rsidR="008F5954" w:rsidRDefault="008F5954" w:rsidP="002123AF">
      <w:pPr>
        <w:jc w:val="both"/>
        <w:rPr>
          <w:rFonts w:ascii="Arial" w:hAnsi="Arial" w:cs="Arial"/>
          <w:b/>
          <w:bCs/>
          <w:color w:val="000000" w:themeColor="text1"/>
          <w:lang w:val="en-US"/>
        </w:rPr>
      </w:pPr>
    </w:p>
    <w:p w14:paraId="04A90CDC" w14:textId="77777777" w:rsidR="008F5954" w:rsidRDefault="008F5954" w:rsidP="002123AF">
      <w:pPr>
        <w:jc w:val="both"/>
        <w:rPr>
          <w:rFonts w:ascii="Arial" w:hAnsi="Arial" w:cs="Arial"/>
          <w:b/>
          <w:bCs/>
          <w:color w:val="000000" w:themeColor="text1"/>
          <w:lang w:val="en-US"/>
        </w:rPr>
      </w:pPr>
    </w:p>
    <w:p w14:paraId="2AE29A4A" w14:textId="77777777" w:rsidR="008F5954" w:rsidRDefault="008F5954" w:rsidP="002123AF">
      <w:pPr>
        <w:jc w:val="both"/>
        <w:rPr>
          <w:rFonts w:ascii="Arial" w:hAnsi="Arial" w:cs="Arial"/>
          <w:b/>
          <w:bCs/>
          <w:color w:val="000000" w:themeColor="text1"/>
          <w:lang w:val="en-US"/>
        </w:rPr>
      </w:pPr>
    </w:p>
    <w:p w14:paraId="795AFFB4" w14:textId="645EFB7B" w:rsidR="002123AF" w:rsidRPr="0065386B" w:rsidRDefault="00AE5849" w:rsidP="008F5954">
      <w:pPr>
        <w:jc w:val="both"/>
        <w:rPr>
          <w:rFonts w:ascii="Arial" w:hAnsi="Arial" w:cs="Arial"/>
          <w:b/>
          <w:bCs/>
          <w:color w:val="000000" w:themeColor="text1"/>
          <w:lang w:val="en-US"/>
        </w:rPr>
      </w:pPr>
      <w:r>
        <w:rPr>
          <w:rFonts w:ascii="Arial" w:hAnsi="Arial" w:cs="Arial"/>
          <w:b/>
          <w:bCs/>
          <w:color w:val="000000" w:themeColor="text1"/>
          <w:lang w:val="en-US"/>
        </w:rPr>
        <w:lastRenderedPageBreak/>
        <w:t>Refere</w:t>
      </w:r>
      <w:r w:rsidR="002123AF" w:rsidRPr="0065386B">
        <w:rPr>
          <w:rFonts w:ascii="Arial" w:hAnsi="Arial" w:cs="Arial"/>
          <w:b/>
          <w:bCs/>
          <w:color w:val="000000" w:themeColor="text1"/>
          <w:lang w:val="en-US"/>
        </w:rPr>
        <w:t xml:space="preserve">nces </w:t>
      </w:r>
    </w:p>
    <w:p w14:paraId="62D2A3D3" w14:textId="77777777" w:rsidR="002123AF" w:rsidRPr="0065386B" w:rsidRDefault="002123AF" w:rsidP="008F5954">
      <w:pPr>
        <w:jc w:val="both"/>
        <w:rPr>
          <w:rFonts w:ascii="Arial" w:hAnsi="Arial" w:cs="Arial"/>
          <w:color w:val="000000" w:themeColor="text1"/>
          <w:lang w:val="en-US"/>
        </w:rPr>
      </w:pPr>
    </w:p>
    <w:p w14:paraId="7288E8C9" w14:textId="77777777" w:rsidR="00A079FA" w:rsidRPr="00A079FA" w:rsidRDefault="002123AF" w:rsidP="008F5954">
      <w:pPr>
        <w:widowControl w:val="0"/>
        <w:autoSpaceDE w:val="0"/>
        <w:autoSpaceDN w:val="0"/>
        <w:adjustRightInd w:val="0"/>
        <w:jc w:val="both"/>
        <w:rPr>
          <w:rFonts w:ascii="Arial" w:hAnsi="Arial" w:cs="Arial"/>
          <w:color w:val="000000"/>
          <w:kern w:val="0"/>
          <w:lang w:val="es-MX"/>
        </w:rPr>
      </w:pPr>
      <w:r w:rsidRPr="0065386B">
        <w:rPr>
          <w:color w:val="000000" w:themeColor="text1"/>
        </w:rPr>
        <w:fldChar w:fldCharType="begin"/>
      </w:r>
      <w:r w:rsidRPr="0065386B">
        <w:rPr>
          <w:color w:val="000000" w:themeColor="text1"/>
          <w:lang w:val="en-US"/>
        </w:rPr>
        <w:instrText xml:space="preserve"> ADDIN ZOTERO_BIBL {"uncited":[],"omitted":[],"custom":[]} CSL_BIBLIOGRAPHY </w:instrText>
      </w:r>
      <w:r w:rsidRPr="0065386B">
        <w:rPr>
          <w:color w:val="000000" w:themeColor="text1"/>
        </w:rPr>
        <w:fldChar w:fldCharType="separate"/>
      </w:r>
      <w:r w:rsidR="00A079FA" w:rsidRPr="00A079FA">
        <w:rPr>
          <w:rFonts w:ascii="Arial" w:hAnsi="Arial" w:cs="Arial"/>
          <w:color w:val="000000"/>
          <w:kern w:val="0"/>
          <w:lang w:val="en-US"/>
        </w:rPr>
        <w:t>1.</w:t>
      </w:r>
      <w:r w:rsidR="00A079FA" w:rsidRPr="00A079FA">
        <w:rPr>
          <w:rFonts w:ascii="Arial" w:hAnsi="Arial" w:cs="Arial"/>
          <w:color w:val="000000"/>
          <w:kern w:val="0"/>
          <w:lang w:val="en-US"/>
        </w:rPr>
        <w:tab/>
        <w:t xml:space="preserve">Kunert K, Sickenberger W. Dry Eye Guide: A Guide to Comprehensive Dry Eye Screening with the OCULUS Keratograph 5M [Internet]. </w:t>
      </w:r>
      <w:r w:rsidR="00A079FA" w:rsidRPr="00A079FA">
        <w:rPr>
          <w:rFonts w:ascii="Arial" w:hAnsi="Arial" w:cs="Arial"/>
          <w:color w:val="000000"/>
          <w:kern w:val="0"/>
          <w:lang w:val="es-MX"/>
        </w:rPr>
        <w:t>2017. Disponible en: https://d3ciwvs59ifrt8.cloudfront.net/7c82a155-a2d2-4de8-a159-f406905e28ca/fa6699ea-8ed7-4c98-ac39-b39186a7c94e.pdf</w:t>
      </w:r>
    </w:p>
    <w:p w14:paraId="09576713"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2.</w:t>
      </w:r>
      <w:r w:rsidRPr="00A079FA">
        <w:rPr>
          <w:rFonts w:ascii="Arial" w:hAnsi="Arial" w:cs="Arial"/>
          <w:color w:val="000000"/>
          <w:kern w:val="0"/>
          <w:lang w:val="en-US"/>
        </w:rPr>
        <w:tab/>
        <w:t xml:space="preserve">Wolffsohn JS, Arita R, Chalmers R, Djalilian A, Dogru M, Dumbleton K, et al. TFOS DEWS II Diagnostic Methodology report. The Ocular Surface. 2017;15(3):539-74. </w:t>
      </w:r>
    </w:p>
    <w:p w14:paraId="791A07B6" w14:textId="77777777" w:rsidR="00A079FA" w:rsidRPr="00A079FA" w:rsidRDefault="00A079FA" w:rsidP="008F5954">
      <w:pPr>
        <w:widowControl w:val="0"/>
        <w:autoSpaceDE w:val="0"/>
        <w:autoSpaceDN w:val="0"/>
        <w:adjustRightInd w:val="0"/>
        <w:jc w:val="both"/>
        <w:rPr>
          <w:rFonts w:ascii="Arial" w:hAnsi="Arial" w:cs="Arial"/>
          <w:color w:val="000000"/>
          <w:kern w:val="0"/>
          <w:lang w:val="es-MX"/>
        </w:rPr>
      </w:pPr>
      <w:r w:rsidRPr="00A079FA">
        <w:rPr>
          <w:rFonts w:ascii="Arial" w:hAnsi="Arial" w:cs="Arial"/>
          <w:color w:val="000000"/>
          <w:kern w:val="0"/>
          <w:lang w:val="en-US"/>
        </w:rPr>
        <w:t>3.</w:t>
      </w:r>
      <w:r w:rsidRPr="00A079FA">
        <w:rPr>
          <w:rFonts w:ascii="Arial" w:hAnsi="Arial" w:cs="Arial"/>
          <w:color w:val="000000"/>
          <w:kern w:val="0"/>
          <w:lang w:val="en-US"/>
        </w:rPr>
        <w:tab/>
        <w:t xml:space="preserve">TearLab. TearLab Osmolarity System User Manual [Internet]. </w:t>
      </w:r>
      <w:r w:rsidRPr="00A079FA">
        <w:rPr>
          <w:rFonts w:ascii="Arial" w:hAnsi="Arial" w:cs="Arial"/>
          <w:color w:val="000000"/>
          <w:kern w:val="0"/>
          <w:lang w:val="es-MX"/>
        </w:rPr>
        <w:t>2012. Disponible en: https://trukera.com/wp-content/uploads/2022/08/TearLab_Osmolarity_System_User_Manual_-_English.pdf</w:t>
      </w:r>
    </w:p>
    <w:p w14:paraId="76A6B9B7"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4.</w:t>
      </w:r>
      <w:r w:rsidRPr="00A079FA">
        <w:rPr>
          <w:rFonts w:ascii="Arial" w:hAnsi="Arial" w:cs="Arial"/>
          <w:color w:val="000000"/>
          <w:kern w:val="0"/>
          <w:lang w:val="en-US"/>
        </w:rPr>
        <w:tab/>
        <w:t xml:space="preserve">Bron AJ, Evans VE, Smith JA. Grading Of Corneal and Conjunctival Staining in the Context of Other Dry Eye Tests: Cornea. 2003;22(7):640-50. </w:t>
      </w:r>
    </w:p>
    <w:p w14:paraId="752F9132"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5.</w:t>
      </w:r>
      <w:r w:rsidRPr="00A079FA">
        <w:rPr>
          <w:rFonts w:ascii="Arial" w:hAnsi="Arial" w:cs="Arial"/>
          <w:color w:val="000000"/>
          <w:kern w:val="0"/>
          <w:lang w:val="en-US"/>
        </w:rPr>
        <w:tab/>
        <w:t>American Academy of Ophthalmology. Oxford Grading System [Internet]. Disponible en: https://www.aao.org/education/image/oxford-grading-system</w:t>
      </w:r>
    </w:p>
    <w:p w14:paraId="3CE224C6"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s-MX"/>
        </w:rPr>
        <w:t>6.</w:t>
      </w:r>
      <w:r w:rsidRPr="00A079FA">
        <w:rPr>
          <w:rFonts w:ascii="Arial" w:hAnsi="Arial" w:cs="Arial"/>
          <w:color w:val="000000"/>
          <w:kern w:val="0"/>
          <w:lang w:val="es-MX"/>
        </w:rPr>
        <w:tab/>
        <w:t xml:space="preserve">Di Cello L, Pellegrini M, Vagge A, Borselli M, Ferro Desideri L, Scorcia V, et al. </w:t>
      </w:r>
      <w:r w:rsidRPr="00A079FA">
        <w:rPr>
          <w:rFonts w:ascii="Arial" w:hAnsi="Arial" w:cs="Arial"/>
          <w:color w:val="000000"/>
          <w:kern w:val="0"/>
          <w:lang w:val="en-US"/>
        </w:rPr>
        <w:t xml:space="preserve">Advances in the Noninvasive Diagnosis of Dry Eye Disease. Appl Sci. 2021;11(21):10384. </w:t>
      </w:r>
    </w:p>
    <w:p w14:paraId="4AA99247"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7.</w:t>
      </w:r>
      <w:r w:rsidRPr="00A079FA">
        <w:rPr>
          <w:rFonts w:ascii="Arial" w:hAnsi="Arial" w:cs="Arial"/>
          <w:color w:val="000000"/>
          <w:kern w:val="0"/>
          <w:lang w:val="en-US"/>
        </w:rPr>
        <w:tab/>
        <w:t xml:space="preserve">Pult H, Riede-Pult B. Comparison of subjective grading and objective assessment in meibography. Cont Lens Anterior Eye. 2013;36(1):22-7. </w:t>
      </w:r>
    </w:p>
    <w:p w14:paraId="665D792B"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8.</w:t>
      </w:r>
      <w:r w:rsidRPr="00A079FA">
        <w:rPr>
          <w:rFonts w:ascii="Arial" w:hAnsi="Arial" w:cs="Arial"/>
          <w:color w:val="000000"/>
          <w:kern w:val="0"/>
          <w:lang w:val="en-US"/>
        </w:rPr>
        <w:tab/>
        <w:t xml:space="preserve">Robin M, Liang H, Rabut G, Augstburger E, Baudouin C, Labbé A. The Role of Meibography in the Diagnosis of Meibomian Gland Dysfunction in Ocular Surface Diseases. Transl Vis Sci Technol. 2019;8(6):6. </w:t>
      </w:r>
    </w:p>
    <w:p w14:paraId="2AFE5C7C"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9.</w:t>
      </w:r>
      <w:r w:rsidRPr="00A079FA">
        <w:rPr>
          <w:rFonts w:ascii="Arial" w:hAnsi="Arial" w:cs="Arial"/>
          <w:color w:val="000000"/>
          <w:kern w:val="0"/>
          <w:lang w:val="en-US"/>
        </w:rPr>
        <w:tab/>
        <w:t xml:space="preserve">Senchyna M, Wax MB. Quantitative assessment of tear production: A review of methods and utility in dry eye drug discovery. j ocul biol dis inform. marzo de 2008;1(1):1-6. </w:t>
      </w:r>
    </w:p>
    <w:p w14:paraId="7B2ED02B" w14:textId="77777777" w:rsidR="00A079FA" w:rsidRPr="00A079FA" w:rsidRDefault="00A079FA" w:rsidP="008F5954">
      <w:pPr>
        <w:widowControl w:val="0"/>
        <w:autoSpaceDE w:val="0"/>
        <w:autoSpaceDN w:val="0"/>
        <w:adjustRightInd w:val="0"/>
        <w:jc w:val="both"/>
        <w:rPr>
          <w:rFonts w:ascii="Arial" w:hAnsi="Arial" w:cs="Arial"/>
          <w:color w:val="000000"/>
          <w:kern w:val="0"/>
          <w:lang w:val="en-US"/>
        </w:rPr>
      </w:pPr>
      <w:r w:rsidRPr="00A079FA">
        <w:rPr>
          <w:rFonts w:ascii="Arial" w:hAnsi="Arial" w:cs="Arial"/>
          <w:color w:val="000000"/>
          <w:kern w:val="0"/>
          <w:lang w:val="en-US"/>
        </w:rPr>
        <w:t>10.</w:t>
      </w:r>
      <w:r w:rsidRPr="00A079FA">
        <w:rPr>
          <w:rFonts w:ascii="Arial" w:hAnsi="Arial" w:cs="Arial"/>
          <w:color w:val="000000"/>
          <w:kern w:val="0"/>
          <w:lang w:val="en-US"/>
        </w:rPr>
        <w:tab/>
        <w:t xml:space="preserve">Roszkowska AM, Colosi P, Ferreri FMB, Galasso S. Age-Related Modifications of Corneal Sensitivity. Ophthalmologica. 2004;218(5):350-5. </w:t>
      </w:r>
    </w:p>
    <w:p w14:paraId="4DF4FAA1" w14:textId="77777777" w:rsidR="00A079FA" w:rsidRPr="00A079FA" w:rsidRDefault="00A079FA" w:rsidP="008F5954">
      <w:pPr>
        <w:widowControl w:val="0"/>
        <w:autoSpaceDE w:val="0"/>
        <w:autoSpaceDN w:val="0"/>
        <w:adjustRightInd w:val="0"/>
        <w:jc w:val="both"/>
        <w:rPr>
          <w:rFonts w:ascii="Arial" w:hAnsi="Arial" w:cs="Arial"/>
          <w:color w:val="000000"/>
          <w:kern w:val="0"/>
          <w:lang w:val="es-MX"/>
        </w:rPr>
      </w:pPr>
      <w:r w:rsidRPr="00A079FA">
        <w:rPr>
          <w:rFonts w:ascii="Arial" w:hAnsi="Arial" w:cs="Arial"/>
          <w:color w:val="000000"/>
          <w:kern w:val="0"/>
          <w:lang w:val="en-US"/>
        </w:rPr>
        <w:t>11.</w:t>
      </w:r>
      <w:r w:rsidRPr="00A079FA">
        <w:rPr>
          <w:rFonts w:ascii="Arial" w:hAnsi="Arial" w:cs="Arial"/>
          <w:color w:val="000000"/>
          <w:kern w:val="0"/>
          <w:lang w:val="en-US"/>
        </w:rPr>
        <w:tab/>
        <w:t xml:space="preserve">McDonnell C, Boland C, Khalid K, Osman M. Corneal sensitivity in normal subjects as measured using the Cochet-Bonnet aesthesiometer [Internet]. </w:t>
      </w:r>
      <w:r w:rsidRPr="00A079FA">
        <w:rPr>
          <w:rFonts w:ascii="Arial" w:hAnsi="Arial" w:cs="Arial"/>
          <w:color w:val="000000"/>
          <w:kern w:val="0"/>
          <w:lang w:val="es-MX"/>
        </w:rPr>
        <w:t>Technological University Dublin; 2023 [citado 10 de noviembre de 2024]. Disponible en: https://arrow.tudublin.ie/scschphycon/32/</w:t>
      </w:r>
    </w:p>
    <w:p w14:paraId="3AB7888E" w14:textId="273759B2" w:rsidR="002123AF" w:rsidRPr="00F712D8" w:rsidRDefault="002123AF" w:rsidP="008F5954">
      <w:pPr>
        <w:jc w:val="both"/>
        <w:rPr>
          <w:rFonts w:ascii="Arial" w:hAnsi="Arial" w:cs="Arial"/>
          <w:color w:val="000000" w:themeColor="text1"/>
        </w:rPr>
      </w:pPr>
      <w:r w:rsidRPr="0065386B">
        <w:rPr>
          <w:rFonts w:ascii="Arial" w:hAnsi="Arial" w:cs="Arial"/>
          <w:color w:val="000000" w:themeColor="text1"/>
          <w:lang w:val="en-US"/>
        </w:rPr>
        <w:fldChar w:fldCharType="end"/>
      </w:r>
    </w:p>
    <w:p w14:paraId="75D2D8F7" w14:textId="77777777" w:rsidR="000B50B0" w:rsidRPr="00F712D8" w:rsidRDefault="000B50B0">
      <w:pPr>
        <w:rPr>
          <w:color w:val="000000" w:themeColor="text1"/>
        </w:rPr>
      </w:pPr>
    </w:p>
    <w:sectPr w:rsidR="000B50B0" w:rsidRPr="00F712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39EB"/>
    <w:multiLevelType w:val="multilevel"/>
    <w:tmpl w:val="A3BE23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9B748CC"/>
    <w:multiLevelType w:val="hybridMultilevel"/>
    <w:tmpl w:val="47A4B8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A5732C1"/>
    <w:multiLevelType w:val="hybridMultilevel"/>
    <w:tmpl w:val="22624E90"/>
    <w:lvl w:ilvl="0" w:tplc="C7F6A0E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BFE304D"/>
    <w:multiLevelType w:val="hybridMultilevel"/>
    <w:tmpl w:val="29F054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65080678">
    <w:abstractNumId w:val="3"/>
  </w:num>
  <w:num w:numId="2" w16cid:durableId="1496265351">
    <w:abstractNumId w:val="1"/>
  </w:num>
  <w:num w:numId="3" w16cid:durableId="1967849574">
    <w:abstractNumId w:val="0"/>
  </w:num>
  <w:num w:numId="4" w16cid:durableId="1146359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AF"/>
    <w:rsid w:val="000121F3"/>
    <w:rsid w:val="00042BF5"/>
    <w:rsid w:val="000B50B0"/>
    <w:rsid w:val="00123610"/>
    <w:rsid w:val="00132E7B"/>
    <w:rsid w:val="002123AF"/>
    <w:rsid w:val="00244E0B"/>
    <w:rsid w:val="00301636"/>
    <w:rsid w:val="00317DAD"/>
    <w:rsid w:val="003C5B92"/>
    <w:rsid w:val="003C65DD"/>
    <w:rsid w:val="00411798"/>
    <w:rsid w:val="004E1E75"/>
    <w:rsid w:val="005007DE"/>
    <w:rsid w:val="00540128"/>
    <w:rsid w:val="00541BA4"/>
    <w:rsid w:val="00611FC4"/>
    <w:rsid w:val="00621E58"/>
    <w:rsid w:val="00623F98"/>
    <w:rsid w:val="0062668A"/>
    <w:rsid w:val="006343C2"/>
    <w:rsid w:val="0065386B"/>
    <w:rsid w:val="006E13FF"/>
    <w:rsid w:val="00711427"/>
    <w:rsid w:val="0071783B"/>
    <w:rsid w:val="00746266"/>
    <w:rsid w:val="0074640E"/>
    <w:rsid w:val="00793308"/>
    <w:rsid w:val="007A0EEA"/>
    <w:rsid w:val="008362FF"/>
    <w:rsid w:val="008F5954"/>
    <w:rsid w:val="009D0D1C"/>
    <w:rsid w:val="009D1450"/>
    <w:rsid w:val="00A079FA"/>
    <w:rsid w:val="00AD7989"/>
    <w:rsid w:val="00AE5849"/>
    <w:rsid w:val="00B832DA"/>
    <w:rsid w:val="00CA7043"/>
    <w:rsid w:val="00CC128B"/>
    <w:rsid w:val="00D15ABF"/>
    <w:rsid w:val="00D80037"/>
    <w:rsid w:val="00DE6D61"/>
    <w:rsid w:val="00E029F7"/>
    <w:rsid w:val="00E24327"/>
    <w:rsid w:val="00F16DC0"/>
    <w:rsid w:val="00F61AC0"/>
    <w:rsid w:val="00F712D8"/>
    <w:rsid w:val="00F858C9"/>
    <w:rsid w:val="00F868F1"/>
    <w:rsid w:val="00FF3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9913"/>
  <w15:chartTrackingRefBased/>
  <w15:docId w15:val="{850A7C35-1E05-CD42-8BBA-57306641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3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2123AF"/>
    <w:rPr>
      <w:sz w:val="16"/>
      <w:szCs w:val="16"/>
    </w:rPr>
  </w:style>
  <w:style w:type="paragraph" w:styleId="Textocomentario">
    <w:name w:val="annotation text"/>
    <w:basedOn w:val="Normal"/>
    <w:link w:val="TextocomentarioCar"/>
    <w:uiPriority w:val="99"/>
    <w:unhideWhenUsed/>
    <w:rsid w:val="002123AF"/>
    <w:rPr>
      <w:sz w:val="20"/>
      <w:szCs w:val="20"/>
    </w:rPr>
  </w:style>
  <w:style w:type="character" w:customStyle="1" w:styleId="TextocomentarioCar">
    <w:name w:val="Texto comentario Car"/>
    <w:basedOn w:val="Fuentedeprrafopredeter"/>
    <w:link w:val="Textocomentario"/>
    <w:uiPriority w:val="99"/>
    <w:rsid w:val="002123AF"/>
    <w:rPr>
      <w:sz w:val="20"/>
      <w:szCs w:val="20"/>
    </w:rPr>
  </w:style>
  <w:style w:type="paragraph" w:customStyle="1" w:styleId="Bibliografa1">
    <w:name w:val="Bibliografía1"/>
    <w:basedOn w:val="Normal"/>
    <w:link w:val="BibliographyCar"/>
    <w:rsid w:val="002123AF"/>
    <w:pPr>
      <w:tabs>
        <w:tab w:val="left" w:pos="260"/>
      </w:tabs>
      <w:spacing w:after="240"/>
      <w:ind w:left="264" w:hanging="264"/>
      <w:jc w:val="both"/>
    </w:pPr>
    <w:rPr>
      <w:rFonts w:ascii="Arial" w:hAnsi="Arial" w:cs="Arial"/>
      <w:color w:val="FF0000"/>
      <w:lang w:val="en-US"/>
    </w:rPr>
  </w:style>
  <w:style w:type="character" w:customStyle="1" w:styleId="BibliographyCar">
    <w:name w:val="Bibliography Car"/>
    <w:basedOn w:val="Fuentedeprrafopredeter"/>
    <w:link w:val="Bibliografa1"/>
    <w:rsid w:val="002123AF"/>
    <w:rPr>
      <w:rFonts w:ascii="Arial" w:hAnsi="Arial" w:cs="Arial"/>
      <w:color w:val="FF0000"/>
      <w:lang w:val="en-US"/>
    </w:rPr>
  </w:style>
  <w:style w:type="paragraph" w:styleId="Revisin">
    <w:name w:val="Revision"/>
    <w:hidden/>
    <w:uiPriority w:val="99"/>
    <w:semiHidden/>
    <w:rsid w:val="00CA7043"/>
  </w:style>
  <w:style w:type="paragraph" w:styleId="Prrafodelista">
    <w:name w:val="List Paragraph"/>
    <w:basedOn w:val="Normal"/>
    <w:uiPriority w:val="34"/>
    <w:qFormat/>
    <w:rsid w:val="000121F3"/>
    <w:pPr>
      <w:ind w:left="720"/>
      <w:contextualSpacing/>
    </w:pPr>
  </w:style>
  <w:style w:type="table" w:styleId="Tablaconcuadrcula">
    <w:name w:val="Table Grid"/>
    <w:basedOn w:val="Tablanormal"/>
    <w:uiPriority w:val="39"/>
    <w:rsid w:val="0001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44E0B"/>
    <w:rPr>
      <w:color w:val="666666"/>
    </w:rPr>
  </w:style>
  <w:style w:type="character" w:customStyle="1" w:styleId="apple-converted-space">
    <w:name w:val="apple-converted-space"/>
    <w:basedOn w:val="Fuentedeprrafopredeter"/>
    <w:rsid w:val="00AE5849"/>
  </w:style>
  <w:style w:type="character" w:customStyle="1" w:styleId="katex-mathml">
    <w:name w:val="katex-mathml"/>
    <w:basedOn w:val="Fuentedeprrafopredeter"/>
    <w:rsid w:val="00AE5849"/>
  </w:style>
  <w:style w:type="character" w:customStyle="1" w:styleId="mord">
    <w:name w:val="mord"/>
    <w:basedOn w:val="Fuentedeprrafopredeter"/>
    <w:rsid w:val="00AE5849"/>
  </w:style>
  <w:style w:type="character" w:customStyle="1" w:styleId="mtight">
    <w:name w:val="mtight"/>
    <w:basedOn w:val="Fuentedeprrafopredeter"/>
    <w:rsid w:val="00AE5849"/>
  </w:style>
  <w:style w:type="character" w:customStyle="1" w:styleId="vlist-s">
    <w:name w:val="vlist-s"/>
    <w:basedOn w:val="Fuentedeprrafopredeter"/>
    <w:rsid w:val="00AE5849"/>
  </w:style>
  <w:style w:type="character" w:styleId="Textoennegrita">
    <w:name w:val="Strong"/>
    <w:basedOn w:val="Fuentedeprrafopredeter"/>
    <w:uiPriority w:val="22"/>
    <w:qFormat/>
    <w:rsid w:val="00AE58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4706">
      <w:bodyDiv w:val="1"/>
      <w:marLeft w:val="0"/>
      <w:marRight w:val="0"/>
      <w:marTop w:val="0"/>
      <w:marBottom w:val="0"/>
      <w:divBdr>
        <w:top w:val="none" w:sz="0" w:space="0" w:color="auto"/>
        <w:left w:val="none" w:sz="0" w:space="0" w:color="auto"/>
        <w:bottom w:val="none" w:sz="0" w:space="0" w:color="auto"/>
        <w:right w:val="none" w:sz="0" w:space="0" w:color="auto"/>
      </w:divBdr>
    </w:div>
    <w:div w:id="152449545">
      <w:bodyDiv w:val="1"/>
      <w:marLeft w:val="0"/>
      <w:marRight w:val="0"/>
      <w:marTop w:val="0"/>
      <w:marBottom w:val="0"/>
      <w:divBdr>
        <w:top w:val="none" w:sz="0" w:space="0" w:color="auto"/>
        <w:left w:val="none" w:sz="0" w:space="0" w:color="auto"/>
        <w:bottom w:val="none" w:sz="0" w:space="0" w:color="auto"/>
        <w:right w:val="none" w:sz="0" w:space="0" w:color="auto"/>
      </w:divBdr>
    </w:div>
    <w:div w:id="822042893">
      <w:bodyDiv w:val="1"/>
      <w:marLeft w:val="0"/>
      <w:marRight w:val="0"/>
      <w:marTop w:val="0"/>
      <w:marBottom w:val="0"/>
      <w:divBdr>
        <w:top w:val="none" w:sz="0" w:space="0" w:color="auto"/>
        <w:left w:val="none" w:sz="0" w:space="0" w:color="auto"/>
        <w:bottom w:val="none" w:sz="0" w:space="0" w:color="auto"/>
        <w:right w:val="none" w:sz="0" w:space="0" w:color="auto"/>
      </w:divBdr>
    </w:div>
    <w:div w:id="925572347">
      <w:bodyDiv w:val="1"/>
      <w:marLeft w:val="0"/>
      <w:marRight w:val="0"/>
      <w:marTop w:val="0"/>
      <w:marBottom w:val="0"/>
      <w:divBdr>
        <w:top w:val="none" w:sz="0" w:space="0" w:color="auto"/>
        <w:left w:val="none" w:sz="0" w:space="0" w:color="auto"/>
        <w:bottom w:val="none" w:sz="0" w:space="0" w:color="auto"/>
        <w:right w:val="none" w:sz="0" w:space="0" w:color="auto"/>
      </w:divBdr>
    </w:div>
    <w:div w:id="1106927028">
      <w:bodyDiv w:val="1"/>
      <w:marLeft w:val="0"/>
      <w:marRight w:val="0"/>
      <w:marTop w:val="0"/>
      <w:marBottom w:val="0"/>
      <w:divBdr>
        <w:top w:val="none" w:sz="0" w:space="0" w:color="auto"/>
        <w:left w:val="none" w:sz="0" w:space="0" w:color="auto"/>
        <w:bottom w:val="none" w:sz="0" w:space="0" w:color="auto"/>
        <w:right w:val="none" w:sz="0" w:space="0" w:color="auto"/>
      </w:divBdr>
    </w:div>
    <w:div w:id="1291857633">
      <w:bodyDiv w:val="1"/>
      <w:marLeft w:val="0"/>
      <w:marRight w:val="0"/>
      <w:marTop w:val="0"/>
      <w:marBottom w:val="0"/>
      <w:divBdr>
        <w:top w:val="none" w:sz="0" w:space="0" w:color="auto"/>
        <w:left w:val="none" w:sz="0" w:space="0" w:color="auto"/>
        <w:bottom w:val="none" w:sz="0" w:space="0" w:color="auto"/>
        <w:right w:val="none" w:sz="0" w:space="0" w:color="auto"/>
      </w:divBdr>
    </w:div>
    <w:div w:id="2047752086">
      <w:bodyDiv w:val="1"/>
      <w:marLeft w:val="0"/>
      <w:marRight w:val="0"/>
      <w:marTop w:val="0"/>
      <w:marBottom w:val="0"/>
      <w:divBdr>
        <w:top w:val="none" w:sz="0" w:space="0" w:color="auto"/>
        <w:left w:val="none" w:sz="0" w:space="0" w:color="auto"/>
        <w:bottom w:val="none" w:sz="0" w:space="0" w:color="auto"/>
        <w:right w:val="none" w:sz="0" w:space="0" w:color="auto"/>
      </w:divBdr>
      <w:divsChild>
        <w:div w:id="1258057258">
          <w:marLeft w:val="0"/>
          <w:marRight w:val="0"/>
          <w:marTop w:val="0"/>
          <w:marBottom w:val="0"/>
          <w:divBdr>
            <w:top w:val="none" w:sz="0" w:space="0" w:color="auto"/>
            <w:left w:val="none" w:sz="0" w:space="0" w:color="auto"/>
            <w:bottom w:val="none" w:sz="0" w:space="0" w:color="auto"/>
            <w:right w:val="none" w:sz="0" w:space="0" w:color="auto"/>
          </w:divBdr>
          <w:divsChild>
            <w:div w:id="355620655">
              <w:marLeft w:val="0"/>
              <w:marRight w:val="0"/>
              <w:marTop w:val="0"/>
              <w:marBottom w:val="0"/>
              <w:divBdr>
                <w:top w:val="none" w:sz="0" w:space="0" w:color="auto"/>
                <w:left w:val="none" w:sz="0" w:space="0" w:color="auto"/>
                <w:bottom w:val="none" w:sz="0" w:space="0" w:color="auto"/>
                <w:right w:val="none" w:sz="0" w:space="0" w:color="auto"/>
              </w:divBdr>
              <w:divsChild>
                <w:div w:id="1871608711">
                  <w:marLeft w:val="0"/>
                  <w:marRight w:val="0"/>
                  <w:marTop w:val="0"/>
                  <w:marBottom w:val="0"/>
                  <w:divBdr>
                    <w:top w:val="none" w:sz="0" w:space="0" w:color="auto"/>
                    <w:left w:val="none" w:sz="0" w:space="0" w:color="auto"/>
                    <w:bottom w:val="none" w:sz="0" w:space="0" w:color="auto"/>
                    <w:right w:val="none" w:sz="0" w:space="0" w:color="auto"/>
                  </w:divBdr>
                  <w:divsChild>
                    <w:div w:id="20820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4015</Words>
  <Characters>22084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Alberto Mejia Salgado</dc:creator>
  <cp:keywords/>
  <dc:description/>
  <cp:lastModifiedBy>German Alberto Mejia Salgado</cp:lastModifiedBy>
  <cp:revision>22</cp:revision>
  <dcterms:created xsi:type="dcterms:W3CDTF">2024-10-23T13:58:00Z</dcterms:created>
  <dcterms:modified xsi:type="dcterms:W3CDTF">2026-05-01T02:51:00Z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id="HShkTWRc"/&gt;&lt;style id="http://www.zotero.org/styles/vancouver" locale="es-ES" hasBibliography="1" bibliographyStyleHasBeenSet="1"/&gt;&lt;prefs&gt;&lt;pref name="fieldType" value="Field"/&gt;&lt;/prefs&gt;&lt;/data&gt;</vt:lpwstr>
  </property>
</Properties>
</file>