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6C860" w14:textId="77777777" w:rsidR="00860837" w:rsidRPr="00263A55" w:rsidRDefault="00860837" w:rsidP="00860837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Supplementary table</w:t>
      </w:r>
      <w:r w:rsidRPr="00263A55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1</w:t>
      </w:r>
      <w:r w:rsidRPr="00263A55">
        <w:rPr>
          <w:rFonts w:asciiTheme="majorBidi" w:hAnsiTheme="majorBidi" w:cstheme="majorBidi"/>
          <w:lang w:val="en-US"/>
        </w:rPr>
        <w:t>. Revie</w:t>
      </w:r>
      <w:r>
        <w:rPr>
          <w:rFonts w:asciiTheme="majorBidi" w:hAnsiTheme="majorBidi" w:cstheme="majorBidi"/>
          <w:lang w:val="en-US"/>
        </w:rPr>
        <w:t>w</w:t>
      </w:r>
      <w:r w:rsidRPr="00263A55">
        <w:rPr>
          <w:rFonts w:asciiTheme="majorBidi" w:hAnsiTheme="majorBidi" w:cstheme="majorBidi"/>
          <w:lang w:val="en-US"/>
        </w:rPr>
        <w:t xml:space="preserve"> of </w:t>
      </w:r>
      <w:r w:rsidRPr="00263A55">
        <w:rPr>
          <w:rFonts w:asciiTheme="majorBidi" w:hAnsiTheme="majorBidi" w:cstheme="majorBidi"/>
        </w:rPr>
        <w:t>studies</w:t>
      </w:r>
      <w:r w:rsidRPr="00263A55">
        <w:rPr>
          <w:rFonts w:asciiTheme="majorBidi" w:hAnsiTheme="majorBidi" w:cstheme="majorBidi"/>
          <w:lang w:val="en-US"/>
        </w:rPr>
        <w:t xml:space="preserve"> on the </w:t>
      </w:r>
      <w:r w:rsidRPr="00263A55">
        <w:rPr>
          <w:rFonts w:asciiTheme="majorBidi" w:hAnsiTheme="majorBidi" w:cstheme="majorBidi"/>
        </w:rPr>
        <w:t xml:space="preserve">impact of </w:t>
      </w:r>
      <w:r w:rsidRPr="00263A55">
        <w:rPr>
          <w:rFonts w:asciiTheme="majorBidi" w:hAnsiTheme="majorBidi" w:cstheme="majorBidi"/>
          <w:lang w:val="en-US"/>
        </w:rPr>
        <w:t>PPV</w:t>
      </w:r>
      <w:r w:rsidRPr="00263A55">
        <w:rPr>
          <w:rFonts w:asciiTheme="majorBidi" w:hAnsiTheme="majorBidi" w:cstheme="majorBidi"/>
        </w:rPr>
        <w:t xml:space="preserve"> on of post-operative dry eye disease</w:t>
      </w:r>
      <w:r w:rsidRPr="00263A55">
        <w:rPr>
          <w:rFonts w:asciiTheme="majorBidi" w:hAnsiTheme="majorBidi" w:cstheme="majorBidi"/>
          <w:lang w:val="en-US"/>
        </w:rPr>
        <w:t xml:space="preserve"> and </w:t>
      </w:r>
      <w:r w:rsidRPr="00263A55">
        <w:rPr>
          <w:rFonts w:asciiTheme="majorBidi" w:hAnsiTheme="majorBidi" w:cstheme="majorBidi"/>
        </w:rPr>
        <w:t xml:space="preserve">ocular surface integrity  </w:t>
      </w:r>
      <w:r w:rsidRPr="00263A55">
        <w:rPr>
          <w:rFonts w:asciiTheme="majorBidi" w:hAnsiTheme="majorBidi" w:cstheme="majorBidi"/>
          <w:lang w:val="en-US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55"/>
        <w:gridCol w:w="2022"/>
        <w:gridCol w:w="1172"/>
        <w:gridCol w:w="2061"/>
        <w:gridCol w:w="1802"/>
        <w:gridCol w:w="2610"/>
        <w:gridCol w:w="2436"/>
        <w:gridCol w:w="1132"/>
      </w:tblGrid>
      <w:tr w:rsidR="00860837" w:rsidRPr="00263A55" w14:paraId="3774DCEE" w14:textId="77777777" w:rsidTr="00765EC5">
        <w:trPr>
          <w:jc w:val="center"/>
        </w:trPr>
        <w:tc>
          <w:tcPr>
            <w:tcW w:w="0" w:type="auto"/>
          </w:tcPr>
          <w:p w14:paraId="72B1BF79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3A55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Study (Author / Year)</w:t>
            </w:r>
          </w:p>
        </w:tc>
        <w:tc>
          <w:tcPr>
            <w:tcW w:w="0" w:type="auto"/>
          </w:tcPr>
          <w:p w14:paraId="280B726E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3A55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Design</w:t>
            </w:r>
          </w:p>
        </w:tc>
        <w:tc>
          <w:tcPr>
            <w:tcW w:w="0" w:type="auto"/>
          </w:tcPr>
          <w:p w14:paraId="5A31A7F9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Sample Size</w:t>
            </w:r>
          </w:p>
        </w:tc>
        <w:tc>
          <w:tcPr>
            <w:tcW w:w="0" w:type="auto"/>
          </w:tcPr>
          <w:p w14:paraId="3E05D645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Population</w:t>
            </w:r>
          </w:p>
        </w:tc>
        <w:tc>
          <w:tcPr>
            <w:tcW w:w="0" w:type="auto"/>
          </w:tcPr>
          <w:p w14:paraId="00F9F49B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Outcome Measures</w:t>
            </w:r>
          </w:p>
        </w:tc>
        <w:tc>
          <w:tcPr>
            <w:tcW w:w="0" w:type="auto"/>
          </w:tcPr>
          <w:p w14:paraId="10298221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Key Findings</w:t>
            </w:r>
          </w:p>
        </w:tc>
        <w:tc>
          <w:tcPr>
            <w:tcW w:w="0" w:type="auto"/>
          </w:tcPr>
          <w:p w14:paraId="2371D8B9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Limitations</w:t>
            </w:r>
          </w:p>
          <w:p w14:paraId="6194010B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05F8DE4D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Level of Evidence</w:t>
            </w:r>
            <w:r w:rsidRPr="00263A55">
              <w:rPr>
                <w:rStyle w:val="FootnoteReference"/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860837" w:rsidRPr="00263A55" w14:paraId="70BC2E77" w14:textId="77777777" w:rsidTr="00765EC5">
        <w:trPr>
          <w:jc w:val="center"/>
        </w:trPr>
        <w:tc>
          <w:tcPr>
            <w:tcW w:w="0" w:type="auto"/>
          </w:tcPr>
          <w:p w14:paraId="194C6FB4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Du et al., 2023</w:t>
            </w:r>
          </w:p>
        </w:tc>
        <w:tc>
          <w:tcPr>
            <w:tcW w:w="0" w:type="auto"/>
          </w:tcPr>
          <w:p w14:paraId="24660CAE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Retrospective case-control</w:t>
            </w:r>
          </w:p>
        </w:tc>
        <w:tc>
          <w:tcPr>
            <w:tcW w:w="0" w:type="auto"/>
          </w:tcPr>
          <w:p w14:paraId="7A014334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 xml:space="preserve">107 </w:t>
            </w:r>
          </w:p>
        </w:tc>
        <w:tc>
          <w:tcPr>
            <w:tcW w:w="0" w:type="auto"/>
          </w:tcPr>
          <w:p w14:paraId="1D7C137C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DM2 patients</w:t>
            </w:r>
          </w:p>
        </w:tc>
        <w:tc>
          <w:tcPr>
            <w:tcW w:w="0" w:type="auto"/>
          </w:tcPr>
          <w:p w14:paraId="3C043D9C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NITBUT, TMH, Schirmer I,  corneal flourescein, OSDI</w:t>
            </w:r>
          </w:p>
        </w:tc>
        <w:tc>
          <w:tcPr>
            <w:tcW w:w="0" w:type="auto"/>
          </w:tcPr>
          <w:p w14:paraId="09BC610B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 xml:space="preserve">Prevalence of DED was 55 %. RFs: female,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duration</w:t>
            </w:r>
            <w:r w:rsidRPr="00263A55">
              <w:rPr>
                <w:rFonts w:asciiTheme="majorBidi" w:hAnsiTheme="majorBidi" w:cstheme="majorBidi"/>
                <w:sz w:val="20"/>
                <w:szCs w:val="20"/>
              </w:rPr>
              <w:t xml:space="preserve"> of DM, high HbA1c. Treatment improved tear-film quality</w:t>
            </w:r>
          </w:p>
        </w:tc>
        <w:tc>
          <w:tcPr>
            <w:tcW w:w="0" w:type="auto"/>
          </w:tcPr>
          <w:p w14:paraId="1AE38E88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Only patients with DM</w:t>
            </w:r>
          </w:p>
        </w:tc>
        <w:tc>
          <w:tcPr>
            <w:tcW w:w="0" w:type="auto"/>
          </w:tcPr>
          <w:p w14:paraId="26DFBF57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II+</w:t>
            </w:r>
          </w:p>
        </w:tc>
      </w:tr>
      <w:tr w:rsidR="00860837" w:rsidRPr="00263A55" w14:paraId="6A9B925C" w14:textId="77777777" w:rsidTr="00765EC5">
        <w:trPr>
          <w:jc w:val="center"/>
        </w:trPr>
        <w:tc>
          <w:tcPr>
            <w:tcW w:w="0" w:type="auto"/>
          </w:tcPr>
          <w:p w14:paraId="7E4F7E77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Liu et al., 2023</w:t>
            </w:r>
          </w:p>
        </w:tc>
        <w:tc>
          <w:tcPr>
            <w:tcW w:w="0" w:type="auto"/>
          </w:tcPr>
          <w:p w14:paraId="4AB3A95E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Prospective, randomized</w:t>
            </w:r>
          </w:p>
        </w:tc>
        <w:tc>
          <w:tcPr>
            <w:tcW w:w="0" w:type="auto"/>
          </w:tcPr>
          <w:p w14:paraId="69756B04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40 </w:t>
            </w:r>
          </w:p>
        </w:tc>
        <w:tc>
          <w:tcPr>
            <w:tcW w:w="0" w:type="auto"/>
          </w:tcPr>
          <w:p w14:paraId="5897598F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preoperative MGD dry eye, undergoing phacovitrectomy</w:t>
            </w:r>
          </w:p>
        </w:tc>
        <w:tc>
          <w:tcPr>
            <w:tcW w:w="0" w:type="auto"/>
          </w:tcPr>
          <w:p w14:paraId="4153AC60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NITBUT, TMH, MGL, LLT, PBR</w:t>
            </w:r>
          </w:p>
        </w:tc>
        <w:tc>
          <w:tcPr>
            <w:tcW w:w="0" w:type="auto"/>
          </w:tcPr>
          <w:p w14:paraId="4208A828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Transient increase in DED signs postoperatively. Pre and postoperative treatment improved tear-flim stability</w:t>
            </w:r>
          </w:p>
        </w:tc>
        <w:tc>
          <w:tcPr>
            <w:tcW w:w="0" w:type="auto"/>
          </w:tcPr>
          <w:p w14:paraId="6127D2BB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he-IL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Patients with known preoperative DED, combined surgery,  symptoms were not addressed</w:t>
            </w:r>
          </w:p>
        </w:tc>
        <w:tc>
          <w:tcPr>
            <w:tcW w:w="0" w:type="auto"/>
          </w:tcPr>
          <w:p w14:paraId="4FCC45B8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I+</w:t>
            </w:r>
          </w:p>
        </w:tc>
      </w:tr>
      <w:tr w:rsidR="00860837" w:rsidRPr="00263A55" w14:paraId="760A973B" w14:textId="77777777" w:rsidTr="00765EC5">
        <w:trPr>
          <w:jc w:val="center"/>
        </w:trPr>
        <w:tc>
          <w:tcPr>
            <w:tcW w:w="0" w:type="auto"/>
          </w:tcPr>
          <w:p w14:paraId="6D4AD08D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Nawrocka et al., 2023</w:t>
            </w:r>
          </w:p>
        </w:tc>
        <w:tc>
          <w:tcPr>
            <w:tcW w:w="0" w:type="auto"/>
          </w:tcPr>
          <w:p w14:paraId="6A2F9819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Prospective observational cohort</w:t>
            </w:r>
          </w:p>
        </w:tc>
        <w:tc>
          <w:tcPr>
            <w:tcW w:w="0" w:type="auto"/>
          </w:tcPr>
          <w:p w14:paraId="3EEAE00F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0" w:type="auto"/>
          </w:tcPr>
          <w:p w14:paraId="53A26548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24 vitrictomized eyes vs. 24 fellow eyes as controls. Non-diabetic patients</w:t>
            </w:r>
          </w:p>
        </w:tc>
        <w:tc>
          <w:tcPr>
            <w:tcW w:w="0" w:type="auto"/>
          </w:tcPr>
          <w:p w14:paraId="18146016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NIBUT, LLT, MGL, TMH</w:t>
            </w:r>
          </w:p>
        </w:tc>
        <w:tc>
          <w:tcPr>
            <w:tcW w:w="0" w:type="auto"/>
          </w:tcPr>
          <w:p w14:paraId="60B6F92B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Reduced NIBUT 12 months postoperatively.</w:t>
            </w:r>
          </w:p>
          <w:p w14:paraId="6681C3E8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 xml:space="preserve">MGL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is </w:t>
            </w:r>
            <w:r w:rsidRPr="00263A55">
              <w:rPr>
                <w:rFonts w:asciiTheme="majorBidi" w:hAnsiTheme="majorBidi" w:cstheme="majorBidi"/>
                <w:sz w:val="20"/>
                <w:szCs w:val="20"/>
              </w:rPr>
              <w:t xml:space="preserve">associated with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a </w:t>
            </w:r>
            <w:r w:rsidRPr="00263A55">
              <w:rPr>
                <w:rFonts w:asciiTheme="majorBidi" w:hAnsiTheme="majorBidi" w:cstheme="majorBidi"/>
                <w:sz w:val="20"/>
                <w:szCs w:val="20"/>
              </w:rPr>
              <w:t>greater NIBUT drop</w:t>
            </w:r>
          </w:p>
        </w:tc>
        <w:tc>
          <w:tcPr>
            <w:tcW w:w="0" w:type="auto"/>
          </w:tcPr>
          <w:p w14:paraId="1B457A98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Symptoms</w:t>
            </w:r>
            <w:r w:rsidRPr="00263A55">
              <w:rPr>
                <w:rFonts w:asciiTheme="majorBidi" w:hAnsiTheme="majorBidi" w:cstheme="majorBidi"/>
                <w:sz w:val="20"/>
                <w:szCs w:val="20"/>
              </w:rPr>
              <w:t xml:space="preserve"> were not addressed, small sample (24 patients)</w:t>
            </w:r>
          </w:p>
        </w:tc>
        <w:tc>
          <w:tcPr>
            <w:tcW w:w="0" w:type="auto"/>
          </w:tcPr>
          <w:p w14:paraId="537CCE7E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II+</w:t>
            </w:r>
          </w:p>
        </w:tc>
      </w:tr>
      <w:tr w:rsidR="00860837" w:rsidRPr="00263A55" w14:paraId="3EF6A4CE" w14:textId="77777777" w:rsidTr="00765EC5">
        <w:trPr>
          <w:jc w:val="center"/>
        </w:trPr>
        <w:tc>
          <w:tcPr>
            <w:tcW w:w="0" w:type="auto"/>
          </w:tcPr>
          <w:p w14:paraId="0F589C03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Yang et al., 2020</w:t>
            </w:r>
          </w:p>
        </w:tc>
        <w:tc>
          <w:tcPr>
            <w:tcW w:w="0" w:type="auto"/>
          </w:tcPr>
          <w:p w14:paraId="5565D004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 xml:space="preserve">Retrospective cohort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was </w:t>
            </w:r>
            <w:r w:rsidRPr="00263A55">
              <w:rPr>
                <w:rFonts w:asciiTheme="majorBidi" w:hAnsiTheme="majorBidi" w:cstheme="majorBidi"/>
                <w:sz w:val="20"/>
                <w:szCs w:val="20"/>
              </w:rPr>
              <w:t xml:space="preserve">used to measure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the </w:t>
            </w:r>
            <w:r w:rsidRPr="00263A55">
              <w:rPr>
                <w:rFonts w:asciiTheme="majorBidi" w:hAnsiTheme="majorBidi" w:cstheme="majorBidi"/>
                <w:sz w:val="20"/>
                <w:szCs w:val="20"/>
              </w:rPr>
              <w:t>diagnostic utility of AI models (LR and ANN)</w:t>
            </w:r>
          </w:p>
        </w:tc>
        <w:tc>
          <w:tcPr>
            <w:tcW w:w="0" w:type="auto"/>
          </w:tcPr>
          <w:p w14:paraId="3DEA1ABF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217 training + 33 validation</w:t>
            </w:r>
          </w:p>
        </w:tc>
        <w:tc>
          <w:tcPr>
            <w:tcW w:w="0" w:type="auto"/>
          </w:tcPr>
          <w:p w14:paraId="5910DD70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Vitrectomized</w:t>
            </w:r>
            <w:r w:rsidRPr="00263A55">
              <w:rPr>
                <w:rFonts w:asciiTheme="majorBidi" w:hAnsiTheme="majorBidi" w:cstheme="majorBidi"/>
                <w:sz w:val="20"/>
                <w:szCs w:val="20"/>
              </w:rPr>
              <w:t xml:space="preserve"> patients without DED history</w:t>
            </w:r>
          </w:p>
        </w:tc>
        <w:tc>
          <w:tcPr>
            <w:tcW w:w="0" w:type="auto"/>
          </w:tcPr>
          <w:p w14:paraId="770BF989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AUC for each method to predict postvitrectomy DED</w:t>
            </w:r>
          </w:p>
        </w:tc>
        <w:tc>
          <w:tcPr>
            <w:tcW w:w="0" w:type="auto"/>
          </w:tcPr>
          <w:p w14:paraId="2170F388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 xml:space="preserve">Both methods had satisfactory predictive performance; RFs for postoperative DED: age, smoking, exposure to screens,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and </w:t>
            </w:r>
            <w:r w:rsidRPr="00263A55">
              <w:rPr>
                <w:rFonts w:asciiTheme="majorBidi" w:hAnsiTheme="majorBidi" w:cstheme="majorBidi"/>
                <w:sz w:val="20"/>
                <w:szCs w:val="20"/>
              </w:rPr>
              <w:t>preoperative NIBUT</w:t>
            </w:r>
          </w:p>
        </w:tc>
        <w:tc>
          <w:tcPr>
            <w:tcW w:w="0" w:type="auto"/>
          </w:tcPr>
          <w:p w14:paraId="053B7E81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Main focus is the predictive ability of models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263A55">
              <w:rPr>
                <w:rFonts w:asciiTheme="majorBidi" w:hAnsiTheme="majorBidi" w:cstheme="majorBidi"/>
                <w:sz w:val="20"/>
                <w:szCs w:val="20"/>
              </w:rPr>
              <w:t xml:space="preserve"> thus insufficient information about epidemiology, diagnosis and signs or symptoms of DED</w:t>
            </w:r>
          </w:p>
        </w:tc>
        <w:tc>
          <w:tcPr>
            <w:tcW w:w="0" w:type="auto"/>
          </w:tcPr>
          <w:p w14:paraId="5670C306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II-</w:t>
            </w:r>
          </w:p>
        </w:tc>
      </w:tr>
      <w:tr w:rsidR="00860837" w:rsidRPr="00263A55" w14:paraId="2FD756B4" w14:textId="77777777" w:rsidTr="00765EC5">
        <w:trPr>
          <w:jc w:val="center"/>
        </w:trPr>
        <w:tc>
          <w:tcPr>
            <w:tcW w:w="0" w:type="auto"/>
          </w:tcPr>
          <w:p w14:paraId="171D54B2" w14:textId="77777777" w:rsidR="00860837" w:rsidRPr="00263A55" w:rsidRDefault="00860837" w:rsidP="00765EC5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263A5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Mani et al., 2020</w:t>
            </w:r>
          </w:p>
        </w:tc>
        <w:tc>
          <w:tcPr>
            <w:tcW w:w="0" w:type="auto"/>
          </w:tcPr>
          <w:p w14:paraId="5B46ECAE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Prospective observational</w:t>
            </w:r>
          </w:p>
        </w:tc>
        <w:tc>
          <w:tcPr>
            <w:tcW w:w="0" w:type="auto"/>
          </w:tcPr>
          <w:p w14:paraId="4AF2BC02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14:paraId="5D2368AC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Post-vitrectomy or scleral buckle</w:t>
            </w:r>
          </w:p>
        </w:tc>
        <w:tc>
          <w:tcPr>
            <w:tcW w:w="0" w:type="auto"/>
          </w:tcPr>
          <w:p w14:paraId="3273876B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color w:val="202020"/>
                <w:sz w:val="20"/>
                <w:szCs w:val="20"/>
                <w:shd w:val="clear" w:color="auto" w:fill="FFFFFF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 xml:space="preserve">Subjective: </w:t>
            </w:r>
            <w:r w:rsidRPr="00263A55">
              <w:rPr>
                <w:rFonts w:asciiTheme="majorBidi" w:hAnsiTheme="majorBidi" w:cstheme="majorBidi"/>
                <w:color w:val="202020"/>
                <w:sz w:val="20"/>
                <w:szCs w:val="20"/>
                <w:shd w:val="clear" w:color="auto" w:fill="FFFFFF"/>
              </w:rPr>
              <w:t>McMonnies questionnaire</w:t>
            </w:r>
          </w:p>
          <w:p w14:paraId="151EF428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color w:val="202020"/>
                <w:sz w:val="20"/>
                <w:szCs w:val="20"/>
                <w:shd w:val="clear" w:color="auto" w:fill="FFFFFF"/>
              </w:rPr>
            </w:pPr>
            <w:r w:rsidRPr="00263A55">
              <w:rPr>
                <w:rFonts w:asciiTheme="majorBidi" w:hAnsiTheme="majorBidi" w:cstheme="majorBidi"/>
                <w:color w:val="202020"/>
                <w:sz w:val="20"/>
                <w:szCs w:val="20"/>
                <w:shd w:val="clear" w:color="auto" w:fill="FFFFFF"/>
              </w:rPr>
              <w:t>Clinical: Schirmer, TO, TMH, TBUT, conjunctival staining</w:t>
            </w:r>
          </w:p>
          <w:p w14:paraId="5F8965AA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Laboratory: tear cytokines, aquaporins, GCD</w:t>
            </w:r>
          </w:p>
        </w:tc>
        <w:tc>
          <w:tcPr>
            <w:tcW w:w="0" w:type="auto"/>
          </w:tcPr>
          <w:p w14:paraId="350E215F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No clinical signs of DED.</w:t>
            </w:r>
          </w:p>
          <w:p w14:paraId="7A230197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Reduced GCD.</w:t>
            </w:r>
          </w:p>
          <w:p w14:paraId="2C00F405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 xml:space="preserve">Altered cytokines and aquaporins </w:t>
            </w:r>
          </w:p>
        </w:tc>
        <w:tc>
          <w:tcPr>
            <w:tcW w:w="0" w:type="auto"/>
          </w:tcPr>
          <w:p w14:paraId="3B9E2887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 xml:space="preserve">No correlation with DED signs or symptoms. Small sample size. </w:t>
            </w:r>
          </w:p>
          <w:p w14:paraId="3D858C2C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Analysis of bukcle and vitrectomy</w:t>
            </w:r>
          </w:p>
        </w:tc>
        <w:tc>
          <w:tcPr>
            <w:tcW w:w="0" w:type="auto"/>
          </w:tcPr>
          <w:p w14:paraId="475F589D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</w:tr>
      <w:tr w:rsidR="00860837" w:rsidRPr="00263A55" w14:paraId="30C39044" w14:textId="77777777" w:rsidTr="00765EC5">
        <w:trPr>
          <w:jc w:val="center"/>
        </w:trPr>
        <w:tc>
          <w:tcPr>
            <w:tcW w:w="0" w:type="auto"/>
          </w:tcPr>
          <w:p w14:paraId="7325FECB" w14:textId="77777777" w:rsidR="00860837" w:rsidRPr="00263A55" w:rsidRDefault="00860837" w:rsidP="00765EC5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263A5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Hwang et al. 2023</w:t>
            </w:r>
          </w:p>
        </w:tc>
        <w:tc>
          <w:tcPr>
            <w:tcW w:w="0" w:type="auto"/>
          </w:tcPr>
          <w:p w14:paraId="13ACB5EC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Prospective Observational</w:t>
            </w:r>
          </w:p>
        </w:tc>
        <w:tc>
          <w:tcPr>
            <w:tcW w:w="0" w:type="auto"/>
          </w:tcPr>
          <w:p w14:paraId="63CBE218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83 patients</w:t>
            </w:r>
          </w:p>
        </w:tc>
        <w:tc>
          <w:tcPr>
            <w:tcW w:w="0" w:type="auto"/>
          </w:tcPr>
          <w:p w14:paraId="1FAD97E0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Phaco vs. PPV vs. phaco-vitrectomy</w:t>
            </w:r>
          </w:p>
        </w:tc>
        <w:tc>
          <w:tcPr>
            <w:tcW w:w="0" w:type="auto"/>
          </w:tcPr>
          <w:p w14:paraId="61A82817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NIBUT, TMH</w:t>
            </w:r>
          </w:p>
        </w:tc>
        <w:tc>
          <w:tcPr>
            <w:tcW w:w="0" w:type="auto"/>
          </w:tcPr>
          <w:p w14:paraId="0B16F1A5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 xml:space="preserve">Longer and more severe DED in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PPV</w:t>
            </w:r>
            <w:r w:rsidRPr="00263A55">
              <w:rPr>
                <w:rFonts w:asciiTheme="majorBidi" w:hAnsiTheme="majorBidi" w:cstheme="majorBidi"/>
                <w:sz w:val="20"/>
                <w:szCs w:val="20"/>
              </w:rPr>
              <w:t xml:space="preserve"> groups</w:t>
            </w:r>
          </w:p>
        </w:tc>
        <w:tc>
          <w:tcPr>
            <w:tcW w:w="0" w:type="auto"/>
          </w:tcPr>
          <w:p w14:paraId="0A410104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Symptoms were not addressed</w:t>
            </w:r>
          </w:p>
        </w:tc>
        <w:tc>
          <w:tcPr>
            <w:tcW w:w="0" w:type="auto"/>
          </w:tcPr>
          <w:p w14:paraId="7AD0A129" w14:textId="77777777" w:rsidR="00860837" w:rsidRPr="00263A55" w:rsidRDefault="00860837" w:rsidP="00765EC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</w:tr>
      <w:tr w:rsidR="00860837" w:rsidRPr="00263A55" w14:paraId="764EB565" w14:textId="77777777" w:rsidTr="00765EC5">
        <w:trPr>
          <w:jc w:val="center"/>
        </w:trPr>
        <w:tc>
          <w:tcPr>
            <w:tcW w:w="0" w:type="auto"/>
            <w:gridSpan w:val="8"/>
          </w:tcPr>
          <w:p w14:paraId="5982499B" w14:textId="77777777" w:rsidR="00860837" w:rsidRPr="00263A55" w:rsidRDefault="00860837" w:rsidP="00765EC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Fonts w:asciiTheme="majorBidi" w:hAnsiTheme="majorBidi" w:cstheme="majorBidi"/>
                <w:sz w:val="20"/>
                <w:szCs w:val="20"/>
              </w:rPr>
              <w:t xml:space="preserve">AI= artificial intelligence; ANN= artificial neural networks; AUC= area under the curve; DED= dry eye disease;  DM2= Diabetes Mellitus type2; GCD= goblet cell density; HbA1c= Hemoblobin A1c;  LLT= lipid layer thickness; LR= logistic regression; MGD= meibomian gkand dysfunction; MGL= meibomian gland loss; NITBUT= non-invasive tear break-up time; PBR= partial blink rate; RF: risk factors; TBUT= tear break-up time; TO= tear osmolarity; TMH= tear meniscus height; </w:t>
            </w:r>
          </w:p>
        </w:tc>
      </w:tr>
      <w:tr w:rsidR="00860837" w:rsidRPr="00263A55" w14:paraId="6B12E5A7" w14:textId="77777777" w:rsidTr="00765EC5">
        <w:trPr>
          <w:jc w:val="center"/>
        </w:trPr>
        <w:tc>
          <w:tcPr>
            <w:tcW w:w="0" w:type="auto"/>
            <w:gridSpan w:val="8"/>
          </w:tcPr>
          <w:p w14:paraId="4491C7B9" w14:textId="77777777" w:rsidR="00860837" w:rsidRPr="00263A55" w:rsidRDefault="00860837" w:rsidP="00765EC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63A55">
              <w:rPr>
                <w:rStyle w:val="FootnoteReference"/>
                <w:rFonts w:asciiTheme="majorBidi" w:hAnsiTheme="majorBidi" w:cstheme="majorBidi"/>
                <w:sz w:val="20"/>
                <w:szCs w:val="20"/>
              </w:rPr>
              <w:t>a</w:t>
            </w:r>
            <w:r w:rsidRPr="00263A55">
              <w:rPr>
                <w:rFonts w:asciiTheme="majorBidi" w:hAnsiTheme="majorBidi" w:cstheme="majorBidi"/>
                <w:sz w:val="20"/>
                <w:szCs w:val="20"/>
              </w:rPr>
              <w:t xml:space="preserve">- </w:t>
            </w:r>
            <w:r w:rsidRPr="00263A55">
              <w:rPr>
                <w:rFonts w:asciiTheme="majorBidi" w:hAnsiTheme="majorBidi" w:cstheme="majorBidi"/>
                <w:kern w:val="0"/>
                <w:sz w:val="20"/>
                <w:szCs w:val="20"/>
              </w:rPr>
              <w:t>Strength of evidence was graded using the Scottish Intercollegiate Guideline Network (SIGN) assessment system for individual studies</w:t>
            </w:r>
          </w:p>
          <w:p w14:paraId="27A7CA91" w14:textId="77777777" w:rsidR="00860837" w:rsidRPr="00263A55" w:rsidRDefault="00860837" w:rsidP="00765EC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4F0134B9" w14:textId="77777777" w:rsidR="00860837" w:rsidRPr="00263A55" w:rsidRDefault="00860837" w:rsidP="00860837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0305114A" w14:textId="483C3F56" w:rsidR="00263A55" w:rsidRPr="00263A55" w:rsidRDefault="00263A55">
      <w:pPr>
        <w:rPr>
          <w:rFonts w:asciiTheme="majorBidi" w:hAnsiTheme="majorBidi" w:cstheme="majorBidi"/>
          <w:sz w:val="20"/>
          <w:szCs w:val="20"/>
          <w:lang w:val="en-US"/>
        </w:rPr>
      </w:pPr>
    </w:p>
    <w:sectPr w:rsidR="00263A55" w:rsidRPr="00263A55" w:rsidSect="00263A55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F39AF" w14:textId="77777777" w:rsidR="00AC71C4" w:rsidRDefault="00AC71C4" w:rsidP="00C65AFE">
      <w:pPr>
        <w:spacing w:after="0" w:line="240" w:lineRule="auto"/>
      </w:pPr>
      <w:r>
        <w:separator/>
      </w:r>
    </w:p>
  </w:endnote>
  <w:endnote w:type="continuationSeparator" w:id="0">
    <w:p w14:paraId="6C8650CC" w14:textId="77777777" w:rsidR="00AC71C4" w:rsidRDefault="00AC71C4" w:rsidP="00C65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EFB07" w14:textId="77777777" w:rsidR="00AC71C4" w:rsidRDefault="00AC71C4" w:rsidP="00C65AFE">
      <w:pPr>
        <w:spacing w:after="0" w:line="240" w:lineRule="auto"/>
      </w:pPr>
      <w:r>
        <w:separator/>
      </w:r>
    </w:p>
  </w:footnote>
  <w:footnote w:type="continuationSeparator" w:id="0">
    <w:p w14:paraId="11EFC913" w14:textId="77777777" w:rsidR="00AC71C4" w:rsidRDefault="00AC71C4" w:rsidP="00C65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C2712"/>
    <w:multiLevelType w:val="hybridMultilevel"/>
    <w:tmpl w:val="B8E25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B64EE"/>
    <w:multiLevelType w:val="hybridMultilevel"/>
    <w:tmpl w:val="DD7A48F8"/>
    <w:lvl w:ilvl="0" w:tplc="137A6CA8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412994">
    <w:abstractNumId w:val="0"/>
  </w:num>
  <w:num w:numId="2" w16cid:durableId="1165121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3B"/>
    <w:rsid w:val="00054279"/>
    <w:rsid w:val="000A49CB"/>
    <w:rsid w:val="000B179E"/>
    <w:rsid w:val="001661FB"/>
    <w:rsid w:val="00263A55"/>
    <w:rsid w:val="002F6FC8"/>
    <w:rsid w:val="003453B9"/>
    <w:rsid w:val="003B44E0"/>
    <w:rsid w:val="003B60E7"/>
    <w:rsid w:val="00536CF4"/>
    <w:rsid w:val="00602557"/>
    <w:rsid w:val="0068395F"/>
    <w:rsid w:val="00725734"/>
    <w:rsid w:val="007311AA"/>
    <w:rsid w:val="00744C9B"/>
    <w:rsid w:val="007563AA"/>
    <w:rsid w:val="00782FA7"/>
    <w:rsid w:val="00822233"/>
    <w:rsid w:val="0083270E"/>
    <w:rsid w:val="00851B77"/>
    <w:rsid w:val="00860837"/>
    <w:rsid w:val="009155EB"/>
    <w:rsid w:val="00954BBC"/>
    <w:rsid w:val="00977EC0"/>
    <w:rsid w:val="00A15A22"/>
    <w:rsid w:val="00A80FD8"/>
    <w:rsid w:val="00AA57B9"/>
    <w:rsid w:val="00AC71C4"/>
    <w:rsid w:val="00B11A57"/>
    <w:rsid w:val="00B72F3B"/>
    <w:rsid w:val="00C43C44"/>
    <w:rsid w:val="00C65AFE"/>
    <w:rsid w:val="00CB7BB8"/>
    <w:rsid w:val="00CD0C34"/>
    <w:rsid w:val="00CD5311"/>
    <w:rsid w:val="00CE7598"/>
    <w:rsid w:val="00D86BC2"/>
    <w:rsid w:val="00DB1ABB"/>
    <w:rsid w:val="00DC4436"/>
    <w:rsid w:val="00DE1F80"/>
    <w:rsid w:val="00DF52F6"/>
    <w:rsid w:val="00EA289F"/>
    <w:rsid w:val="00EF34BA"/>
    <w:rsid w:val="00F0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82FF34"/>
  <w15:chartTrackingRefBased/>
  <w15:docId w15:val="{96243FB2-E656-6F44-BAE5-9FFA6604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837"/>
    <w:rPr>
      <w:lang w:val="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L"/>
    </w:rPr>
  </w:style>
  <w:style w:type="character" w:customStyle="1" w:styleId="TitleChar">
    <w:name w:val="Title Char"/>
    <w:basedOn w:val="DefaultParagraphFont"/>
    <w:link w:val="Title"/>
    <w:uiPriority w:val="10"/>
    <w:rsid w:val="00B72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L"/>
    </w:rPr>
  </w:style>
  <w:style w:type="character" w:customStyle="1" w:styleId="SubtitleChar">
    <w:name w:val="Subtitle Char"/>
    <w:basedOn w:val="DefaultParagraphFont"/>
    <w:link w:val="Subtitle"/>
    <w:uiPriority w:val="11"/>
    <w:rsid w:val="00B72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F3B"/>
    <w:pPr>
      <w:spacing w:before="160"/>
      <w:jc w:val="center"/>
    </w:pPr>
    <w:rPr>
      <w:i/>
      <w:iCs/>
      <w:color w:val="404040" w:themeColor="text1" w:themeTint="BF"/>
      <w:lang w:val="en-IL"/>
    </w:rPr>
  </w:style>
  <w:style w:type="character" w:customStyle="1" w:styleId="QuoteChar">
    <w:name w:val="Quote Char"/>
    <w:basedOn w:val="DefaultParagraphFont"/>
    <w:link w:val="Quote"/>
    <w:uiPriority w:val="29"/>
    <w:rsid w:val="00B72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F3B"/>
    <w:pPr>
      <w:ind w:left="720"/>
      <w:contextualSpacing/>
    </w:pPr>
    <w:rPr>
      <w:lang w:val="en-IL"/>
    </w:rPr>
  </w:style>
  <w:style w:type="character" w:styleId="IntenseEmphasis">
    <w:name w:val="Intense Emphasis"/>
    <w:basedOn w:val="DefaultParagraphFont"/>
    <w:uiPriority w:val="21"/>
    <w:qFormat/>
    <w:rsid w:val="00B72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F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2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65AFE"/>
    <w:pPr>
      <w:spacing w:after="0" w:line="240" w:lineRule="auto"/>
    </w:pPr>
    <w:rPr>
      <w:sz w:val="20"/>
      <w:szCs w:val="20"/>
      <w:lang w:val="en-I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5AF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5A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58BEAF-10A0-3543-897A-EDA8187A9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Deema Tarabieh</dc:creator>
  <cp:keywords/>
  <dc:description/>
  <cp:lastModifiedBy>Deema Tarabieh</cp:lastModifiedBy>
  <cp:revision>3</cp:revision>
  <dcterms:created xsi:type="dcterms:W3CDTF">2025-11-14T16:30:00Z</dcterms:created>
  <dcterms:modified xsi:type="dcterms:W3CDTF">2025-11-15T08:15:00Z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1f53fbd9-3a3e-4469-9597-a4f1e9e2edb3</vt:lpwstr>
  </property>
</Properties>
</file>