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2E02A" w14:textId="48813176" w:rsidR="0043573F" w:rsidRPr="005E79FA" w:rsidRDefault="005E79FA" w:rsidP="0043573F">
      <w:pPr>
        <w:spacing w:before="100" w:after="100" w:line="276" w:lineRule="auto"/>
        <w:rPr>
          <w:b/>
          <w:bCs/>
          <w:lang w:val="en-US"/>
        </w:rPr>
      </w:pPr>
      <w:r w:rsidRPr="005E79FA">
        <w:rPr>
          <w:b/>
          <w:bCs/>
          <w:lang w:val="en-US"/>
        </w:rPr>
        <w:t>Sensitivity Analysis: One Eye Per Patient</w:t>
      </w:r>
    </w:p>
    <w:p w14:paraId="6CAFC5A6" w14:textId="77777777" w:rsidR="0043573F" w:rsidRDefault="0043573F" w:rsidP="0043573F">
      <w:pPr>
        <w:spacing w:before="100" w:after="100" w:line="276" w:lineRule="auto"/>
        <w:rPr>
          <w:i/>
          <w:iCs/>
          <w:lang w:val="en-US"/>
        </w:rPr>
      </w:pPr>
    </w:p>
    <w:p w14:paraId="540F93C2" w14:textId="77777777" w:rsidR="005E79FA" w:rsidRPr="00C24BB3" w:rsidRDefault="005E79FA" w:rsidP="005E79FA">
      <w:pPr>
        <w:spacing w:before="100" w:after="150" w:line="276" w:lineRule="auto"/>
        <w:rPr>
          <w:lang w:val="en-US"/>
        </w:rPr>
      </w:pPr>
      <w:r w:rsidRPr="00C24BB3">
        <w:rPr>
          <w:lang w:val="en-US"/>
        </w:rPr>
        <w:t>To confirm that the LME findings above were not driven by residual clustering, all three prognostic models were re-fit using one randomly selected eye per patient (n=32, ordinary least squares, no repeated measures).</w:t>
      </w:r>
    </w:p>
    <w:p w14:paraId="74A46838" w14:textId="4353D8A7" w:rsidR="005E79FA" w:rsidRPr="005E79FA" w:rsidRDefault="005E79FA" w:rsidP="005E79FA">
      <w:pPr>
        <w:spacing w:before="100" w:after="100" w:line="276" w:lineRule="auto"/>
        <w:rPr>
          <w:lang w:val="en-US"/>
        </w:rPr>
      </w:pPr>
      <w:r w:rsidRPr="005E79FA">
        <w:rPr>
          <w:i/>
          <w:iCs/>
          <w:lang w:val="en-US"/>
        </w:rPr>
        <w:t>Comparison of key predictors across the one-eye-per-patient sensitivity models.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2000"/>
        <w:gridCol w:w="2000"/>
        <w:gridCol w:w="2360"/>
      </w:tblGrid>
      <w:tr w:rsidR="005E79FA" w:rsidRPr="00A04A8E" w14:paraId="2379CE18" w14:textId="77777777" w:rsidTr="005E79FA">
        <w:tc>
          <w:tcPr>
            <w:tcW w:w="3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23F1804" w14:textId="77777777" w:rsidR="005E79FA" w:rsidRDefault="005E79FA" w:rsidP="00C47AB2">
            <w:pPr>
              <w:spacing w:before="30" w:after="30"/>
            </w:pPr>
            <w:proofErr w:type="spellStart"/>
            <w:r>
              <w:rPr>
                <w:b/>
                <w:bCs/>
                <w:sz w:val="17"/>
                <w:szCs w:val="17"/>
              </w:rPr>
              <w:t>Predictor</w:t>
            </w:r>
            <w:proofErr w:type="spellEnd"/>
          </w:p>
        </w:tc>
        <w:tc>
          <w:tcPr>
            <w:tcW w:w="2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9892C0B" w14:textId="11BB4E5B" w:rsidR="005E79FA" w:rsidRPr="00A04A8E" w:rsidRDefault="005E79FA" w:rsidP="00C47AB2">
            <w:pPr>
              <w:spacing w:before="30" w:after="30"/>
              <w:rPr>
                <w:lang w:val="it-CH"/>
              </w:rPr>
            </w:pPr>
            <w:r w:rsidRPr="00A04A8E">
              <w:rPr>
                <w:b/>
                <w:bCs/>
                <w:sz w:val="17"/>
                <w:szCs w:val="17"/>
                <w:lang w:val="it-CH"/>
              </w:rPr>
              <w:t>Model A (</w:t>
            </w:r>
            <w:r w:rsidR="00A04A8E" w:rsidRPr="00A04A8E">
              <w:rPr>
                <w:b/>
                <w:bCs/>
                <w:sz w:val="17"/>
                <w:szCs w:val="17"/>
                <w:lang w:val="it-CH"/>
              </w:rPr>
              <w:t>GCL+IPL</w:t>
            </w:r>
            <w:r w:rsidRPr="00A04A8E">
              <w:rPr>
                <w:b/>
                <w:bCs/>
                <w:sz w:val="17"/>
                <w:szCs w:val="17"/>
                <w:lang w:val="it-CH"/>
              </w:rPr>
              <w:t xml:space="preserve"> 12m)</w:t>
            </w:r>
          </w:p>
        </w:tc>
        <w:tc>
          <w:tcPr>
            <w:tcW w:w="2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E6B6CA1" w14:textId="77777777" w:rsidR="005E79FA" w:rsidRDefault="005E79FA" w:rsidP="00C47AB2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Model B (VA 12m)</w:t>
            </w:r>
          </w:p>
        </w:tc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A330CAB" w14:textId="43D1ED4B" w:rsidR="005E79FA" w:rsidRPr="00A04A8E" w:rsidRDefault="005E79FA" w:rsidP="00C47AB2">
            <w:pPr>
              <w:spacing w:before="30" w:after="30"/>
              <w:rPr>
                <w:lang w:val="it-CH"/>
              </w:rPr>
            </w:pPr>
            <w:r w:rsidRPr="00A04A8E">
              <w:rPr>
                <w:b/>
                <w:bCs/>
                <w:sz w:val="17"/>
                <w:szCs w:val="17"/>
                <w:lang w:val="it-CH"/>
              </w:rPr>
              <w:t>Model C (</w:t>
            </w:r>
            <w:r w:rsidR="00A04A8E" w:rsidRPr="00A04A8E">
              <w:rPr>
                <w:b/>
                <w:bCs/>
                <w:sz w:val="17"/>
                <w:szCs w:val="17"/>
                <w:lang w:val="it-CH"/>
              </w:rPr>
              <w:t>GCL+IPL</w:t>
            </w:r>
            <w:r w:rsidRPr="00A04A8E">
              <w:rPr>
                <w:b/>
                <w:bCs/>
                <w:sz w:val="17"/>
                <w:szCs w:val="17"/>
                <w:lang w:val="it-CH"/>
              </w:rPr>
              <w:t xml:space="preserve"> </w:t>
            </w:r>
            <w:proofErr w:type="spellStart"/>
            <w:r w:rsidRPr="00A04A8E">
              <w:rPr>
                <w:b/>
                <w:bCs/>
                <w:sz w:val="17"/>
                <w:szCs w:val="17"/>
                <w:lang w:val="it-CH"/>
              </w:rPr>
              <w:t>change</w:t>
            </w:r>
            <w:proofErr w:type="spellEnd"/>
            <w:r w:rsidRPr="00A04A8E">
              <w:rPr>
                <w:b/>
                <w:bCs/>
                <w:sz w:val="17"/>
                <w:szCs w:val="17"/>
                <w:lang w:val="it-CH"/>
              </w:rPr>
              <w:t>)</w:t>
            </w:r>
          </w:p>
        </w:tc>
      </w:tr>
      <w:tr w:rsidR="005E79FA" w14:paraId="5F8A4092" w14:textId="77777777" w:rsidTr="00C47AB2">
        <w:tc>
          <w:tcPr>
            <w:tcW w:w="3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2E43D9F" w14:textId="77777777" w:rsidR="005E79FA" w:rsidRDefault="005E79FA" w:rsidP="00C47AB2">
            <w:pPr>
              <w:spacing w:before="25" w:after="25"/>
            </w:pPr>
            <w:r>
              <w:rPr>
                <w:sz w:val="17"/>
                <w:szCs w:val="17"/>
              </w:rPr>
              <w:t xml:space="preserve">Baseline </w:t>
            </w:r>
            <w:proofErr w:type="spellStart"/>
            <w:r>
              <w:rPr>
                <w:sz w:val="17"/>
                <w:szCs w:val="17"/>
              </w:rPr>
              <w:t>value</w:t>
            </w:r>
            <w:proofErr w:type="spellEnd"/>
            <w:r>
              <w:rPr>
                <w:sz w:val="17"/>
                <w:szCs w:val="17"/>
              </w:rPr>
              <w:t xml:space="preserve"> (same </w:t>
            </w:r>
            <w:proofErr w:type="spellStart"/>
            <w:r>
              <w:rPr>
                <w:sz w:val="17"/>
                <w:szCs w:val="17"/>
              </w:rPr>
              <w:t>param</w:t>
            </w:r>
            <w:proofErr w:type="spellEnd"/>
            <w:r>
              <w:rPr>
                <w:sz w:val="17"/>
                <w:szCs w:val="17"/>
              </w:rPr>
              <w:t>.)</w:t>
            </w:r>
          </w:p>
        </w:tc>
        <w:tc>
          <w:tcPr>
            <w:tcW w:w="2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91CBA80" w14:textId="77777777" w:rsidR="005E79FA" w:rsidRDefault="005E79FA" w:rsidP="00C47AB2">
            <w:pPr>
              <w:spacing w:before="25" w:after="25"/>
            </w:pPr>
            <w:r>
              <w:rPr>
                <w:sz w:val="17"/>
                <w:szCs w:val="17"/>
              </w:rPr>
              <w:t>β=1.005, p&lt;0.001</w:t>
            </w:r>
          </w:p>
        </w:tc>
        <w:tc>
          <w:tcPr>
            <w:tcW w:w="2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E2BB41D" w14:textId="77777777" w:rsidR="005E79FA" w:rsidRDefault="005E79FA" w:rsidP="00C47AB2">
            <w:pPr>
              <w:spacing w:before="25" w:after="25"/>
            </w:pPr>
            <w:r>
              <w:rPr>
                <w:sz w:val="17"/>
                <w:szCs w:val="17"/>
              </w:rPr>
              <w:t>β=0.558, p&lt;0.001</w:t>
            </w:r>
          </w:p>
        </w:tc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DA9A0CA" w14:textId="77777777" w:rsidR="005E79FA" w:rsidRDefault="005E79FA" w:rsidP="00C47AB2">
            <w:pPr>
              <w:spacing w:before="25" w:after="25"/>
            </w:pPr>
            <w:r>
              <w:rPr>
                <w:sz w:val="17"/>
                <w:szCs w:val="17"/>
              </w:rPr>
              <w:t>—</w:t>
            </w:r>
          </w:p>
        </w:tc>
      </w:tr>
      <w:tr w:rsidR="005E79FA" w14:paraId="5FBACCD4" w14:textId="77777777" w:rsidTr="00C47AB2">
        <w:tc>
          <w:tcPr>
            <w:tcW w:w="3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5DBFD0D" w14:textId="164B5F0E" w:rsidR="005E79FA" w:rsidRDefault="00A04A8E" w:rsidP="00C47AB2">
            <w:pPr>
              <w:spacing w:before="25" w:after="25"/>
            </w:pPr>
            <w:r>
              <w:rPr>
                <w:sz w:val="17"/>
                <w:szCs w:val="17"/>
              </w:rPr>
              <w:t>GCL+IPL</w:t>
            </w:r>
            <w:r w:rsidR="005E79FA">
              <w:rPr>
                <w:sz w:val="17"/>
                <w:szCs w:val="17"/>
              </w:rPr>
              <w:t xml:space="preserve"> </w:t>
            </w:r>
            <w:proofErr w:type="spellStart"/>
            <w:r w:rsidR="005E79FA">
              <w:rPr>
                <w:sz w:val="17"/>
                <w:szCs w:val="17"/>
              </w:rPr>
              <w:t>vol</w:t>
            </w:r>
            <w:proofErr w:type="spellEnd"/>
            <w:r w:rsidR="005E79FA">
              <w:rPr>
                <w:sz w:val="17"/>
                <w:szCs w:val="17"/>
              </w:rPr>
              <w:t xml:space="preserve"> (BL)</w:t>
            </w:r>
          </w:p>
        </w:tc>
        <w:tc>
          <w:tcPr>
            <w:tcW w:w="2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387B7A8" w14:textId="77777777" w:rsidR="005E79FA" w:rsidRDefault="005E79FA" w:rsidP="00C47AB2">
            <w:pPr>
              <w:spacing w:before="25" w:after="25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89DA35D" w14:textId="77777777" w:rsidR="005E79FA" w:rsidRDefault="005E79FA" w:rsidP="00C47AB2">
            <w:pPr>
              <w:spacing w:before="25" w:after="25"/>
            </w:pPr>
            <w:r>
              <w:rPr>
                <w:sz w:val="17"/>
                <w:szCs w:val="17"/>
              </w:rPr>
              <w:t>β=−0.0003, p=0.030</w:t>
            </w:r>
          </w:p>
        </w:tc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2910007" w14:textId="77777777" w:rsidR="005E79FA" w:rsidRDefault="005E79FA" w:rsidP="00C47AB2">
            <w:pPr>
              <w:spacing w:before="25" w:after="25"/>
            </w:pPr>
            <w:r>
              <w:rPr>
                <w:sz w:val="17"/>
                <w:szCs w:val="17"/>
              </w:rPr>
              <w:t>—</w:t>
            </w:r>
          </w:p>
        </w:tc>
      </w:tr>
      <w:tr w:rsidR="005E79FA" w14:paraId="46F816A3" w14:textId="77777777" w:rsidTr="00C47AB2">
        <w:tc>
          <w:tcPr>
            <w:tcW w:w="3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C50DB60" w14:textId="77777777" w:rsidR="005E79FA" w:rsidRDefault="005E79FA" w:rsidP="00C47AB2">
            <w:pPr>
              <w:spacing w:before="25" w:after="25"/>
            </w:pPr>
            <w:r>
              <w:rPr>
                <w:sz w:val="17"/>
                <w:szCs w:val="17"/>
              </w:rPr>
              <w:t>VA (BL)</w:t>
            </w:r>
          </w:p>
        </w:tc>
        <w:tc>
          <w:tcPr>
            <w:tcW w:w="2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4FCBD1A" w14:textId="77777777" w:rsidR="005E79FA" w:rsidRDefault="005E79FA" w:rsidP="00C47AB2">
            <w:pPr>
              <w:spacing w:before="25" w:after="25"/>
            </w:pPr>
            <w:r>
              <w:rPr>
                <w:sz w:val="17"/>
                <w:szCs w:val="17"/>
              </w:rPr>
              <w:t>β=−290.3, p=0.014</w:t>
            </w:r>
          </w:p>
        </w:tc>
        <w:tc>
          <w:tcPr>
            <w:tcW w:w="2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EEF765F" w14:textId="77777777" w:rsidR="005E79FA" w:rsidRDefault="005E79FA" w:rsidP="00C47AB2">
            <w:pPr>
              <w:spacing w:before="25" w:after="25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39CF1E1" w14:textId="77777777" w:rsidR="005E79FA" w:rsidRDefault="005E79FA" w:rsidP="00C47AB2">
            <w:pPr>
              <w:spacing w:before="25" w:after="25"/>
            </w:pPr>
            <w:r>
              <w:rPr>
                <w:sz w:val="17"/>
                <w:szCs w:val="17"/>
              </w:rPr>
              <w:t>β=−296.4, p=0.010</w:t>
            </w:r>
          </w:p>
        </w:tc>
      </w:tr>
      <w:tr w:rsidR="005E79FA" w14:paraId="29C53FF0" w14:textId="77777777" w:rsidTr="00C47AB2">
        <w:tc>
          <w:tcPr>
            <w:tcW w:w="3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6893326" w14:textId="77777777" w:rsidR="005E79FA" w:rsidRDefault="005E79FA" w:rsidP="00C47AB2">
            <w:pPr>
              <w:spacing w:before="25" w:after="25"/>
            </w:pPr>
            <w:r>
              <w:rPr>
                <w:sz w:val="17"/>
                <w:szCs w:val="17"/>
              </w:rPr>
              <w:t xml:space="preserve">ONH RNFL </w:t>
            </w:r>
            <w:proofErr w:type="spellStart"/>
            <w:r>
              <w:rPr>
                <w:sz w:val="17"/>
                <w:szCs w:val="17"/>
              </w:rPr>
              <w:t>vol</w:t>
            </w:r>
            <w:proofErr w:type="spellEnd"/>
            <w:r>
              <w:rPr>
                <w:sz w:val="17"/>
                <w:szCs w:val="17"/>
              </w:rPr>
              <w:t xml:space="preserve"> (BL)</w:t>
            </w:r>
          </w:p>
        </w:tc>
        <w:tc>
          <w:tcPr>
            <w:tcW w:w="2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87BFAAB" w14:textId="77777777" w:rsidR="005E79FA" w:rsidRDefault="005E79FA" w:rsidP="00C47AB2">
            <w:pPr>
              <w:spacing w:before="25" w:after="25"/>
            </w:pPr>
            <w:r>
              <w:rPr>
                <w:sz w:val="17"/>
                <w:szCs w:val="17"/>
              </w:rPr>
              <w:t>β=−0.054, p=0.057</w:t>
            </w:r>
          </w:p>
        </w:tc>
        <w:tc>
          <w:tcPr>
            <w:tcW w:w="2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74C3EFF" w14:textId="77777777" w:rsidR="005E79FA" w:rsidRDefault="005E79FA" w:rsidP="00C47AB2">
            <w:pPr>
              <w:spacing w:before="25" w:after="25"/>
            </w:pPr>
            <w:proofErr w:type="spellStart"/>
            <w:r>
              <w:rPr>
                <w:sz w:val="17"/>
                <w:szCs w:val="17"/>
              </w:rPr>
              <w:t>n.s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319A46A" w14:textId="77777777" w:rsidR="005E79FA" w:rsidRDefault="005E79FA" w:rsidP="00C47AB2">
            <w:pPr>
              <w:spacing w:before="25" w:after="25"/>
            </w:pPr>
            <w:proofErr w:type="spellStart"/>
            <w:r>
              <w:rPr>
                <w:sz w:val="17"/>
                <w:szCs w:val="17"/>
              </w:rPr>
              <w:t>n.s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5E79FA" w14:paraId="360B76E4" w14:textId="77777777" w:rsidTr="00C47AB2">
        <w:tc>
          <w:tcPr>
            <w:tcW w:w="3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F32B454" w14:textId="730155B7" w:rsidR="005E79FA" w:rsidRDefault="00857834" w:rsidP="00C47AB2">
            <w:pPr>
              <w:spacing w:before="25" w:after="25"/>
            </w:pPr>
            <w:proofErr w:type="spellStart"/>
            <w:r>
              <w:rPr>
                <w:sz w:val="17"/>
                <w:szCs w:val="17"/>
              </w:rPr>
              <w:t>Uveitic</w:t>
            </w:r>
            <w:proofErr w:type="spellEnd"/>
          </w:p>
        </w:tc>
        <w:tc>
          <w:tcPr>
            <w:tcW w:w="2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73CC1B3" w14:textId="77777777" w:rsidR="005E79FA" w:rsidRDefault="005E79FA" w:rsidP="00C47AB2">
            <w:pPr>
              <w:spacing w:before="25" w:after="25"/>
            </w:pPr>
            <w:proofErr w:type="spellStart"/>
            <w:r>
              <w:rPr>
                <w:sz w:val="17"/>
                <w:szCs w:val="17"/>
              </w:rPr>
              <w:t>n.s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  <w:tc>
          <w:tcPr>
            <w:tcW w:w="2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0DFB8EE" w14:textId="77777777" w:rsidR="005E79FA" w:rsidRDefault="005E79FA" w:rsidP="00C47AB2">
            <w:pPr>
              <w:spacing w:before="25" w:after="25"/>
            </w:pPr>
            <w:proofErr w:type="spellStart"/>
            <w:r>
              <w:rPr>
                <w:sz w:val="17"/>
                <w:szCs w:val="17"/>
              </w:rPr>
              <w:t>n.s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1C6788D" w14:textId="77777777" w:rsidR="005E79FA" w:rsidRDefault="005E79FA" w:rsidP="00C47AB2">
            <w:pPr>
              <w:spacing w:before="25" w:after="25"/>
            </w:pPr>
            <w:proofErr w:type="spellStart"/>
            <w:r>
              <w:rPr>
                <w:sz w:val="17"/>
                <w:szCs w:val="17"/>
              </w:rPr>
              <w:t>n.s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</w:tbl>
    <w:p w14:paraId="5A28D3D2" w14:textId="283DC2F2" w:rsidR="0043573F" w:rsidRPr="00762E28" w:rsidRDefault="005E79FA" w:rsidP="00762E28">
      <w:pPr>
        <w:spacing w:before="150" w:after="80" w:line="276" w:lineRule="auto"/>
        <w:rPr>
          <w:lang w:val="en-US"/>
        </w:rPr>
      </w:pPr>
      <w:r w:rsidRPr="00C24BB3">
        <w:rPr>
          <w:lang w:val="en-US"/>
        </w:rPr>
        <w:t xml:space="preserve">Despite the ~35–40% reduction in sample size, baseline </w:t>
      </w:r>
      <w:r w:rsidR="00A04A8E">
        <w:rPr>
          <w:lang w:val="en-US"/>
        </w:rPr>
        <w:t>GCL+IPL</w:t>
      </w:r>
      <w:r w:rsidRPr="00C24BB3">
        <w:rPr>
          <w:lang w:val="en-US"/>
        </w:rPr>
        <w:t xml:space="preserve"> volume and baseline VA remained significant predictors of 12-month outcomes in every model, confirming the robustness of the two core prognostic findings. The </w:t>
      </w:r>
      <w:proofErr w:type="spellStart"/>
      <w:r>
        <w:rPr>
          <w:lang w:val="en-US"/>
        </w:rPr>
        <w:t>a</w:t>
      </w:r>
      <w:r w:rsidRPr="00C24BB3">
        <w:rPr>
          <w:lang w:val="en-US"/>
        </w:rPr>
        <w:t>etiology</w:t>
      </w:r>
      <w:proofErr w:type="spellEnd"/>
      <w:r w:rsidRPr="00C24BB3">
        <w:rPr>
          <w:lang w:val="en-US"/>
        </w:rPr>
        <w:t xml:space="preserve"> effects, which were only borderline or non-significant in the full-data LME models, remained non-significant here</w:t>
      </w:r>
      <w:r>
        <w:rPr>
          <w:lang w:val="en-US"/>
        </w:rPr>
        <w:t>.</w:t>
      </w:r>
    </w:p>
    <w:sectPr w:rsidR="0043573F" w:rsidRPr="00762E2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47E"/>
    <w:rsid w:val="000C247E"/>
    <w:rsid w:val="0043573F"/>
    <w:rsid w:val="0047736E"/>
    <w:rsid w:val="005E79FA"/>
    <w:rsid w:val="00762E28"/>
    <w:rsid w:val="00857834"/>
    <w:rsid w:val="009D2159"/>
    <w:rsid w:val="00A04A8E"/>
    <w:rsid w:val="00A64F65"/>
    <w:rsid w:val="00B37B89"/>
    <w:rsid w:val="00C60B27"/>
    <w:rsid w:val="00D46958"/>
    <w:rsid w:val="00D475ED"/>
    <w:rsid w:val="00F5649C"/>
    <w:rsid w:val="00FF5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886D77"/>
  <w15:chartTrackingRefBased/>
  <w15:docId w15:val="{C6666014-FD39-40D3-ABEA-9C359F91C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573F"/>
    <w:pPr>
      <w:spacing w:after="0" w:line="240" w:lineRule="auto"/>
    </w:pPr>
    <w:rPr>
      <w:rFonts w:ascii="Arial" w:eastAsia="Arial" w:hAnsi="Arial" w:cs="Arial"/>
      <w:kern w:val="0"/>
      <w:sz w:val="20"/>
      <w:szCs w:val="20"/>
      <w:lang w:eastAsia="de-CH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C247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C247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C247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C247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C247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C247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C247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C247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C247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C2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C2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C2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C247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C247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C247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C247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C247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C247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C24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0C2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C247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C2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C247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0C247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C247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0C247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C2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C247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C24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852</Characters>
  <Application>Microsoft Office Word</Application>
  <DocSecurity>0</DocSecurity>
  <Lines>7</Lines>
  <Paragraphs>1</Paragraphs>
  <ScaleCrop>false</ScaleCrop>
  <Company>Insel Gruppe AG</Company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Heussen, Florian</dc:creator>
  <cp:keywords/>
  <dc:description/>
  <cp:lastModifiedBy>Heussen, Florian</cp:lastModifiedBy>
  <cp:revision>9</cp:revision>
  <dcterms:created xsi:type="dcterms:W3CDTF">2026-07-24T11:43:00Z</dcterms:created>
  <dcterms:modified xsi:type="dcterms:W3CDTF">2026-07-27T08:34:00Z</dcterms:modified>
</cp:coreProperties>
</file>