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AF5AD" w14:textId="436FB399" w:rsidR="00F67B59" w:rsidRDefault="00F67B59">
      <w:pPr>
        <w:rPr>
          <w:rFonts w:ascii="Times New Roman" w:hAnsi="Times New Roman" w:cs="Times New Roman"/>
          <w:b/>
          <w:bCs/>
          <w:sz w:val="32"/>
          <w:szCs w:val="32"/>
          <w:lang w:val="en-GB"/>
        </w:rPr>
      </w:pPr>
      <w:r w:rsidRPr="00F91AB6">
        <w:rPr>
          <w:rFonts w:ascii="Times New Roman" w:hAnsi="Times New Roman" w:cs="Times New Roman"/>
          <w:b/>
          <w:bCs/>
          <w:sz w:val="32"/>
          <w:szCs w:val="32"/>
          <w:lang w:val="en-GB"/>
        </w:rPr>
        <w:t>Appendix C.</w:t>
      </w:r>
    </w:p>
    <w:p w14:paraId="50AEFC8D" w14:textId="763F7705" w:rsidR="007D00BD" w:rsidRPr="007D00BD" w:rsidRDefault="007D00BD">
      <w:pPr>
        <w:rPr>
          <w:rFonts w:ascii="Times New Roman" w:hAnsi="Times New Roman" w:cs="Times New Roman"/>
          <w:b/>
          <w:bCs/>
          <w:lang w:val="en-GB"/>
        </w:rPr>
      </w:pPr>
      <w:r w:rsidRPr="007D00BD">
        <w:rPr>
          <w:rFonts w:ascii="Times New Roman" w:hAnsi="Times New Roman" w:cs="Times New Roman"/>
          <w:b/>
          <w:bCs/>
          <w:lang w:val="en-GB"/>
        </w:rPr>
        <w:t>C1. Detailed Sample Characteristics</w:t>
      </w:r>
    </w:p>
    <w:p w14:paraId="0CDC59E9" w14:textId="77777777" w:rsidR="007D00BD" w:rsidRDefault="007D00BD" w:rsidP="007D00BD">
      <w:pPr>
        <w:spacing w:after="0" w:line="360" w:lineRule="auto"/>
        <w:ind w:firstLine="284"/>
        <w:jc w:val="both"/>
        <w:rPr>
          <w:rFonts w:ascii="Times New Roman" w:hAnsi="Times New Roman"/>
          <w:lang w:val="en-US"/>
        </w:rPr>
      </w:pPr>
    </w:p>
    <w:p w14:paraId="429D34D0" w14:textId="1FF63640" w:rsidR="007D00BD" w:rsidRPr="00DB6E78" w:rsidRDefault="007D00BD" w:rsidP="007D00BD">
      <w:pPr>
        <w:spacing w:after="0" w:line="480" w:lineRule="auto"/>
        <w:ind w:firstLine="284"/>
        <w:jc w:val="both"/>
        <w:rPr>
          <w:rFonts w:ascii="Times New Roman" w:hAnsi="Times New Roman"/>
          <w:lang w:val="en-US"/>
        </w:rPr>
      </w:pPr>
      <w:r w:rsidRPr="534AD519">
        <w:rPr>
          <w:rFonts w:ascii="Times New Roman" w:hAnsi="Times New Roman"/>
          <w:lang w:val="en-US"/>
        </w:rPr>
        <w:t xml:space="preserve">Table </w:t>
      </w:r>
      <w:r>
        <w:rPr>
          <w:rFonts w:ascii="Times New Roman" w:hAnsi="Times New Roman"/>
          <w:lang w:val="en-US"/>
        </w:rPr>
        <w:t>C1</w:t>
      </w:r>
      <w:r w:rsidRPr="534AD519">
        <w:rPr>
          <w:rFonts w:ascii="Times New Roman" w:hAnsi="Times New Roman"/>
          <w:lang w:val="en-US"/>
        </w:rPr>
        <w:t xml:space="preserve"> reports the study and sample characteristics of interventions. Regarding the healthcare sector, we identified four studies (Micek et al., 2022; Shan et al., 202</w:t>
      </w:r>
      <w:r w:rsidR="00970B41">
        <w:rPr>
          <w:rFonts w:ascii="Times New Roman" w:hAnsi="Times New Roman"/>
          <w:lang w:val="en-US"/>
        </w:rPr>
        <w:t>4</w:t>
      </w:r>
      <w:r w:rsidRPr="534AD519">
        <w:rPr>
          <w:rFonts w:ascii="Times New Roman" w:hAnsi="Times New Roman"/>
          <w:lang w:val="en-US"/>
        </w:rPr>
        <w:t>; Kiser et al., 2024; Wang et al., 2024); one study for the construction sector (</w:t>
      </w:r>
      <w:proofErr w:type="spellStart"/>
      <w:r w:rsidRPr="534AD519">
        <w:rPr>
          <w:rFonts w:ascii="Times New Roman" w:hAnsi="Times New Roman"/>
          <w:lang w:val="en-US"/>
        </w:rPr>
        <w:t>Cedstrand</w:t>
      </w:r>
      <w:proofErr w:type="spellEnd"/>
      <w:r w:rsidRPr="534AD519">
        <w:rPr>
          <w:rFonts w:ascii="Times New Roman" w:hAnsi="Times New Roman"/>
          <w:lang w:val="en-US"/>
        </w:rPr>
        <w:t xml:space="preserve"> et al., 2022) and one study involving a TICTM setting (Falk et al., 2022). Regarding the healthcare sector, Shan et al. (202</w:t>
      </w:r>
      <w:r w:rsidR="00970B41">
        <w:rPr>
          <w:rFonts w:ascii="Times New Roman" w:hAnsi="Times New Roman"/>
          <w:lang w:val="en-US"/>
        </w:rPr>
        <w:t>4</w:t>
      </w:r>
      <w:r w:rsidRPr="534AD519">
        <w:rPr>
          <w:rFonts w:ascii="Times New Roman" w:hAnsi="Times New Roman"/>
          <w:lang w:val="en-US"/>
        </w:rPr>
        <w:t xml:space="preserve">) involved head nurses in a large general hospital in China. The intervention group comprised 40 participants (100% female) with an average age of 47.3 years (SD 6.7), while the control group had 40 participants (100% female) with an average age of 46.4 years (SD 6.9). Kiser et al. (2024) also conducted an RCT including physicians in various departments within the Massachusetts General Physicians Organization in the USA. 52 (77.6%) were female participants in the randomized-to-intervention sample, 14 (20.9%) males and 1 (1.5%) preferred not to say. Regarding the received coaching intervention group, 40 (76.9%) were female, 10 (19.2%) were males and 1 (1.9%) preferred not to say. 57 (80.3%) were females in the control group. The study does not provide the mean and standard deviation of the participant’s age, but the authors provide the proportion by age group. Overall, most of the participants are younger than 40 years old, with 77.6% in the randomized-to-intervention group, 76.9% in the received coaching intervention group, and 80.2% in the control group.  The third identified study implementing a mental health promotion intervention at the </w:t>
      </w:r>
      <w:proofErr w:type="spellStart"/>
      <w:r w:rsidRPr="534AD519">
        <w:rPr>
          <w:rFonts w:ascii="Times New Roman" w:hAnsi="Times New Roman"/>
          <w:lang w:val="en-US"/>
        </w:rPr>
        <w:t>organisational</w:t>
      </w:r>
      <w:proofErr w:type="spellEnd"/>
      <w:r w:rsidRPr="534AD519">
        <w:rPr>
          <w:rFonts w:ascii="Times New Roman" w:hAnsi="Times New Roman"/>
          <w:lang w:val="en-US"/>
        </w:rPr>
        <w:t xml:space="preserve"> level is by Micek et al. (2022). The </w:t>
      </w:r>
      <w:proofErr w:type="gramStart"/>
      <w:r w:rsidRPr="534AD519">
        <w:rPr>
          <w:rFonts w:ascii="Times New Roman" w:hAnsi="Times New Roman"/>
          <w:lang w:val="en-US"/>
        </w:rPr>
        <w:t>sample  consisted</w:t>
      </w:r>
      <w:proofErr w:type="gramEnd"/>
      <w:r w:rsidRPr="534AD519">
        <w:rPr>
          <w:rFonts w:ascii="Times New Roman" w:hAnsi="Times New Roman"/>
          <w:lang w:val="en-US"/>
        </w:rPr>
        <w:t xml:space="preserve"> of primary care physicians in 34 primary care clinics within the University of Wisconsin Health system in the USA. The females in the intervention group were 23 (62%) and in the control group 46 (68%). Wang et al. (2024) implemented a Psychological first aid (PFA) training program. The intervention group comprised 39 (89.7%) female participants and 43 (90.2%) females participated in the control group. 33 (76.9%) </w:t>
      </w:r>
      <w:r w:rsidRPr="534AD519">
        <w:rPr>
          <w:rFonts w:ascii="Times New Roman" w:hAnsi="Times New Roman"/>
          <w:lang w:val="en-US"/>
        </w:rPr>
        <w:lastRenderedPageBreak/>
        <w:t>participants in the intervention group were aged between 21 and 30 years, and 11 (23.1%) were older than 30. The respective values for the control group are 36 (73.2) and 11 (26.8).</w:t>
      </w:r>
    </w:p>
    <w:p w14:paraId="5CCD14A0" w14:textId="3449F2D1" w:rsidR="007D00BD" w:rsidRPr="007D00BD" w:rsidRDefault="007D00BD" w:rsidP="007D00BD">
      <w:pPr>
        <w:spacing w:after="0" w:line="480" w:lineRule="auto"/>
        <w:ind w:firstLine="284"/>
        <w:jc w:val="both"/>
        <w:rPr>
          <w:rFonts w:ascii="Times New Roman" w:hAnsi="Times New Roman"/>
        </w:rPr>
        <w:sectPr w:rsidR="007D00BD" w:rsidRPr="007D00BD" w:rsidSect="007D00BD">
          <w:footerReference w:type="default" r:id="rId10"/>
          <w:pgSz w:w="11906" w:h="16838"/>
          <w:pgMar w:top="1417" w:right="1417" w:bottom="1417" w:left="1417" w:header="708" w:footer="708" w:gutter="0"/>
          <w:cols w:space="708"/>
          <w:docGrid w:linePitch="360"/>
        </w:sectPr>
      </w:pPr>
      <w:r w:rsidRPr="00DB6E78">
        <w:rPr>
          <w:rFonts w:ascii="Times New Roman" w:hAnsi="Times New Roman"/>
        </w:rPr>
        <w:t xml:space="preserve">For the construction sector, we identified one study by Cedstrand et al. (2022), who implemented a non-randomized controlled trial for professionals, including first-line managers, site managers, project managers, and project or production engineers, and trade workers in two regions within a Swedish construction company. There were 41 (20.2%) female participants in the intervention group with a mean age of 39.4 (SD=12.5) and 20 (16.1%) females in the control group with an average age of 44.2 (SD=12.9). The last study refers to a TICTM setting by Falk et al. (2022), who implemented an RCT for university employees in the USA. Their intervention, described in more detail in the next part, includes 19 (79.2%) females in the Desk Only intervention group and 16 (76.2%) females in the Program Only and Desk Plus Program intervention groups. The participants’ average age in the Desk Only group is 46.5 (SD=10.03), 43.1 (SD=12.32) in the Program Only group and 42.0 (SD=9.36) in the Desk Plus Program group. There were 19 (82.6%) females in the control group with an average age of 45.2 (SD=10.79).   </w:t>
      </w:r>
    </w:p>
    <w:p w14:paraId="20820844" w14:textId="0985E640" w:rsidR="007467E1" w:rsidRPr="009F2519" w:rsidRDefault="00F91AB6" w:rsidP="00F91AB6">
      <w:pPr>
        <w:spacing w:after="0" w:line="240" w:lineRule="auto"/>
        <w:rPr>
          <w:rFonts w:ascii="Times New Roman" w:hAnsi="Times New Roman" w:cs="Times New Roman"/>
          <w:sz w:val="22"/>
          <w:szCs w:val="22"/>
          <w:lang w:val="en-US"/>
        </w:rPr>
      </w:pPr>
      <w:r w:rsidRPr="009F2519">
        <w:rPr>
          <w:rFonts w:ascii="Times New Roman" w:hAnsi="Times New Roman" w:cs="Times New Roman"/>
          <w:b/>
          <w:bCs/>
          <w:sz w:val="22"/>
          <w:szCs w:val="22"/>
          <w:lang w:val="en-US"/>
        </w:rPr>
        <w:lastRenderedPageBreak/>
        <w:t xml:space="preserve">Table C1. </w:t>
      </w:r>
      <w:r w:rsidRPr="009F2519">
        <w:rPr>
          <w:rFonts w:ascii="Times New Roman" w:hAnsi="Times New Roman" w:cs="Times New Roman"/>
          <w:sz w:val="22"/>
          <w:szCs w:val="22"/>
          <w:lang w:val="en-US"/>
        </w:rPr>
        <w:t>Detailed</w:t>
      </w:r>
      <w:r w:rsidRPr="009F2519">
        <w:rPr>
          <w:rFonts w:ascii="Times New Roman" w:hAnsi="Times New Roman" w:cs="Times New Roman"/>
          <w:b/>
          <w:bCs/>
          <w:sz w:val="22"/>
          <w:szCs w:val="22"/>
          <w:lang w:val="en-US"/>
        </w:rPr>
        <w:t xml:space="preserve"> </w:t>
      </w:r>
      <w:r w:rsidRPr="009F2519">
        <w:rPr>
          <w:rFonts w:ascii="Times New Roman" w:hAnsi="Times New Roman" w:cs="Times New Roman"/>
          <w:sz w:val="22"/>
          <w:szCs w:val="22"/>
          <w:lang w:val="en-US"/>
        </w:rPr>
        <w:t>Study and sample characteristics</w:t>
      </w:r>
    </w:p>
    <w:tbl>
      <w:tblPr>
        <w:tblStyle w:val="TableGrid"/>
        <w:tblW w:w="15877" w:type="dxa"/>
        <w:jc w:val="center"/>
        <w:tblLook w:val="04A0" w:firstRow="1" w:lastRow="0" w:firstColumn="1" w:lastColumn="0" w:noHBand="0" w:noVBand="1"/>
      </w:tblPr>
      <w:tblGrid>
        <w:gridCol w:w="1283"/>
        <w:gridCol w:w="903"/>
        <w:gridCol w:w="1540"/>
        <w:gridCol w:w="2120"/>
        <w:gridCol w:w="2385"/>
        <w:gridCol w:w="1289"/>
        <w:gridCol w:w="1875"/>
        <w:gridCol w:w="2239"/>
        <w:gridCol w:w="2243"/>
      </w:tblGrid>
      <w:tr w:rsidR="00F91AB6" w14:paraId="0FF939A2" w14:textId="77777777" w:rsidTr="5BDCD893">
        <w:trPr>
          <w:jc w:val="center"/>
        </w:trPr>
        <w:tc>
          <w:tcPr>
            <w:tcW w:w="1283" w:type="dxa"/>
            <w:vMerge w:val="restart"/>
          </w:tcPr>
          <w:p w14:paraId="554D0726" w14:textId="3D438F39"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Study</w:t>
            </w:r>
          </w:p>
        </w:tc>
        <w:tc>
          <w:tcPr>
            <w:tcW w:w="903" w:type="dxa"/>
            <w:vMerge w:val="restart"/>
          </w:tcPr>
          <w:p w14:paraId="42156A85"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Country</w:t>
            </w:r>
          </w:p>
        </w:tc>
        <w:tc>
          <w:tcPr>
            <w:tcW w:w="1540" w:type="dxa"/>
            <w:vMerge w:val="restart"/>
          </w:tcPr>
          <w:p w14:paraId="4AA44031"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Type of Study/Design</w:t>
            </w:r>
          </w:p>
        </w:tc>
        <w:tc>
          <w:tcPr>
            <w:tcW w:w="4505" w:type="dxa"/>
            <w:gridSpan w:val="2"/>
          </w:tcPr>
          <w:p w14:paraId="1A3F6368"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Intervention Group</w:t>
            </w:r>
          </w:p>
        </w:tc>
        <w:tc>
          <w:tcPr>
            <w:tcW w:w="3164" w:type="dxa"/>
            <w:gridSpan w:val="2"/>
          </w:tcPr>
          <w:p w14:paraId="0CD54AD3"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Control Group</w:t>
            </w:r>
          </w:p>
        </w:tc>
        <w:tc>
          <w:tcPr>
            <w:tcW w:w="2239" w:type="dxa"/>
          </w:tcPr>
          <w:p w14:paraId="6DA44369"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Employment Type and Occupations</w:t>
            </w:r>
          </w:p>
        </w:tc>
        <w:tc>
          <w:tcPr>
            <w:tcW w:w="2243" w:type="dxa"/>
          </w:tcPr>
          <w:p w14:paraId="51BB0D47"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Number and Size of Organisations</w:t>
            </w:r>
          </w:p>
        </w:tc>
      </w:tr>
      <w:tr w:rsidR="00F91AB6" w14:paraId="320DCDB4" w14:textId="77777777" w:rsidTr="5BDCD893">
        <w:trPr>
          <w:jc w:val="center"/>
        </w:trPr>
        <w:tc>
          <w:tcPr>
            <w:tcW w:w="1283" w:type="dxa"/>
            <w:vMerge/>
          </w:tcPr>
          <w:p w14:paraId="6724B159" w14:textId="77777777" w:rsidR="00F91AB6" w:rsidRPr="001833E1" w:rsidRDefault="00F91AB6" w:rsidP="007D29A5">
            <w:pPr>
              <w:jc w:val="center"/>
              <w:rPr>
                <w:rFonts w:ascii="Times New Roman" w:hAnsi="Times New Roman" w:cs="Times New Roman"/>
                <w:b/>
                <w:bCs/>
                <w:sz w:val="19"/>
                <w:szCs w:val="19"/>
              </w:rPr>
            </w:pPr>
          </w:p>
        </w:tc>
        <w:tc>
          <w:tcPr>
            <w:tcW w:w="903" w:type="dxa"/>
            <w:vMerge/>
          </w:tcPr>
          <w:p w14:paraId="7C2C64DF" w14:textId="77777777" w:rsidR="00F91AB6" w:rsidRPr="001833E1" w:rsidRDefault="00F91AB6" w:rsidP="007D29A5">
            <w:pPr>
              <w:jc w:val="center"/>
              <w:rPr>
                <w:rFonts w:ascii="Times New Roman" w:hAnsi="Times New Roman" w:cs="Times New Roman"/>
                <w:b/>
                <w:bCs/>
                <w:sz w:val="19"/>
                <w:szCs w:val="19"/>
              </w:rPr>
            </w:pPr>
          </w:p>
        </w:tc>
        <w:tc>
          <w:tcPr>
            <w:tcW w:w="1540" w:type="dxa"/>
            <w:vMerge/>
          </w:tcPr>
          <w:p w14:paraId="4E26BDB7" w14:textId="77777777" w:rsidR="00F91AB6" w:rsidRPr="001833E1" w:rsidRDefault="00F91AB6" w:rsidP="007D29A5">
            <w:pPr>
              <w:jc w:val="center"/>
              <w:rPr>
                <w:rFonts w:ascii="Times New Roman" w:hAnsi="Times New Roman" w:cs="Times New Roman"/>
                <w:b/>
                <w:bCs/>
                <w:sz w:val="19"/>
                <w:szCs w:val="19"/>
              </w:rPr>
            </w:pPr>
          </w:p>
        </w:tc>
        <w:tc>
          <w:tcPr>
            <w:tcW w:w="2120" w:type="dxa"/>
          </w:tcPr>
          <w:p w14:paraId="3F48F550"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Sample Size Female (%)</w:t>
            </w:r>
          </w:p>
        </w:tc>
        <w:tc>
          <w:tcPr>
            <w:tcW w:w="2385" w:type="dxa"/>
          </w:tcPr>
          <w:p w14:paraId="6CF7E41D"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Age (SD) or N (%)</w:t>
            </w:r>
          </w:p>
        </w:tc>
        <w:tc>
          <w:tcPr>
            <w:tcW w:w="1289" w:type="dxa"/>
          </w:tcPr>
          <w:p w14:paraId="7CF71582"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Sample Size Female (%)</w:t>
            </w:r>
          </w:p>
        </w:tc>
        <w:tc>
          <w:tcPr>
            <w:tcW w:w="1875" w:type="dxa"/>
          </w:tcPr>
          <w:p w14:paraId="2E010880" w14:textId="77777777" w:rsidR="00F91AB6" w:rsidRPr="001833E1" w:rsidRDefault="00F91AB6" w:rsidP="007D29A5">
            <w:pPr>
              <w:jc w:val="center"/>
              <w:rPr>
                <w:rFonts w:ascii="Times New Roman" w:hAnsi="Times New Roman" w:cs="Times New Roman"/>
                <w:b/>
                <w:bCs/>
                <w:sz w:val="19"/>
                <w:szCs w:val="19"/>
              </w:rPr>
            </w:pPr>
            <w:r w:rsidRPr="001833E1">
              <w:rPr>
                <w:rFonts w:ascii="Times New Roman" w:hAnsi="Times New Roman" w:cs="Times New Roman"/>
                <w:b/>
                <w:bCs/>
                <w:sz w:val="19"/>
                <w:szCs w:val="19"/>
              </w:rPr>
              <w:t>Age (SD) or N(%)</w:t>
            </w:r>
          </w:p>
        </w:tc>
        <w:tc>
          <w:tcPr>
            <w:tcW w:w="2239" w:type="dxa"/>
          </w:tcPr>
          <w:p w14:paraId="78AFDC1B" w14:textId="77777777" w:rsidR="00F91AB6" w:rsidRPr="001833E1" w:rsidRDefault="00F91AB6" w:rsidP="007D29A5">
            <w:pPr>
              <w:jc w:val="center"/>
              <w:rPr>
                <w:rFonts w:ascii="Times New Roman" w:hAnsi="Times New Roman" w:cs="Times New Roman"/>
                <w:b/>
                <w:bCs/>
                <w:sz w:val="19"/>
                <w:szCs w:val="19"/>
              </w:rPr>
            </w:pPr>
          </w:p>
        </w:tc>
        <w:tc>
          <w:tcPr>
            <w:tcW w:w="2243" w:type="dxa"/>
          </w:tcPr>
          <w:p w14:paraId="0D9BEE33" w14:textId="77777777" w:rsidR="00F91AB6" w:rsidRPr="001833E1" w:rsidRDefault="00F91AB6" w:rsidP="007D29A5">
            <w:pPr>
              <w:jc w:val="center"/>
              <w:rPr>
                <w:rFonts w:ascii="Times New Roman" w:hAnsi="Times New Roman" w:cs="Times New Roman"/>
                <w:b/>
                <w:bCs/>
                <w:sz w:val="19"/>
                <w:szCs w:val="19"/>
              </w:rPr>
            </w:pPr>
          </w:p>
        </w:tc>
      </w:tr>
      <w:tr w:rsidR="00F91AB6" w14:paraId="1AC02E99" w14:textId="77777777" w:rsidTr="5BDCD893">
        <w:trPr>
          <w:jc w:val="center"/>
        </w:trPr>
        <w:tc>
          <w:tcPr>
            <w:tcW w:w="1283" w:type="dxa"/>
          </w:tcPr>
          <w:p w14:paraId="56994E8D" w14:textId="77777777" w:rsidR="00F91AB6" w:rsidRPr="001833E1" w:rsidRDefault="00F91AB6" w:rsidP="007D29A5">
            <w:pPr>
              <w:rPr>
                <w:rFonts w:ascii="Times New Roman" w:hAnsi="Times New Roman" w:cs="Times New Roman"/>
                <w:b/>
                <w:bCs/>
                <w:sz w:val="19"/>
                <w:szCs w:val="19"/>
              </w:rPr>
            </w:pPr>
            <w:r w:rsidRPr="001833E1">
              <w:rPr>
                <w:rFonts w:ascii="Times New Roman" w:hAnsi="Times New Roman" w:cs="Times New Roman"/>
                <w:b/>
                <w:bCs/>
                <w:sz w:val="19"/>
                <w:szCs w:val="19"/>
              </w:rPr>
              <w:t xml:space="preserve">Health Care </w:t>
            </w:r>
          </w:p>
        </w:tc>
        <w:tc>
          <w:tcPr>
            <w:tcW w:w="903" w:type="dxa"/>
          </w:tcPr>
          <w:p w14:paraId="6304C8CF" w14:textId="77777777" w:rsidR="00F91AB6" w:rsidRPr="001833E1" w:rsidRDefault="00F91AB6" w:rsidP="007D29A5">
            <w:pPr>
              <w:rPr>
                <w:rFonts w:ascii="Times New Roman" w:hAnsi="Times New Roman" w:cs="Times New Roman"/>
                <w:sz w:val="19"/>
                <w:szCs w:val="19"/>
              </w:rPr>
            </w:pPr>
          </w:p>
        </w:tc>
        <w:tc>
          <w:tcPr>
            <w:tcW w:w="1540" w:type="dxa"/>
          </w:tcPr>
          <w:p w14:paraId="4998870A" w14:textId="77777777" w:rsidR="00F91AB6" w:rsidRPr="001833E1" w:rsidRDefault="00F91AB6" w:rsidP="007D29A5">
            <w:pPr>
              <w:rPr>
                <w:rFonts w:ascii="Times New Roman" w:hAnsi="Times New Roman" w:cs="Times New Roman"/>
                <w:sz w:val="19"/>
                <w:szCs w:val="19"/>
              </w:rPr>
            </w:pPr>
          </w:p>
        </w:tc>
        <w:tc>
          <w:tcPr>
            <w:tcW w:w="2120" w:type="dxa"/>
          </w:tcPr>
          <w:p w14:paraId="7B815C4D" w14:textId="77777777" w:rsidR="00F91AB6" w:rsidRPr="001833E1" w:rsidRDefault="00F91AB6" w:rsidP="007D29A5">
            <w:pPr>
              <w:rPr>
                <w:rFonts w:ascii="Times New Roman" w:hAnsi="Times New Roman" w:cs="Times New Roman"/>
                <w:sz w:val="19"/>
                <w:szCs w:val="19"/>
              </w:rPr>
            </w:pPr>
          </w:p>
        </w:tc>
        <w:tc>
          <w:tcPr>
            <w:tcW w:w="2385" w:type="dxa"/>
          </w:tcPr>
          <w:p w14:paraId="2CBEF5BA" w14:textId="77777777" w:rsidR="00F91AB6" w:rsidRPr="001833E1" w:rsidRDefault="00F91AB6" w:rsidP="007D29A5">
            <w:pPr>
              <w:rPr>
                <w:rFonts w:ascii="Times New Roman" w:hAnsi="Times New Roman" w:cs="Times New Roman"/>
                <w:sz w:val="19"/>
                <w:szCs w:val="19"/>
              </w:rPr>
            </w:pPr>
          </w:p>
        </w:tc>
        <w:tc>
          <w:tcPr>
            <w:tcW w:w="1289" w:type="dxa"/>
          </w:tcPr>
          <w:p w14:paraId="34E5AEDF" w14:textId="77777777" w:rsidR="00F91AB6" w:rsidRPr="001833E1" w:rsidRDefault="00F91AB6" w:rsidP="007D29A5">
            <w:pPr>
              <w:rPr>
                <w:rFonts w:ascii="Times New Roman" w:hAnsi="Times New Roman" w:cs="Times New Roman"/>
                <w:sz w:val="19"/>
                <w:szCs w:val="19"/>
              </w:rPr>
            </w:pPr>
          </w:p>
        </w:tc>
        <w:tc>
          <w:tcPr>
            <w:tcW w:w="1875" w:type="dxa"/>
          </w:tcPr>
          <w:p w14:paraId="6A7273BB" w14:textId="77777777" w:rsidR="00F91AB6" w:rsidRPr="001833E1" w:rsidRDefault="00F91AB6" w:rsidP="007D29A5">
            <w:pPr>
              <w:rPr>
                <w:rFonts w:ascii="Times New Roman" w:hAnsi="Times New Roman" w:cs="Times New Roman"/>
                <w:sz w:val="19"/>
                <w:szCs w:val="19"/>
              </w:rPr>
            </w:pPr>
          </w:p>
        </w:tc>
        <w:tc>
          <w:tcPr>
            <w:tcW w:w="2239" w:type="dxa"/>
          </w:tcPr>
          <w:p w14:paraId="43CEBB27" w14:textId="77777777" w:rsidR="00F91AB6" w:rsidRPr="001833E1" w:rsidRDefault="00F91AB6" w:rsidP="007D29A5">
            <w:pPr>
              <w:rPr>
                <w:rFonts w:ascii="Times New Roman" w:hAnsi="Times New Roman" w:cs="Times New Roman"/>
                <w:sz w:val="19"/>
                <w:szCs w:val="19"/>
              </w:rPr>
            </w:pPr>
          </w:p>
        </w:tc>
        <w:tc>
          <w:tcPr>
            <w:tcW w:w="2243" w:type="dxa"/>
          </w:tcPr>
          <w:p w14:paraId="6CEEA86C" w14:textId="77777777" w:rsidR="00F91AB6" w:rsidRPr="001833E1" w:rsidRDefault="00F91AB6" w:rsidP="007D29A5">
            <w:pPr>
              <w:rPr>
                <w:rFonts w:ascii="Times New Roman" w:hAnsi="Times New Roman" w:cs="Times New Roman"/>
                <w:sz w:val="19"/>
                <w:szCs w:val="19"/>
              </w:rPr>
            </w:pPr>
          </w:p>
        </w:tc>
      </w:tr>
      <w:tr w:rsidR="00F91AB6" w14:paraId="7D6D0EE8" w14:textId="77777777" w:rsidTr="5BDCD893">
        <w:trPr>
          <w:jc w:val="center"/>
        </w:trPr>
        <w:tc>
          <w:tcPr>
            <w:tcW w:w="1283" w:type="dxa"/>
          </w:tcPr>
          <w:p w14:paraId="66283C9B" w14:textId="2127E3F6"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Kiser (2024)</w:t>
            </w:r>
          </w:p>
        </w:tc>
        <w:tc>
          <w:tcPr>
            <w:tcW w:w="903" w:type="dxa"/>
          </w:tcPr>
          <w:p w14:paraId="02DA6305" w14:textId="60BD81EF"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USA</w:t>
            </w:r>
          </w:p>
        </w:tc>
        <w:tc>
          <w:tcPr>
            <w:tcW w:w="1540" w:type="dxa"/>
          </w:tcPr>
          <w:p w14:paraId="0F156B45" w14:textId="612E8DA8"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RCT</w:t>
            </w:r>
          </w:p>
        </w:tc>
        <w:tc>
          <w:tcPr>
            <w:tcW w:w="2120" w:type="dxa"/>
          </w:tcPr>
          <w:p w14:paraId="51FD4C15"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Randomized to intervention: 52 (77.6)</w:t>
            </w:r>
          </w:p>
          <w:p w14:paraId="43C0EF3D" w14:textId="7D5CAA9A"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Received coaching intervention: 40 (76.9)</w:t>
            </w:r>
          </w:p>
        </w:tc>
        <w:tc>
          <w:tcPr>
            <w:tcW w:w="2385" w:type="dxa"/>
          </w:tcPr>
          <w:p w14:paraId="6709C224"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 xml:space="preserve">Randomized to intervention: </w:t>
            </w:r>
          </w:p>
          <w:p w14:paraId="7C69C401"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31-40 years: 28 (41.8%)</w:t>
            </w:r>
          </w:p>
          <w:p w14:paraId="00914DE8"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41-50 years: 24 (35.8%)</w:t>
            </w:r>
          </w:p>
          <w:p w14:paraId="6166745A"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51-60 years: 10 (14.9%)</w:t>
            </w:r>
          </w:p>
          <w:p w14:paraId="328A8DF1"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&gt;60 years: 5 (7.5%)</w:t>
            </w:r>
          </w:p>
          <w:p w14:paraId="0874356A"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 xml:space="preserve">Received coaching intervention  </w:t>
            </w:r>
          </w:p>
          <w:p w14:paraId="6D31D555"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31-40 years: 19 (36.5%)</w:t>
            </w:r>
          </w:p>
          <w:p w14:paraId="2BD21611"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41-50 years: 21 (40.4%)</w:t>
            </w:r>
          </w:p>
          <w:p w14:paraId="35A54B24"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51-60 years: 9 (17.3%)</w:t>
            </w:r>
          </w:p>
          <w:p w14:paraId="5BA6D857" w14:textId="21406A10"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&gt;60 years: 3 (5.8%)</w:t>
            </w:r>
          </w:p>
        </w:tc>
        <w:tc>
          <w:tcPr>
            <w:tcW w:w="1289" w:type="dxa"/>
          </w:tcPr>
          <w:p w14:paraId="2AC67200" w14:textId="3F31B451"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sz w:val="19"/>
                <w:szCs w:val="19"/>
              </w:rPr>
              <w:t>57 (80.3)</w:t>
            </w:r>
          </w:p>
        </w:tc>
        <w:tc>
          <w:tcPr>
            <w:tcW w:w="1875" w:type="dxa"/>
          </w:tcPr>
          <w:p w14:paraId="70DF4C5B"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31-40 years: 28 (39.4%)</w:t>
            </w:r>
          </w:p>
          <w:p w14:paraId="41814375"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41-50 years: 29 (40.8%)</w:t>
            </w:r>
          </w:p>
          <w:p w14:paraId="1705B7D9"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51-60 years: 9 (12.7%)</w:t>
            </w:r>
          </w:p>
          <w:p w14:paraId="1A102F29" w14:textId="516AB93A"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&gt;60 years: 5 (7.0%)</w:t>
            </w:r>
          </w:p>
        </w:tc>
        <w:tc>
          <w:tcPr>
            <w:tcW w:w="2239" w:type="dxa"/>
          </w:tcPr>
          <w:p w14:paraId="79EE0478" w14:textId="0650C528"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color w:val="000000"/>
                <w:sz w:val="19"/>
                <w:szCs w:val="19"/>
              </w:rPr>
              <w:t>Full-time physicians</w:t>
            </w:r>
          </w:p>
        </w:tc>
        <w:tc>
          <w:tcPr>
            <w:tcW w:w="2243" w:type="dxa"/>
          </w:tcPr>
          <w:p w14:paraId="3B2E61DC" w14:textId="63A85643"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sz w:val="19"/>
                <w:szCs w:val="19"/>
              </w:rPr>
              <w:t>Departments within the Massachusetts General Physicians Organization / Large</w:t>
            </w:r>
          </w:p>
        </w:tc>
      </w:tr>
      <w:tr w:rsidR="00F91AB6" w14:paraId="02AEDF7C" w14:textId="77777777" w:rsidTr="5BDCD893">
        <w:trPr>
          <w:jc w:val="center"/>
        </w:trPr>
        <w:tc>
          <w:tcPr>
            <w:tcW w:w="1283" w:type="dxa"/>
          </w:tcPr>
          <w:p w14:paraId="59C864B2" w14:textId="54BA91BF" w:rsidR="00F91AB6" w:rsidRPr="001833E1" w:rsidRDefault="00F91AB6" w:rsidP="00F91AB6">
            <w:pPr>
              <w:rPr>
                <w:rFonts w:ascii="Times New Roman" w:hAnsi="Times New Roman" w:cs="Times New Roman"/>
                <w:sz w:val="19"/>
                <w:szCs w:val="19"/>
              </w:rPr>
            </w:pPr>
            <w:bookmarkStart w:id="0" w:name="_Hlk175691914"/>
            <w:r w:rsidRPr="001833E1">
              <w:rPr>
                <w:rFonts w:ascii="Times New Roman" w:hAnsi="Times New Roman" w:cs="Times New Roman"/>
                <w:sz w:val="19"/>
                <w:szCs w:val="19"/>
              </w:rPr>
              <w:t>Micek (2022)</w:t>
            </w:r>
          </w:p>
        </w:tc>
        <w:tc>
          <w:tcPr>
            <w:tcW w:w="903" w:type="dxa"/>
          </w:tcPr>
          <w:p w14:paraId="61A742C0"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USA</w:t>
            </w:r>
          </w:p>
        </w:tc>
        <w:tc>
          <w:tcPr>
            <w:tcW w:w="1540" w:type="dxa"/>
          </w:tcPr>
          <w:p w14:paraId="68B8ABDF"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Non-randomized controlled trial</w:t>
            </w:r>
          </w:p>
        </w:tc>
        <w:tc>
          <w:tcPr>
            <w:tcW w:w="2120" w:type="dxa"/>
          </w:tcPr>
          <w:p w14:paraId="0FA667FA"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23 (62)</w:t>
            </w:r>
          </w:p>
          <w:p w14:paraId="7DEF8CC0" w14:textId="77777777" w:rsidR="00F91AB6" w:rsidRPr="001833E1" w:rsidRDefault="00F91AB6" w:rsidP="00F91AB6">
            <w:pPr>
              <w:rPr>
                <w:rFonts w:ascii="Times New Roman" w:hAnsi="Times New Roman" w:cs="Times New Roman"/>
                <w:sz w:val="19"/>
                <w:szCs w:val="19"/>
              </w:rPr>
            </w:pPr>
          </w:p>
        </w:tc>
        <w:tc>
          <w:tcPr>
            <w:tcW w:w="2385" w:type="dxa"/>
          </w:tcPr>
          <w:p w14:paraId="69F7A506"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w:t>
            </w:r>
          </w:p>
          <w:p w14:paraId="5C82BA02" w14:textId="77777777" w:rsidR="00F91AB6" w:rsidRPr="001833E1" w:rsidRDefault="00F91AB6" w:rsidP="00F91AB6">
            <w:pPr>
              <w:rPr>
                <w:rFonts w:ascii="Times New Roman" w:hAnsi="Times New Roman" w:cs="Times New Roman"/>
                <w:sz w:val="19"/>
                <w:szCs w:val="19"/>
              </w:rPr>
            </w:pPr>
          </w:p>
        </w:tc>
        <w:tc>
          <w:tcPr>
            <w:tcW w:w="1289" w:type="dxa"/>
          </w:tcPr>
          <w:p w14:paraId="1E26CEF9"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color w:val="000000"/>
                <w:sz w:val="19"/>
                <w:szCs w:val="19"/>
              </w:rPr>
              <w:t xml:space="preserve">46 (68) </w:t>
            </w:r>
          </w:p>
        </w:tc>
        <w:tc>
          <w:tcPr>
            <w:tcW w:w="1875" w:type="dxa"/>
          </w:tcPr>
          <w:p w14:paraId="51DEDDAE"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w:t>
            </w:r>
          </w:p>
        </w:tc>
        <w:tc>
          <w:tcPr>
            <w:tcW w:w="2239" w:type="dxa"/>
          </w:tcPr>
          <w:p w14:paraId="6DEB3107"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 xml:space="preserve">Primary care physicians </w:t>
            </w:r>
          </w:p>
        </w:tc>
        <w:tc>
          <w:tcPr>
            <w:tcW w:w="2243" w:type="dxa"/>
          </w:tcPr>
          <w:p w14:paraId="72C4CB0E"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color w:val="000000"/>
                <w:sz w:val="19"/>
                <w:szCs w:val="19"/>
              </w:rPr>
              <w:t>34 primary care clinics within the University of Wisconsin Health system/ Large</w:t>
            </w:r>
          </w:p>
        </w:tc>
      </w:tr>
      <w:tr w:rsidR="00F91AB6" w14:paraId="29E93936" w14:textId="77777777" w:rsidTr="5BDCD893">
        <w:trPr>
          <w:jc w:val="center"/>
        </w:trPr>
        <w:tc>
          <w:tcPr>
            <w:tcW w:w="1283" w:type="dxa"/>
          </w:tcPr>
          <w:p w14:paraId="09C05438" w14:textId="6C37B90A"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Shan (202</w:t>
            </w:r>
            <w:r w:rsidR="00970B41">
              <w:rPr>
                <w:rFonts w:ascii="Times New Roman" w:hAnsi="Times New Roman" w:cs="Times New Roman"/>
                <w:sz w:val="19"/>
                <w:szCs w:val="19"/>
              </w:rPr>
              <w:t>4</w:t>
            </w:r>
            <w:r w:rsidRPr="001833E1">
              <w:rPr>
                <w:rFonts w:ascii="Times New Roman" w:hAnsi="Times New Roman" w:cs="Times New Roman"/>
                <w:sz w:val="19"/>
                <w:szCs w:val="19"/>
              </w:rPr>
              <w:t>)</w:t>
            </w:r>
          </w:p>
        </w:tc>
        <w:tc>
          <w:tcPr>
            <w:tcW w:w="903" w:type="dxa"/>
          </w:tcPr>
          <w:p w14:paraId="6473D965"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China</w:t>
            </w:r>
          </w:p>
        </w:tc>
        <w:tc>
          <w:tcPr>
            <w:tcW w:w="1540" w:type="dxa"/>
          </w:tcPr>
          <w:p w14:paraId="4B67D90F"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RCT</w:t>
            </w:r>
          </w:p>
        </w:tc>
        <w:tc>
          <w:tcPr>
            <w:tcW w:w="2120" w:type="dxa"/>
          </w:tcPr>
          <w:p w14:paraId="69FF030B"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 xml:space="preserve">40 (100) </w:t>
            </w:r>
          </w:p>
          <w:p w14:paraId="77249ABA" w14:textId="77777777" w:rsidR="00F91AB6" w:rsidRPr="001833E1" w:rsidRDefault="00F91AB6" w:rsidP="00F91AB6">
            <w:pPr>
              <w:rPr>
                <w:rFonts w:ascii="Times New Roman" w:hAnsi="Times New Roman" w:cs="Times New Roman"/>
                <w:sz w:val="19"/>
                <w:szCs w:val="19"/>
              </w:rPr>
            </w:pPr>
          </w:p>
        </w:tc>
        <w:tc>
          <w:tcPr>
            <w:tcW w:w="2385" w:type="dxa"/>
          </w:tcPr>
          <w:p w14:paraId="5250DAB0"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47.3 (6.7)</w:t>
            </w:r>
          </w:p>
        </w:tc>
        <w:tc>
          <w:tcPr>
            <w:tcW w:w="1289" w:type="dxa"/>
          </w:tcPr>
          <w:p w14:paraId="02E27B5E"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40 (100)</w:t>
            </w:r>
          </w:p>
        </w:tc>
        <w:tc>
          <w:tcPr>
            <w:tcW w:w="1875" w:type="dxa"/>
          </w:tcPr>
          <w:p w14:paraId="45A36811"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46.4 (6.9)</w:t>
            </w:r>
          </w:p>
        </w:tc>
        <w:tc>
          <w:tcPr>
            <w:tcW w:w="2239" w:type="dxa"/>
          </w:tcPr>
          <w:p w14:paraId="28DC2062"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 xml:space="preserve"> Head nurses</w:t>
            </w:r>
          </w:p>
          <w:p w14:paraId="1FD30FAB" w14:textId="77777777" w:rsidR="00F91AB6" w:rsidRPr="001833E1" w:rsidRDefault="00F91AB6" w:rsidP="00F91AB6">
            <w:pPr>
              <w:rPr>
                <w:rFonts w:ascii="Times New Roman" w:hAnsi="Times New Roman" w:cs="Times New Roman"/>
                <w:color w:val="000000"/>
                <w:sz w:val="19"/>
                <w:szCs w:val="19"/>
              </w:rPr>
            </w:pPr>
          </w:p>
        </w:tc>
        <w:tc>
          <w:tcPr>
            <w:tcW w:w="2243" w:type="dxa"/>
          </w:tcPr>
          <w:p w14:paraId="7F0CD235"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General hospital/Large</w:t>
            </w:r>
          </w:p>
        </w:tc>
      </w:tr>
      <w:tr w:rsidR="00F91AB6" w14:paraId="717E5C4F" w14:textId="77777777" w:rsidTr="5BDCD893">
        <w:trPr>
          <w:jc w:val="center"/>
        </w:trPr>
        <w:tc>
          <w:tcPr>
            <w:tcW w:w="1283" w:type="dxa"/>
          </w:tcPr>
          <w:p w14:paraId="6FD7D22B" w14:textId="0C790B26"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Wang (2024)</w:t>
            </w:r>
          </w:p>
        </w:tc>
        <w:tc>
          <w:tcPr>
            <w:tcW w:w="903" w:type="dxa"/>
          </w:tcPr>
          <w:p w14:paraId="291E785D"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China</w:t>
            </w:r>
          </w:p>
        </w:tc>
        <w:tc>
          <w:tcPr>
            <w:tcW w:w="1540" w:type="dxa"/>
          </w:tcPr>
          <w:p w14:paraId="10FC4C46"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RCT</w:t>
            </w:r>
          </w:p>
        </w:tc>
        <w:tc>
          <w:tcPr>
            <w:tcW w:w="2120" w:type="dxa"/>
          </w:tcPr>
          <w:p w14:paraId="3A06CDA8"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39 (89.7)</w:t>
            </w:r>
          </w:p>
        </w:tc>
        <w:tc>
          <w:tcPr>
            <w:tcW w:w="2385" w:type="dxa"/>
          </w:tcPr>
          <w:p w14:paraId="320C70A9"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21–30 years:  33 (76.9%)</w:t>
            </w:r>
          </w:p>
          <w:p w14:paraId="224AD9F0"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&gt; 30 years: 11 (23.1)</w:t>
            </w:r>
          </w:p>
        </w:tc>
        <w:tc>
          <w:tcPr>
            <w:tcW w:w="1289" w:type="dxa"/>
          </w:tcPr>
          <w:p w14:paraId="2C979E29"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43 (90.2)</w:t>
            </w:r>
          </w:p>
        </w:tc>
        <w:tc>
          <w:tcPr>
            <w:tcW w:w="1875" w:type="dxa"/>
          </w:tcPr>
          <w:p w14:paraId="4F9B59CB"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21–30 years:  36 (73.2)</w:t>
            </w:r>
          </w:p>
          <w:p w14:paraId="15D0A4DA"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&gt; 30 years: 11 (26.8)</w:t>
            </w:r>
          </w:p>
        </w:tc>
        <w:tc>
          <w:tcPr>
            <w:tcW w:w="2239" w:type="dxa"/>
          </w:tcPr>
          <w:p w14:paraId="00510C73"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Front-line healthcare workers</w:t>
            </w:r>
          </w:p>
        </w:tc>
        <w:tc>
          <w:tcPr>
            <w:tcW w:w="2243" w:type="dxa"/>
          </w:tcPr>
          <w:p w14:paraId="405755AB"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Second Xiangya Hospital, Central South University/ Large</w:t>
            </w:r>
          </w:p>
        </w:tc>
      </w:tr>
      <w:bookmarkEnd w:id="0"/>
      <w:tr w:rsidR="00F91AB6" w14:paraId="12F1D3CC" w14:textId="77777777" w:rsidTr="5BDCD893">
        <w:trPr>
          <w:jc w:val="center"/>
        </w:trPr>
        <w:tc>
          <w:tcPr>
            <w:tcW w:w="1283" w:type="dxa"/>
          </w:tcPr>
          <w:p w14:paraId="17A82D1A" w14:textId="77777777" w:rsidR="00F91AB6" w:rsidRPr="001833E1" w:rsidRDefault="00F91AB6" w:rsidP="00F91AB6">
            <w:pPr>
              <w:rPr>
                <w:rFonts w:ascii="Times New Roman" w:hAnsi="Times New Roman" w:cs="Times New Roman"/>
                <w:b/>
                <w:bCs/>
                <w:sz w:val="19"/>
                <w:szCs w:val="19"/>
              </w:rPr>
            </w:pPr>
            <w:r w:rsidRPr="001833E1">
              <w:rPr>
                <w:rFonts w:ascii="Times New Roman" w:hAnsi="Times New Roman" w:cs="Times New Roman"/>
                <w:b/>
                <w:bCs/>
                <w:sz w:val="19"/>
                <w:szCs w:val="19"/>
              </w:rPr>
              <w:t>TICTM</w:t>
            </w:r>
          </w:p>
        </w:tc>
        <w:tc>
          <w:tcPr>
            <w:tcW w:w="903" w:type="dxa"/>
          </w:tcPr>
          <w:p w14:paraId="35A44110" w14:textId="77777777" w:rsidR="00F91AB6" w:rsidRPr="001833E1" w:rsidRDefault="00F91AB6" w:rsidP="00F91AB6">
            <w:pPr>
              <w:rPr>
                <w:rFonts w:ascii="Times New Roman" w:hAnsi="Times New Roman" w:cs="Times New Roman"/>
                <w:sz w:val="19"/>
                <w:szCs w:val="19"/>
              </w:rPr>
            </w:pPr>
          </w:p>
        </w:tc>
        <w:tc>
          <w:tcPr>
            <w:tcW w:w="1540" w:type="dxa"/>
          </w:tcPr>
          <w:p w14:paraId="7960D71B" w14:textId="77777777" w:rsidR="00F91AB6" w:rsidRPr="001833E1" w:rsidRDefault="00F91AB6" w:rsidP="00F91AB6">
            <w:pPr>
              <w:rPr>
                <w:rFonts w:ascii="Times New Roman" w:hAnsi="Times New Roman" w:cs="Times New Roman"/>
                <w:sz w:val="19"/>
                <w:szCs w:val="19"/>
              </w:rPr>
            </w:pPr>
          </w:p>
        </w:tc>
        <w:tc>
          <w:tcPr>
            <w:tcW w:w="2120" w:type="dxa"/>
          </w:tcPr>
          <w:p w14:paraId="13290DEA" w14:textId="77777777" w:rsidR="00F91AB6" w:rsidRPr="001833E1" w:rsidRDefault="00F91AB6" w:rsidP="00F91AB6">
            <w:pPr>
              <w:rPr>
                <w:rFonts w:ascii="Times New Roman" w:hAnsi="Times New Roman" w:cs="Times New Roman"/>
                <w:sz w:val="19"/>
                <w:szCs w:val="19"/>
              </w:rPr>
            </w:pPr>
          </w:p>
        </w:tc>
        <w:tc>
          <w:tcPr>
            <w:tcW w:w="2385" w:type="dxa"/>
          </w:tcPr>
          <w:p w14:paraId="29077B16" w14:textId="77777777" w:rsidR="00F91AB6" w:rsidRPr="001833E1" w:rsidRDefault="00F91AB6" w:rsidP="00F91AB6">
            <w:pPr>
              <w:rPr>
                <w:rFonts w:ascii="Times New Roman" w:hAnsi="Times New Roman" w:cs="Times New Roman"/>
                <w:sz w:val="19"/>
                <w:szCs w:val="19"/>
              </w:rPr>
            </w:pPr>
          </w:p>
        </w:tc>
        <w:tc>
          <w:tcPr>
            <w:tcW w:w="1289" w:type="dxa"/>
          </w:tcPr>
          <w:p w14:paraId="1F09D3DC" w14:textId="77777777" w:rsidR="00F91AB6" w:rsidRPr="001833E1" w:rsidRDefault="00F91AB6" w:rsidP="00F91AB6">
            <w:pPr>
              <w:rPr>
                <w:rFonts w:ascii="Times New Roman" w:hAnsi="Times New Roman" w:cs="Times New Roman"/>
                <w:sz w:val="19"/>
                <w:szCs w:val="19"/>
              </w:rPr>
            </w:pPr>
          </w:p>
        </w:tc>
        <w:tc>
          <w:tcPr>
            <w:tcW w:w="1875" w:type="dxa"/>
          </w:tcPr>
          <w:p w14:paraId="571162BB" w14:textId="77777777" w:rsidR="00F91AB6" w:rsidRPr="001833E1" w:rsidRDefault="00F91AB6" w:rsidP="00F91AB6">
            <w:pPr>
              <w:rPr>
                <w:rFonts w:ascii="Times New Roman" w:hAnsi="Times New Roman" w:cs="Times New Roman"/>
                <w:sz w:val="19"/>
                <w:szCs w:val="19"/>
              </w:rPr>
            </w:pPr>
          </w:p>
        </w:tc>
        <w:tc>
          <w:tcPr>
            <w:tcW w:w="2239" w:type="dxa"/>
          </w:tcPr>
          <w:p w14:paraId="51058888" w14:textId="77777777" w:rsidR="00F91AB6" w:rsidRPr="001833E1" w:rsidRDefault="00F91AB6" w:rsidP="00F91AB6">
            <w:pPr>
              <w:rPr>
                <w:rFonts w:ascii="Times New Roman" w:hAnsi="Times New Roman" w:cs="Times New Roman"/>
                <w:sz w:val="19"/>
                <w:szCs w:val="19"/>
              </w:rPr>
            </w:pPr>
          </w:p>
        </w:tc>
        <w:tc>
          <w:tcPr>
            <w:tcW w:w="2243" w:type="dxa"/>
          </w:tcPr>
          <w:p w14:paraId="5C53B91F" w14:textId="77777777" w:rsidR="00F91AB6" w:rsidRPr="001833E1" w:rsidRDefault="00F91AB6" w:rsidP="00F91AB6">
            <w:pPr>
              <w:rPr>
                <w:rFonts w:ascii="Times New Roman" w:hAnsi="Times New Roman" w:cs="Times New Roman"/>
                <w:sz w:val="19"/>
                <w:szCs w:val="19"/>
              </w:rPr>
            </w:pPr>
          </w:p>
        </w:tc>
      </w:tr>
      <w:tr w:rsidR="00F91AB6" w14:paraId="431409B3" w14:textId="77777777" w:rsidTr="5BDCD893">
        <w:trPr>
          <w:jc w:val="center"/>
        </w:trPr>
        <w:tc>
          <w:tcPr>
            <w:tcW w:w="1283" w:type="dxa"/>
          </w:tcPr>
          <w:p w14:paraId="62570469" w14:textId="682B71FF"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Falk</w:t>
            </w:r>
            <w:r w:rsidRPr="001833E1">
              <w:rPr>
                <w:rFonts w:ascii="Times New Roman" w:hAnsi="Times New Roman" w:cs="Times New Roman"/>
                <w:color w:val="2D374B"/>
                <w:sz w:val="19"/>
                <w:szCs w:val="19"/>
                <w:shd w:val="clear" w:color="auto" w:fill="FFFFFF"/>
              </w:rPr>
              <w:t xml:space="preserve"> (2022)</w:t>
            </w:r>
          </w:p>
        </w:tc>
        <w:tc>
          <w:tcPr>
            <w:tcW w:w="903" w:type="dxa"/>
          </w:tcPr>
          <w:p w14:paraId="262095E1"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USA</w:t>
            </w:r>
          </w:p>
        </w:tc>
        <w:tc>
          <w:tcPr>
            <w:tcW w:w="1540" w:type="dxa"/>
          </w:tcPr>
          <w:p w14:paraId="4B22AB02"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RCT</w:t>
            </w:r>
          </w:p>
        </w:tc>
        <w:tc>
          <w:tcPr>
            <w:tcW w:w="2120" w:type="dxa"/>
          </w:tcPr>
          <w:p w14:paraId="0C075681"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Desk Only: 19 (79.2)</w:t>
            </w:r>
          </w:p>
          <w:p w14:paraId="108E4020"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Program Only: 16 (76.2)</w:t>
            </w:r>
          </w:p>
          <w:p w14:paraId="3C3EB403"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sz w:val="19"/>
                <w:szCs w:val="19"/>
              </w:rPr>
              <w:t>Desk+Program: 16 (76.2)</w:t>
            </w:r>
          </w:p>
        </w:tc>
        <w:tc>
          <w:tcPr>
            <w:tcW w:w="2385" w:type="dxa"/>
          </w:tcPr>
          <w:p w14:paraId="4C8CAD42"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Desk Only: 46.5 (10.03)</w:t>
            </w:r>
          </w:p>
          <w:p w14:paraId="4BDF9278"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Program Only: 43.1 (12.32)</w:t>
            </w:r>
          </w:p>
          <w:p w14:paraId="5B02E919"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sz w:val="19"/>
                <w:szCs w:val="19"/>
              </w:rPr>
              <w:t>Desk+Program: 42.0 (9.36)</w:t>
            </w:r>
          </w:p>
        </w:tc>
        <w:tc>
          <w:tcPr>
            <w:tcW w:w="1289" w:type="dxa"/>
          </w:tcPr>
          <w:p w14:paraId="19B54651"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19 (82.6)</w:t>
            </w:r>
          </w:p>
        </w:tc>
        <w:tc>
          <w:tcPr>
            <w:tcW w:w="1875" w:type="dxa"/>
          </w:tcPr>
          <w:p w14:paraId="5A5749EC"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45.2 (10.79)</w:t>
            </w:r>
          </w:p>
        </w:tc>
        <w:tc>
          <w:tcPr>
            <w:tcW w:w="2239" w:type="dxa"/>
          </w:tcPr>
          <w:p w14:paraId="61BBBAEC"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color w:val="000000"/>
                <w:sz w:val="19"/>
                <w:szCs w:val="19"/>
              </w:rPr>
              <w:t>University employees</w:t>
            </w:r>
          </w:p>
        </w:tc>
        <w:tc>
          <w:tcPr>
            <w:tcW w:w="2243" w:type="dxa"/>
          </w:tcPr>
          <w:p w14:paraId="79FEE7EB"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w:t>
            </w:r>
          </w:p>
        </w:tc>
      </w:tr>
      <w:tr w:rsidR="00F91AB6" w14:paraId="68BFBB2C" w14:textId="77777777" w:rsidTr="5BDCD893">
        <w:trPr>
          <w:jc w:val="center"/>
        </w:trPr>
        <w:tc>
          <w:tcPr>
            <w:tcW w:w="1283" w:type="dxa"/>
          </w:tcPr>
          <w:p w14:paraId="72C4DE15" w14:textId="77777777" w:rsidR="00F91AB6" w:rsidRPr="001833E1" w:rsidRDefault="00F91AB6" w:rsidP="00F91AB6">
            <w:pPr>
              <w:rPr>
                <w:rFonts w:ascii="Times New Roman" w:hAnsi="Times New Roman" w:cs="Times New Roman"/>
                <w:b/>
                <w:bCs/>
                <w:sz w:val="19"/>
                <w:szCs w:val="19"/>
              </w:rPr>
            </w:pPr>
            <w:r w:rsidRPr="001833E1">
              <w:rPr>
                <w:rFonts w:ascii="Times New Roman" w:hAnsi="Times New Roman" w:cs="Times New Roman"/>
                <w:b/>
                <w:bCs/>
                <w:sz w:val="19"/>
                <w:szCs w:val="19"/>
              </w:rPr>
              <w:t xml:space="preserve">Construction </w:t>
            </w:r>
          </w:p>
        </w:tc>
        <w:tc>
          <w:tcPr>
            <w:tcW w:w="903" w:type="dxa"/>
          </w:tcPr>
          <w:p w14:paraId="6B0C2731" w14:textId="77777777" w:rsidR="00F91AB6" w:rsidRPr="001833E1" w:rsidRDefault="00F91AB6" w:rsidP="00F91AB6">
            <w:pPr>
              <w:rPr>
                <w:rFonts w:ascii="Times New Roman" w:hAnsi="Times New Roman" w:cs="Times New Roman"/>
                <w:sz w:val="19"/>
                <w:szCs w:val="19"/>
              </w:rPr>
            </w:pPr>
          </w:p>
        </w:tc>
        <w:tc>
          <w:tcPr>
            <w:tcW w:w="1540" w:type="dxa"/>
          </w:tcPr>
          <w:p w14:paraId="4C486F26" w14:textId="77777777" w:rsidR="00F91AB6" w:rsidRPr="001833E1" w:rsidRDefault="00F91AB6" w:rsidP="00F91AB6">
            <w:pPr>
              <w:rPr>
                <w:rFonts w:ascii="Times New Roman" w:hAnsi="Times New Roman" w:cs="Times New Roman"/>
                <w:sz w:val="19"/>
                <w:szCs w:val="19"/>
              </w:rPr>
            </w:pPr>
          </w:p>
        </w:tc>
        <w:tc>
          <w:tcPr>
            <w:tcW w:w="2120" w:type="dxa"/>
          </w:tcPr>
          <w:p w14:paraId="11DCD176" w14:textId="77777777" w:rsidR="00F91AB6" w:rsidRPr="001833E1" w:rsidRDefault="00F91AB6" w:rsidP="00F91AB6">
            <w:pPr>
              <w:rPr>
                <w:rFonts w:ascii="Times New Roman" w:hAnsi="Times New Roman" w:cs="Times New Roman"/>
                <w:color w:val="000000"/>
                <w:sz w:val="19"/>
                <w:szCs w:val="19"/>
              </w:rPr>
            </w:pPr>
          </w:p>
        </w:tc>
        <w:tc>
          <w:tcPr>
            <w:tcW w:w="2385" w:type="dxa"/>
          </w:tcPr>
          <w:p w14:paraId="5F5C485F" w14:textId="77777777" w:rsidR="00F91AB6" w:rsidRPr="001833E1" w:rsidRDefault="00F91AB6" w:rsidP="00F91AB6">
            <w:pPr>
              <w:rPr>
                <w:rFonts w:ascii="Times New Roman" w:hAnsi="Times New Roman" w:cs="Times New Roman"/>
                <w:sz w:val="19"/>
                <w:szCs w:val="19"/>
              </w:rPr>
            </w:pPr>
          </w:p>
        </w:tc>
        <w:tc>
          <w:tcPr>
            <w:tcW w:w="1289" w:type="dxa"/>
          </w:tcPr>
          <w:p w14:paraId="725160AA" w14:textId="77777777" w:rsidR="00F91AB6" w:rsidRPr="001833E1" w:rsidRDefault="00F91AB6" w:rsidP="00F91AB6">
            <w:pPr>
              <w:rPr>
                <w:rFonts w:ascii="Times New Roman" w:hAnsi="Times New Roman" w:cs="Times New Roman"/>
                <w:color w:val="000000"/>
                <w:sz w:val="19"/>
                <w:szCs w:val="19"/>
              </w:rPr>
            </w:pPr>
          </w:p>
        </w:tc>
        <w:tc>
          <w:tcPr>
            <w:tcW w:w="1875" w:type="dxa"/>
          </w:tcPr>
          <w:p w14:paraId="36F65923" w14:textId="77777777" w:rsidR="00F91AB6" w:rsidRPr="001833E1" w:rsidRDefault="00F91AB6" w:rsidP="00F91AB6">
            <w:pPr>
              <w:rPr>
                <w:rFonts w:ascii="Times New Roman" w:hAnsi="Times New Roman" w:cs="Times New Roman"/>
                <w:sz w:val="19"/>
                <w:szCs w:val="19"/>
              </w:rPr>
            </w:pPr>
          </w:p>
        </w:tc>
        <w:tc>
          <w:tcPr>
            <w:tcW w:w="2239" w:type="dxa"/>
          </w:tcPr>
          <w:p w14:paraId="23C66577" w14:textId="77777777" w:rsidR="00F91AB6" w:rsidRPr="001833E1" w:rsidRDefault="00F91AB6" w:rsidP="00F91AB6">
            <w:pPr>
              <w:rPr>
                <w:rFonts w:ascii="Times New Roman" w:hAnsi="Times New Roman" w:cs="Times New Roman"/>
                <w:sz w:val="19"/>
                <w:szCs w:val="19"/>
              </w:rPr>
            </w:pPr>
          </w:p>
        </w:tc>
        <w:tc>
          <w:tcPr>
            <w:tcW w:w="2243" w:type="dxa"/>
          </w:tcPr>
          <w:p w14:paraId="0D2F403A" w14:textId="77777777" w:rsidR="00F91AB6" w:rsidRPr="001833E1" w:rsidRDefault="00F91AB6" w:rsidP="00F91AB6">
            <w:pPr>
              <w:rPr>
                <w:rFonts w:ascii="Times New Roman" w:hAnsi="Times New Roman" w:cs="Times New Roman"/>
                <w:sz w:val="19"/>
                <w:szCs w:val="19"/>
              </w:rPr>
            </w:pPr>
          </w:p>
        </w:tc>
      </w:tr>
      <w:tr w:rsidR="00F91AB6" w14:paraId="20D4AD67" w14:textId="77777777" w:rsidTr="5BDCD893">
        <w:trPr>
          <w:jc w:val="center"/>
        </w:trPr>
        <w:tc>
          <w:tcPr>
            <w:tcW w:w="1283" w:type="dxa"/>
          </w:tcPr>
          <w:p w14:paraId="1E7C797A" w14:textId="60048D70"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Cedstrand (2022)</w:t>
            </w:r>
          </w:p>
        </w:tc>
        <w:tc>
          <w:tcPr>
            <w:tcW w:w="903" w:type="dxa"/>
          </w:tcPr>
          <w:p w14:paraId="2DE36F92"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Sweden</w:t>
            </w:r>
          </w:p>
        </w:tc>
        <w:tc>
          <w:tcPr>
            <w:tcW w:w="1540" w:type="dxa"/>
          </w:tcPr>
          <w:p w14:paraId="093C0A6F"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Non-randomized controlled trial</w:t>
            </w:r>
          </w:p>
        </w:tc>
        <w:tc>
          <w:tcPr>
            <w:tcW w:w="2120" w:type="dxa"/>
          </w:tcPr>
          <w:p w14:paraId="5F69085C"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41 (20.2)</w:t>
            </w:r>
          </w:p>
        </w:tc>
        <w:tc>
          <w:tcPr>
            <w:tcW w:w="2385" w:type="dxa"/>
          </w:tcPr>
          <w:p w14:paraId="5B728890"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39.4 (12.5)</w:t>
            </w:r>
          </w:p>
        </w:tc>
        <w:tc>
          <w:tcPr>
            <w:tcW w:w="1289" w:type="dxa"/>
          </w:tcPr>
          <w:p w14:paraId="53EDDFAB"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20 (16.1)</w:t>
            </w:r>
          </w:p>
        </w:tc>
        <w:tc>
          <w:tcPr>
            <w:tcW w:w="1875" w:type="dxa"/>
          </w:tcPr>
          <w:p w14:paraId="67AA776A" w14:textId="77777777" w:rsidR="00F91AB6" w:rsidRPr="001833E1" w:rsidRDefault="00F91AB6" w:rsidP="00F91AB6">
            <w:pPr>
              <w:rPr>
                <w:rFonts w:ascii="Times New Roman" w:hAnsi="Times New Roman" w:cs="Times New Roman"/>
                <w:color w:val="000000"/>
                <w:sz w:val="19"/>
                <w:szCs w:val="19"/>
              </w:rPr>
            </w:pPr>
            <w:r w:rsidRPr="001833E1">
              <w:rPr>
                <w:rFonts w:ascii="Times New Roman" w:hAnsi="Times New Roman" w:cs="Times New Roman"/>
                <w:color w:val="000000"/>
                <w:sz w:val="19"/>
                <w:szCs w:val="19"/>
              </w:rPr>
              <w:t xml:space="preserve"> 44.2 (12.9)</w:t>
            </w:r>
          </w:p>
        </w:tc>
        <w:tc>
          <w:tcPr>
            <w:tcW w:w="2239" w:type="dxa"/>
          </w:tcPr>
          <w:p w14:paraId="11B4049D"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Professionals, including first-line managers, site managers, project managers, and project or production engineers, and  trade workers​</w:t>
            </w:r>
          </w:p>
        </w:tc>
        <w:tc>
          <w:tcPr>
            <w:tcW w:w="2243" w:type="dxa"/>
          </w:tcPr>
          <w:p w14:paraId="4221AC1D" w14:textId="77777777" w:rsidR="00F91AB6" w:rsidRPr="001833E1" w:rsidRDefault="00F91AB6" w:rsidP="00F91AB6">
            <w:pPr>
              <w:rPr>
                <w:rFonts w:ascii="Times New Roman" w:hAnsi="Times New Roman" w:cs="Times New Roman"/>
                <w:sz w:val="19"/>
                <w:szCs w:val="19"/>
              </w:rPr>
            </w:pPr>
            <w:r w:rsidRPr="001833E1">
              <w:rPr>
                <w:rFonts w:ascii="Times New Roman" w:hAnsi="Times New Roman" w:cs="Times New Roman"/>
                <w:sz w:val="19"/>
                <w:szCs w:val="19"/>
              </w:rPr>
              <w:t>Two regions within Swedish construction company/Large</w:t>
            </w:r>
          </w:p>
        </w:tc>
      </w:tr>
    </w:tbl>
    <w:p w14:paraId="136E4009" w14:textId="77777777" w:rsidR="00086439" w:rsidRDefault="00086439" w:rsidP="5BDCD893">
      <w:pPr>
        <w:rPr>
          <w:rFonts w:ascii="Times New Roman" w:hAnsi="Times New Roman" w:cs="Times New Roman"/>
          <w:b/>
          <w:bCs/>
          <w:lang w:val="en-GB"/>
        </w:rPr>
      </w:pPr>
    </w:p>
    <w:p w14:paraId="1EF8D61B" w14:textId="6EFDA34A" w:rsidR="004109B0" w:rsidRPr="007D00BD" w:rsidRDefault="004109B0" w:rsidP="5BDCD893">
      <w:pPr>
        <w:rPr>
          <w:rFonts w:ascii="Times New Roman" w:hAnsi="Times New Roman" w:cs="Times New Roman"/>
          <w:b/>
          <w:bCs/>
          <w:lang w:val="en-GB"/>
        </w:rPr>
      </w:pPr>
      <w:r w:rsidRPr="5BDCD893">
        <w:rPr>
          <w:rFonts w:ascii="Times New Roman" w:hAnsi="Times New Roman" w:cs="Times New Roman"/>
          <w:b/>
          <w:bCs/>
          <w:lang w:val="en-GB"/>
        </w:rPr>
        <w:lastRenderedPageBreak/>
        <w:t>C2. Intervention Characteristics</w:t>
      </w:r>
    </w:p>
    <w:p w14:paraId="2DE56196" w14:textId="70C33E31" w:rsidR="00C44169" w:rsidRPr="009F2519" w:rsidRDefault="00C44169" w:rsidP="00C44169">
      <w:pPr>
        <w:spacing w:after="0" w:line="240" w:lineRule="auto"/>
        <w:rPr>
          <w:rFonts w:ascii="Times New Roman" w:hAnsi="Times New Roman" w:cs="Times New Roman"/>
          <w:sz w:val="22"/>
          <w:szCs w:val="22"/>
          <w:lang w:val="en-US"/>
        </w:rPr>
      </w:pPr>
      <w:r w:rsidRPr="009F2519">
        <w:rPr>
          <w:rFonts w:ascii="Times New Roman" w:hAnsi="Times New Roman" w:cs="Times New Roman"/>
          <w:b/>
          <w:bCs/>
          <w:sz w:val="22"/>
          <w:szCs w:val="22"/>
          <w:lang w:val="en-US"/>
        </w:rPr>
        <w:t xml:space="preserve">Table C2. </w:t>
      </w:r>
      <w:r w:rsidRPr="009F2519">
        <w:rPr>
          <w:rFonts w:ascii="Times New Roman" w:hAnsi="Times New Roman" w:cs="Times New Roman"/>
          <w:sz w:val="22"/>
          <w:szCs w:val="22"/>
          <w:lang w:val="en-US"/>
        </w:rPr>
        <w:t>Intervention characteristics of the included studies</w:t>
      </w:r>
    </w:p>
    <w:tbl>
      <w:tblPr>
        <w:tblStyle w:val="TableGrid"/>
        <w:tblW w:w="16155" w:type="dxa"/>
        <w:jc w:val="center"/>
        <w:tblLook w:val="04A0" w:firstRow="1" w:lastRow="0" w:firstColumn="1" w:lastColumn="0" w:noHBand="0" w:noVBand="1"/>
      </w:tblPr>
      <w:tblGrid>
        <w:gridCol w:w="1207"/>
        <w:gridCol w:w="4175"/>
        <w:gridCol w:w="7500"/>
        <w:gridCol w:w="1156"/>
        <w:gridCol w:w="2117"/>
      </w:tblGrid>
      <w:tr w:rsidR="00C44169" w14:paraId="70D87726" w14:textId="77777777" w:rsidTr="009F2519">
        <w:trPr>
          <w:trHeight w:val="619"/>
          <w:jc w:val="center"/>
        </w:trPr>
        <w:tc>
          <w:tcPr>
            <w:tcW w:w="1207" w:type="dxa"/>
          </w:tcPr>
          <w:p w14:paraId="53DD808C" w14:textId="40A82CAA" w:rsidR="00C44169" w:rsidRPr="004109B0" w:rsidRDefault="00C44169" w:rsidP="007D29A5">
            <w:pPr>
              <w:jc w:val="center"/>
              <w:rPr>
                <w:rFonts w:ascii="Times New Roman" w:hAnsi="Times New Roman" w:cs="Times New Roman"/>
                <w:b/>
                <w:bCs/>
                <w:sz w:val="16"/>
                <w:szCs w:val="16"/>
              </w:rPr>
            </w:pPr>
            <w:r w:rsidRPr="004109B0">
              <w:rPr>
                <w:rFonts w:ascii="Times New Roman" w:hAnsi="Times New Roman" w:cs="Times New Roman"/>
                <w:b/>
                <w:bCs/>
                <w:sz w:val="16"/>
                <w:szCs w:val="16"/>
              </w:rPr>
              <w:t>Study/Sector</w:t>
            </w:r>
          </w:p>
        </w:tc>
        <w:tc>
          <w:tcPr>
            <w:tcW w:w="4175" w:type="dxa"/>
          </w:tcPr>
          <w:p w14:paraId="5CE5C21A" w14:textId="77777777" w:rsidR="00C44169" w:rsidRPr="004109B0" w:rsidRDefault="00C44169" w:rsidP="007D29A5">
            <w:pPr>
              <w:jc w:val="center"/>
              <w:rPr>
                <w:rFonts w:ascii="Times New Roman" w:hAnsi="Times New Roman" w:cs="Times New Roman"/>
                <w:b/>
                <w:bCs/>
                <w:sz w:val="16"/>
                <w:szCs w:val="16"/>
              </w:rPr>
            </w:pPr>
            <w:r w:rsidRPr="004109B0">
              <w:rPr>
                <w:rFonts w:ascii="Times New Roman" w:hAnsi="Times New Roman" w:cs="Times New Roman"/>
                <w:b/>
                <w:bCs/>
                <w:sz w:val="16"/>
                <w:szCs w:val="16"/>
              </w:rPr>
              <w:t>Primary Aim</w:t>
            </w:r>
          </w:p>
        </w:tc>
        <w:tc>
          <w:tcPr>
            <w:tcW w:w="7500" w:type="dxa"/>
          </w:tcPr>
          <w:p w14:paraId="75544CEA" w14:textId="77777777" w:rsidR="00C44169" w:rsidRPr="004109B0" w:rsidRDefault="00C44169" w:rsidP="007D29A5">
            <w:pPr>
              <w:jc w:val="center"/>
              <w:rPr>
                <w:rFonts w:ascii="Times New Roman" w:hAnsi="Times New Roman" w:cs="Times New Roman"/>
                <w:b/>
                <w:bCs/>
                <w:sz w:val="16"/>
                <w:szCs w:val="16"/>
              </w:rPr>
            </w:pPr>
            <w:r w:rsidRPr="004109B0">
              <w:rPr>
                <w:rFonts w:ascii="Times New Roman" w:hAnsi="Times New Roman" w:cs="Times New Roman"/>
                <w:b/>
                <w:bCs/>
                <w:sz w:val="16"/>
                <w:szCs w:val="16"/>
              </w:rPr>
              <w:t>Intervention Details</w:t>
            </w:r>
          </w:p>
        </w:tc>
        <w:tc>
          <w:tcPr>
            <w:tcW w:w="1156" w:type="dxa"/>
          </w:tcPr>
          <w:p w14:paraId="3E17954F" w14:textId="77777777" w:rsidR="00C44169" w:rsidRPr="004109B0" w:rsidRDefault="00C44169" w:rsidP="007D29A5">
            <w:pPr>
              <w:jc w:val="center"/>
              <w:rPr>
                <w:rFonts w:ascii="Times New Roman" w:hAnsi="Times New Roman" w:cs="Times New Roman"/>
                <w:b/>
                <w:bCs/>
                <w:sz w:val="16"/>
                <w:szCs w:val="16"/>
              </w:rPr>
            </w:pPr>
            <w:r w:rsidRPr="004109B0">
              <w:rPr>
                <w:rFonts w:ascii="Times New Roman" w:hAnsi="Times New Roman" w:cs="Times New Roman"/>
                <w:b/>
                <w:bCs/>
                <w:sz w:val="16"/>
                <w:szCs w:val="16"/>
              </w:rPr>
              <w:t>Duration of intervention</w:t>
            </w:r>
          </w:p>
        </w:tc>
        <w:tc>
          <w:tcPr>
            <w:tcW w:w="2117" w:type="dxa"/>
          </w:tcPr>
          <w:p w14:paraId="29C7CB8C" w14:textId="77777777" w:rsidR="00C44169" w:rsidRPr="004109B0" w:rsidRDefault="00C44169" w:rsidP="007D29A5">
            <w:pPr>
              <w:jc w:val="center"/>
              <w:rPr>
                <w:rFonts w:ascii="Times New Roman" w:hAnsi="Times New Roman" w:cs="Times New Roman"/>
                <w:b/>
                <w:bCs/>
                <w:sz w:val="16"/>
                <w:szCs w:val="16"/>
              </w:rPr>
            </w:pPr>
            <w:r w:rsidRPr="004109B0">
              <w:rPr>
                <w:rFonts w:ascii="Times New Roman" w:hAnsi="Times New Roman" w:cs="Times New Roman"/>
                <w:b/>
                <w:bCs/>
                <w:sz w:val="16"/>
                <w:szCs w:val="16"/>
              </w:rPr>
              <w:t>Follow-up- measurement points</w:t>
            </w:r>
          </w:p>
        </w:tc>
      </w:tr>
      <w:tr w:rsidR="00C44169" w14:paraId="3B1B5F83" w14:textId="77777777" w:rsidTr="009F2519">
        <w:trPr>
          <w:jc w:val="center"/>
        </w:trPr>
        <w:tc>
          <w:tcPr>
            <w:tcW w:w="1207" w:type="dxa"/>
          </w:tcPr>
          <w:p w14:paraId="335D193C" w14:textId="2C7301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Kiser (2024)/ Healthcare</w:t>
            </w:r>
          </w:p>
        </w:tc>
        <w:tc>
          <w:tcPr>
            <w:tcW w:w="4175" w:type="dxa"/>
          </w:tcPr>
          <w:p w14:paraId="62EB84A8" w14:textId="37C98272"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study aimed to explore the effect of individualized coaching by professionally trained peers on burnout and well-being among physicians</w:t>
            </w:r>
          </w:p>
        </w:tc>
        <w:tc>
          <w:tcPr>
            <w:tcW w:w="7500" w:type="dxa"/>
          </w:tcPr>
          <w:p w14:paraId="004D152D" w14:textId="489E2F66"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Participants in the intervention group received six coaching sessions facilitated by a peer coach over three months. These sessions included an initial 1.5-hour coaching session followed by five additional 60-minute sessions. The coaches were physician peers certified by a training company endorsed by the American College of Sports Medicine and the American College of Lifestyle Medicine. The coaching sessions were personalized to the participant's needs and goals​.</w:t>
            </w:r>
          </w:p>
        </w:tc>
        <w:tc>
          <w:tcPr>
            <w:tcW w:w="1156" w:type="dxa"/>
          </w:tcPr>
          <w:p w14:paraId="2832014B" w14:textId="778D29AD"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3 months</w:t>
            </w:r>
          </w:p>
        </w:tc>
        <w:tc>
          <w:tcPr>
            <w:tcW w:w="2117" w:type="dxa"/>
          </w:tcPr>
          <w:p w14:paraId="21685897" w14:textId="5E276B6C" w:rsidR="00C44169" w:rsidRPr="004109B0" w:rsidRDefault="001B4BD0" w:rsidP="00C44169">
            <w:pPr>
              <w:rPr>
                <w:rFonts w:ascii="Times New Roman" w:hAnsi="Times New Roman" w:cs="Times New Roman"/>
                <w:sz w:val="16"/>
                <w:szCs w:val="16"/>
              </w:rPr>
            </w:pPr>
            <w:r w:rsidRPr="004109B0">
              <w:rPr>
                <w:rFonts w:ascii="Times New Roman" w:hAnsi="Times New Roman" w:cs="Times New Roman"/>
                <w:sz w:val="16"/>
                <w:szCs w:val="16"/>
              </w:rPr>
              <w:t>Im</w:t>
            </w:r>
            <w:r w:rsidR="00C44169" w:rsidRPr="004109B0">
              <w:rPr>
                <w:rFonts w:ascii="Times New Roman" w:hAnsi="Times New Roman" w:cs="Times New Roman"/>
                <w:sz w:val="16"/>
                <w:szCs w:val="16"/>
              </w:rPr>
              <w:t>mediately after the intervention (3 months)</w:t>
            </w:r>
          </w:p>
        </w:tc>
      </w:tr>
      <w:tr w:rsidR="00C44169" w14:paraId="70E8D9C3" w14:textId="77777777" w:rsidTr="009F2519">
        <w:trPr>
          <w:jc w:val="center"/>
        </w:trPr>
        <w:tc>
          <w:tcPr>
            <w:tcW w:w="1207" w:type="dxa"/>
          </w:tcPr>
          <w:p w14:paraId="3B5FDCF9" w14:textId="0541AA4F"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Micek (2022) / Healthcare</w:t>
            </w:r>
          </w:p>
        </w:tc>
        <w:tc>
          <w:tcPr>
            <w:tcW w:w="4175" w:type="dxa"/>
          </w:tcPr>
          <w:p w14:paraId="75C478B6"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primary aim of the study was to evaluate the impact of a remote scribe programme on physician wellness, Electronic Health Record (EHR) satisfaction, and objectively determined measures of EHR use among primary care physicians.</w:t>
            </w:r>
          </w:p>
        </w:tc>
        <w:tc>
          <w:tcPr>
            <w:tcW w:w="7500" w:type="dxa"/>
          </w:tcPr>
          <w:p w14:paraId="0D57CB24"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intervention used in the study was a remote scribe programme, developed for supporting primary care physicians through documentation-related work during clinical encounters. Scribes were trained personnel provided by an external contractor (AQuity Solutions), worked remotely and were paired with physicians via an audio-only cellphone connection. This allowed the scribes to listen to patient encounters in real time and document clinical notes and pending orders directly into the Electronic Health Record (EHR) system. Every scribe was thus assigned to a specific physician to ensure consistency and continuity, and their responsibilities included documenting clinic notes and preparing orders for the physician's review and co-signature. This setting indicated that the scribes were mostly working remotely, thus not being physically present in the clinic but can support documentation tasks, which may decrease the physicians’ burden regarding EHR-related tasks and enhance their well-being and satisfaction at their workplace.</w:t>
            </w:r>
          </w:p>
        </w:tc>
        <w:tc>
          <w:tcPr>
            <w:tcW w:w="1156" w:type="dxa"/>
          </w:tcPr>
          <w:p w14:paraId="7C18E2A4"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1 year</w:t>
            </w:r>
          </w:p>
          <w:p w14:paraId="61BBA11E" w14:textId="77777777" w:rsidR="00C44169" w:rsidRPr="004109B0" w:rsidRDefault="00C44169" w:rsidP="00C44169">
            <w:pPr>
              <w:rPr>
                <w:rFonts w:ascii="Times New Roman" w:hAnsi="Times New Roman" w:cs="Times New Roman"/>
                <w:sz w:val="16"/>
                <w:szCs w:val="16"/>
              </w:rPr>
            </w:pPr>
          </w:p>
          <w:p w14:paraId="7620D955" w14:textId="77777777" w:rsidR="00C44169" w:rsidRPr="004109B0" w:rsidRDefault="00C44169" w:rsidP="00C44169">
            <w:pPr>
              <w:rPr>
                <w:rFonts w:ascii="Times New Roman" w:hAnsi="Times New Roman" w:cs="Times New Roman"/>
                <w:sz w:val="16"/>
                <w:szCs w:val="16"/>
              </w:rPr>
            </w:pPr>
          </w:p>
        </w:tc>
        <w:tc>
          <w:tcPr>
            <w:tcW w:w="2117" w:type="dxa"/>
          </w:tcPr>
          <w:p w14:paraId="653E7F1F"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1 year</w:t>
            </w:r>
          </w:p>
          <w:p w14:paraId="299FC22C"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follow-up measurements were initially planned at 6 months and 1 year after the intervention began. However, due to the COVID-19 pandemic, the 6-month assessment was cancelled.</w:t>
            </w:r>
          </w:p>
        </w:tc>
      </w:tr>
      <w:tr w:rsidR="00C44169" w14:paraId="50F61B27" w14:textId="77777777" w:rsidTr="009F2519">
        <w:trPr>
          <w:jc w:val="center"/>
        </w:trPr>
        <w:tc>
          <w:tcPr>
            <w:tcW w:w="1207" w:type="dxa"/>
          </w:tcPr>
          <w:p w14:paraId="2FF70E7E" w14:textId="344219DF"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Shan (202</w:t>
            </w:r>
            <w:r w:rsidR="00970B41">
              <w:rPr>
                <w:rFonts w:ascii="Times New Roman" w:hAnsi="Times New Roman" w:cs="Times New Roman"/>
                <w:sz w:val="16"/>
                <w:szCs w:val="16"/>
              </w:rPr>
              <w:t>4</w:t>
            </w:r>
            <w:r w:rsidRPr="004109B0">
              <w:rPr>
                <w:rFonts w:ascii="Times New Roman" w:hAnsi="Times New Roman" w:cs="Times New Roman"/>
                <w:sz w:val="16"/>
                <w:szCs w:val="16"/>
              </w:rPr>
              <w:t>)/ Healthcare</w:t>
            </w:r>
          </w:p>
        </w:tc>
        <w:tc>
          <w:tcPr>
            <w:tcW w:w="4175" w:type="dxa"/>
          </w:tcPr>
          <w:p w14:paraId="2B0B0DBA"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aim of the study was to explore the effectiveness of Balint groups in reducing burnout and improving self-efficacy among head nurses in a Chinese hospital.</w:t>
            </w:r>
          </w:p>
        </w:tc>
        <w:tc>
          <w:tcPr>
            <w:tcW w:w="7500" w:type="dxa"/>
          </w:tcPr>
          <w:p w14:paraId="621A64EC"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intervention comprised a Balint group, which is a form of group therapy that deals with and focuses on the improvement of participants’ professional relationships, particularly, the doctor-patient relationship (in this case the nurse-patient relationship). The intervention consisted of two lectures and ten one-hour small group discussions. The sessions were designed to help participants reflect on challenging nurse-patient interactions, aiming at the reduction of burnout and the enhancement of their self-efficacy.</w:t>
            </w:r>
          </w:p>
        </w:tc>
        <w:tc>
          <w:tcPr>
            <w:tcW w:w="1156" w:type="dxa"/>
          </w:tcPr>
          <w:p w14:paraId="299E8F19"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3 months</w:t>
            </w:r>
          </w:p>
        </w:tc>
        <w:tc>
          <w:tcPr>
            <w:tcW w:w="2117" w:type="dxa"/>
          </w:tcPr>
          <w:p w14:paraId="42E471FF"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immediately after the intervention (3 months)</w:t>
            </w:r>
          </w:p>
        </w:tc>
      </w:tr>
      <w:tr w:rsidR="00C44169" w14:paraId="58CBD07D" w14:textId="77777777" w:rsidTr="009F2519">
        <w:trPr>
          <w:jc w:val="center"/>
        </w:trPr>
        <w:tc>
          <w:tcPr>
            <w:tcW w:w="1207" w:type="dxa"/>
          </w:tcPr>
          <w:p w14:paraId="13DC6A6C" w14:textId="65A7AC8A"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Wang (2024)/ Healthcare</w:t>
            </w:r>
          </w:p>
        </w:tc>
        <w:tc>
          <w:tcPr>
            <w:tcW w:w="4175" w:type="dxa"/>
          </w:tcPr>
          <w:p w14:paraId="26C868B0"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 xml:space="preserve">The aim of the study was to determine the feasibility and acceptability of the culturally adapted Psychological First Aid (PFA) training intervention in supporting the mental health and well-being of front-line healthcare workers (HCWs). </w:t>
            </w:r>
          </w:p>
        </w:tc>
        <w:tc>
          <w:tcPr>
            <w:tcW w:w="7500" w:type="dxa"/>
          </w:tcPr>
          <w:p w14:paraId="7164EB25"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intervention consisted of a culturally adapted Psychological first aid (PFA) training program, entitled "READ-Y" PFA training, specifically for Chinese healthcare workers (HCWs). The adaptation included modifications to cultural norms amongst Chinese people such as the tendency to suppress emotions, viewing crises as opportunities for growth, and collectivist values. The training encompassed five elements of trauma recovery and inclusive PFA training techniques and case studies that were culturally adapted. An additional self-care component, "Yourself," was added to emphasize the importance of self-healing and seeking help.</w:t>
            </w:r>
          </w:p>
        </w:tc>
        <w:tc>
          <w:tcPr>
            <w:tcW w:w="1156" w:type="dxa"/>
          </w:tcPr>
          <w:p w14:paraId="479DE805"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3 months</w:t>
            </w:r>
          </w:p>
        </w:tc>
        <w:tc>
          <w:tcPr>
            <w:tcW w:w="2117" w:type="dxa"/>
          </w:tcPr>
          <w:p w14:paraId="0FDAF225"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After the completion of the training (2 weeks)</w:t>
            </w:r>
          </w:p>
          <w:p w14:paraId="5D881F40"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Midway through the follow-up period (2 months)</w:t>
            </w:r>
          </w:p>
          <w:p w14:paraId="4A23C1BA"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 xml:space="preserve">At the end of the follow-up period (3 months). </w:t>
            </w:r>
          </w:p>
        </w:tc>
      </w:tr>
      <w:tr w:rsidR="00C44169" w14:paraId="0FE446CA" w14:textId="77777777" w:rsidTr="009F2519">
        <w:trPr>
          <w:jc w:val="center"/>
        </w:trPr>
        <w:tc>
          <w:tcPr>
            <w:tcW w:w="1207" w:type="dxa"/>
          </w:tcPr>
          <w:p w14:paraId="1E0A3609" w14:textId="3A7DC8A6"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Falk (2022)/ TICTM</w:t>
            </w:r>
          </w:p>
        </w:tc>
        <w:tc>
          <w:tcPr>
            <w:tcW w:w="4175" w:type="dxa"/>
          </w:tcPr>
          <w:p w14:paraId="71A8B3A1"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aim of the study was to evaluate whether a sedentary behavior reduction programme impacted occupational sedentary behavior, mental well-being, and work performance among employees working from home during the COVID-19 pandemic.</w:t>
            </w:r>
          </w:p>
        </w:tc>
        <w:tc>
          <w:tcPr>
            <w:tcW w:w="7500" w:type="dxa"/>
          </w:tcPr>
          <w:p w14:paraId="70002344"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b/>
                <w:bCs/>
                <w:sz w:val="16"/>
                <w:szCs w:val="16"/>
              </w:rPr>
              <w:t>Height-Adjustable Desk Provision (Desk Only):</w:t>
            </w:r>
            <w:r w:rsidRPr="004109B0">
              <w:rPr>
                <w:rFonts w:ascii="Times New Roman" w:hAnsi="Times New Roman" w:cs="Times New Roman"/>
                <w:sz w:val="16"/>
                <w:szCs w:val="16"/>
              </w:rPr>
              <w:t xml:space="preserve"> Participants received a Varidesk ProPlus 36 model height-adjustable desk and a Varidesk anti-fatigue standing mat. They were advised to use the desk to reduce sitting time while working.</w:t>
            </w:r>
          </w:p>
          <w:p w14:paraId="5055EA9A"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b/>
                <w:bCs/>
                <w:sz w:val="16"/>
                <w:szCs w:val="16"/>
              </w:rPr>
              <w:t>Online Sedentary Behavior Modification Program (Program Only):</w:t>
            </w:r>
            <w:r w:rsidRPr="004109B0">
              <w:rPr>
                <w:rFonts w:ascii="Times New Roman" w:hAnsi="Times New Roman" w:cs="Times New Roman"/>
                <w:sz w:val="16"/>
                <w:szCs w:val="16"/>
              </w:rPr>
              <w:t xml:space="preserve"> Participants received weekly online behavioral modules designed to promote feasible, progressive changes in sedentary behavior and physical activity. The program included behavior-changing techniques like goal setting, problem-solving, self-monitoring, social support, and habit formation.</w:t>
            </w:r>
          </w:p>
          <w:p w14:paraId="0B15FC60"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b/>
                <w:bCs/>
                <w:sz w:val="16"/>
                <w:szCs w:val="16"/>
              </w:rPr>
              <w:t>Combined Intervention (Desk + Program):</w:t>
            </w:r>
            <w:r w:rsidRPr="004109B0">
              <w:rPr>
                <w:rFonts w:ascii="Times New Roman" w:hAnsi="Times New Roman" w:cs="Times New Roman"/>
                <w:sz w:val="16"/>
                <w:szCs w:val="16"/>
              </w:rPr>
              <w:t xml:space="preserve"> Participants received both the height-adjustable desk and the online behavioral program.</w:t>
            </w:r>
          </w:p>
          <w:p w14:paraId="657FADF6"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b/>
                <w:bCs/>
                <w:sz w:val="16"/>
                <w:szCs w:val="16"/>
              </w:rPr>
              <w:t>Control</w:t>
            </w:r>
            <w:r w:rsidRPr="004109B0">
              <w:rPr>
                <w:rFonts w:ascii="Times New Roman" w:hAnsi="Times New Roman" w:cs="Times New Roman"/>
                <w:sz w:val="16"/>
                <w:szCs w:val="16"/>
              </w:rPr>
              <w:t>: Participants did not receive any intervention during the study period.</w:t>
            </w:r>
          </w:p>
        </w:tc>
        <w:tc>
          <w:tcPr>
            <w:tcW w:w="1156" w:type="dxa"/>
          </w:tcPr>
          <w:p w14:paraId="6E41B452"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12 weeks</w:t>
            </w:r>
          </w:p>
        </w:tc>
        <w:tc>
          <w:tcPr>
            <w:tcW w:w="2117" w:type="dxa"/>
          </w:tcPr>
          <w:p w14:paraId="69AF9497"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immediately after the intervention (12 weeks)</w:t>
            </w:r>
          </w:p>
        </w:tc>
      </w:tr>
      <w:tr w:rsidR="00C44169" w14:paraId="6FAAFBEF" w14:textId="77777777" w:rsidTr="009F2519">
        <w:trPr>
          <w:jc w:val="center"/>
        </w:trPr>
        <w:tc>
          <w:tcPr>
            <w:tcW w:w="1207" w:type="dxa"/>
          </w:tcPr>
          <w:p w14:paraId="437C765E" w14:textId="2AE2B4BA"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Cedstrand (2022)/ Construction</w:t>
            </w:r>
          </w:p>
        </w:tc>
        <w:tc>
          <w:tcPr>
            <w:tcW w:w="4175" w:type="dxa"/>
          </w:tcPr>
          <w:p w14:paraId="5F855AF9"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 xml:space="preserve">The aim of the study was to evaluate the effectiveness of a co-created occupational health intervention on stress and psychosocial working conditions within the construction industry in Sweden. </w:t>
            </w:r>
          </w:p>
        </w:tc>
        <w:tc>
          <w:tcPr>
            <w:tcW w:w="7500" w:type="dxa"/>
          </w:tcPr>
          <w:p w14:paraId="19FFF7DF"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The intervention involved two main components:</w:t>
            </w:r>
          </w:p>
          <w:p w14:paraId="0BD4F1B1"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b/>
                <w:bCs/>
                <w:sz w:val="16"/>
                <w:szCs w:val="16"/>
              </w:rPr>
              <w:t>Duties Clarification:</w:t>
            </w:r>
            <w:r w:rsidRPr="004109B0">
              <w:rPr>
                <w:rFonts w:ascii="Times New Roman" w:hAnsi="Times New Roman" w:cs="Times New Roman"/>
                <w:sz w:val="16"/>
                <w:szCs w:val="16"/>
              </w:rPr>
              <w:t xml:space="preserve"> Aimed at improving role clarity among professionals.</w:t>
            </w:r>
          </w:p>
          <w:p w14:paraId="0348D850" w14:textId="77777777" w:rsidR="00C44169" w:rsidRPr="004109B0" w:rsidRDefault="00C44169" w:rsidP="00C44169">
            <w:pPr>
              <w:rPr>
                <w:rFonts w:ascii="Times New Roman" w:hAnsi="Times New Roman" w:cs="Times New Roman"/>
                <w:b/>
                <w:bCs/>
                <w:sz w:val="16"/>
                <w:szCs w:val="16"/>
              </w:rPr>
            </w:pPr>
            <w:r w:rsidRPr="004109B0">
              <w:rPr>
                <w:rFonts w:ascii="Times New Roman" w:hAnsi="Times New Roman" w:cs="Times New Roman"/>
                <w:b/>
                <w:bCs/>
                <w:sz w:val="16"/>
                <w:szCs w:val="16"/>
              </w:rPr>
              <w:t>Structured Roundmaking</w:t>
            </w:r>
            <w:r w:rsidRPr="004109B0">
              <w:rPr>
                <w:rFonts w:ascii="Times New Roman" w:hAnsi="Times New Roman" w:cs="Times New Roman"/>
                <w:sz w:val="16"/>
                <w:szCs w:val="16"/>
              </w:rPr>
              <w:t>: Focused on planning and removing obstacles for smoother project execution, primarily targeted at first-line managers.</w:t>
            </w:r>
          </w:p>
        </w:tc>
        <w:tc>
          <w:tcPr>
            <w:tcW w:w="1156" w:type="dxa"/>
          </w:tcPr>
          <w:p w14:paraId="1C9F33B4"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24 months</w:t>
            </w:r>
          </w:p>
        </w:tc>
        <w:tc>
          <w:tcPr>
            <w:tcW w:w="2117" w:type="dxa"/>
          </w:tcPr>
          <w:p w14:paraId="228F548A" w14:textId="77777777" w:rsidR="00C44169" w:rsidRPr="004109B0" w:rsidRDefault="00C44169" w:rsidP="00C44169">
            <w:pPr>
              <w:rPr>
                <w:rFonts w:ascii="Times New Roman" w:hAnsi="Times New Roman" w:cs="Times New Roman"/>
                <w:sz w:val="16"/>
                <w:szCs w:val="16"/>
              </w:rPr>
            </w:pPr>
            <w:r w:rsidRPr="004109B0">
              <w:rPr>
                <w:rFonts w:ascii="Times New Roman" w:hAnsi="Times New Roman" w:cs="Times New Roman"/>
                <w:sz w:val="16"/>
                <w:szCs w:val="16"/>
              </w:rPr>
              <w:t>12 months after baseline and immediately after the intervention (24 months)</w:t>
            </w:r>
          </w:p>
        </w:tc>
      </w:tr>
    </w:tbl>
    <w:p w14:paraId="495EEE0D" w14:textId="77777777" w:rsidR="004109B0" w:rsidRDefault="004109B0" w:rsidP="00C64A1B">
      <w:pPr>
        <w:spacing w:after="0" w:line="240" w:lineRule="auto"/>
        <w:rPr>
          <w:rFonts w:ascii="Times New Roman" w:hAnsi="Times New Roman" w:cs="Times New Roman"/>
          <w:b/>
          <w:bCs/>
          <w:sz w:val="22"/>
          <w:szCs w:val="22"/>
        </w:rPr>
        <w:sectPr w:rsidR="004109B0" w:rsidSect="001833E1">
          <w:pgSz w:w="16838" w:h="11906" w:orient="landscape"/>
          <w:pgMar w:top="1134" w:right="1134" w:bottom="1134" w:left="1134" w:header="709" w:footer="709" w:gutter="0"/>
          <w:cols w:space="708"/>
          <w:docGrid w:linePitch="360"/>
        </w:sectPr>
      </w:pPr>
    </w:p>
    <w:p w14:paraId="411B7A9B" w14:textId="0C9826FB" w:rsidR="004109B0" w:rsidRPr="007D00BD" w:rsidRDefault="004109B0" w:rsidP="004109B0">
      <w:pPr>
        <w:rPr>
          <w:rFonts w:ascii="Times New Roman" w:hAnsi="Times New Roman" w:cs="Times New Roman"/>
          <w:b/>
          <w:bCs/>
          <w:lang w:val="en-GB"/>
        </w:rPr>
      </w:pPr>
      <w:r w:rsidRPr="007D00BD">
        <w:rPr>
          <w:rFonts w:ascii="Times New Roman" w:hAnsi="Times New Roman" w:cs="Times New Roman"/>
          <w:b/>
          <w:bCs/>
          <w:lang w:val="en-GB"/>
        </w:rPr>
        <w:lastRenderedPageBreak/>
        <w:t>C</w:t>
      </w:r>
      <w:r>
        <w:rPr>
          <w:rFonts w:ascii="Times New Roman" w:hAnsi="Times New Roman" w:cs="Times New Roman"/>
          <w:b/>
          <w:bCs/>
          <w:lang w:val="en-GB"/>
        </w:rPr>
        <w:t>3</w:t>
      </w:r>
      <w:r w:rsidRPr="007D00BD">
        <w:rPr>
          <w:rFonts w:ascii="Times New Roman" w:hAnsi="Times New Roman" w:cs="Times New Roman"/>
          <w:b/>
          <w:bCs/>
          <w:lang w:val="en-GB"/>
        </w:rPr>
        <w:t xml:space="preserve">. Detailed </w:t>
      </w:r>
      <w:r>
        <w:rPr>
          <w:rFonts w:ascii="Times New Roman" w:hAnsi="Times New Roman" w:cs="Times New Roman"/>
          <w:b/>
          <w:bCs/>
        </w:rPr>
        <w:t>D</w:t>
      </w:r>
      <w:r w:rsidRPr="004109B0">
        <w:rPr>
          <w:rFonts w:ascii="Times New Roman" w:hAnsi="Times New Roman" w:cs="Times New Roman"/>
          <w:b/>
          <w:bCs/>
        </w:rPr>
        <w:t>escriptions</w:t>
      </w:r>
      <w:r>
        <w:rPr>
          <w:rFonts w:ascii="Times New Roman" w:hAnsi="Times New Roman" w:cs="Times New Roman"/>
          <w:b/>
          <w:bCs/>
        </w:rPr>
        <w:t xml:space="preserve"> of the Trials</w:t>
      </w:r>
    </w:p>
    <w:p w14:paraId="45BB9C10" w14:textId="77777777" w:rsidR="004109B0" w:rsidRDefault="004109B0" w:rsidP="00C64A1B">
      <w:pPr>
        <w:spacing w:after="0" w:line="240" w:lineRule="auto"/>
        <w:rPr>
          <w:rFonts w:ascii="Times New Roman" w:hAnsi="Times New Roman" w:cs="Times New Roman"/>
          <w:b/>
          <w:bCs/>
          <w:sz w:val="22"/>
          <w:szCs w:val="22"/>
        </w:rPr>
      </w:pPr>
    </w:p>
    <w:p w14:paraId="4BE041BF"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 xml:space="preserve">The systematic review identified a range of organizational interventions across the healthcare, TICTM, and construction sectors. The primary outcomes were burnout, depression, anxiety, and perceived job stress. </w:t>
      </w:r>
      <w:r w:rsidRPr="00EF65AB">
        <w:rPr>
          <w:rFonts w:ascii="Times New Roman" w:hAnsi="Times New Roman"/>
          <w:lang w:val="en-US"/>
        </w:rPr>
        <w:t xml:space="preserve">Table 5 </w:t>
      </w:r>
      <w:proofErr w:type="spellStart"/>
      <w:r w:rsidRPr="00EF65AB">
        <w:rPr>
          <w:rFonts w:ascii="Times New Roman" w:hAnsi="Times New Roman"/>
          <w:lang w:val="en-US"/>
        </w:rPr>
        <w:t>summarises</w:t>
      </w:r>
      <w:proofErr w:type="spellEnd"/>
      <w:r w:rsidRPr="00EF65AB">
        <w:rPr>
          <w:rFonts w:ascii="Times New Roman" w:hAnsi="Times New Roman"/>
          <w:lang w:val="en-US"/>
        </w:rPr>
        <w:t xml:space="preserve"> the effectiveness results for the primary outcomes of this review, and </w:t>
      </w:r>
      <w:r w:rsidRPr="00EF65AB">
        <w:rPr>
          <w:rFonts w:ascii="Times New Roman" w:hAnsi="Times New Roman"/>
        </w:rPr>
        <w:t>across the different sectors, the interventions varied in their effectiveness.</w:t>
      </w:r>
    </w:p>
    <w:p w14:paraId="7547104E" w14:textId="77777777" w:rsidR="004109B0" w:rsidRPr="00EF65AB" w:rsidRDefault="004109B0" w:rsidP="004109B0">
      <w:pPr>
        <w:spacing w:after="0" w:line="480" w:lineRule="auto"/>
        <w:jc w:val="both"/>
        <w:rPr>
          <w:rFonts w:ascii="Times New Roman" w:hAnsi="Times New Roman"/>
          <w:i/>
          <w:iCs/>
          <w:lang w:val="en-US"/>
        </w:rPr>
      </w:pPr>
    </w:p>
    <w:p w14:paraId="42496AF6" w14:textId="77777777" w:rsidR="004109B0" w:rsidRPr="00EF65AB" w:rsidRDefault="004109B0" w:rsidP="004109B0">
      <w:pPr>
        <w:spacing w:after="0" w:line="480" w:lineRule="auto"/>
        <w:jc w:val="both"/>
        <w:rPr>
          <w:rFonts w:ascii="Times New Roman" w:hAnsi="Times New Roman"/>
          <w:i/>
          <w:iCs/>
          <w:lang w:val="en-US"/>
        </w:rPr>
      </w:pPr>
      <w:r w:rsidRPr="00EF65AB">
        <w:rPr>
          <w:rFonts w:ascii="Times New Roman" w:hAnsi="Times New Roman"/>
          <w:i/>
          <w:iCs/>
          <w:lang w:val="en-US"/>
        </w:rPr>
        <w:t xml:space="preserve">Healthcare Sector </w:t>
      </w:r>
    </w:p>
    <w:p w14:paraId="15992521" w14:textId="77777777" w:rsidR="004109B0" w:rsidRPr="00EF65AB" w:rsidRDefault="004109B0" w:rsidP="004109B0">
      <w:pPr>
        <w:spacing w:after="0" w:line="480" w:lineRule="auto"/>
        <w:jc w:val="both"/>
        <w:rPr>
          <w:rFonts w:ascii="Times New Roman" w:hAnsi="Times New Roman"/>
        </w:rPr>
      </w:pPr>
    </w:p>
    <w:p w14:paraId="2F321A96"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The first study identified is by Micek et al. (2022), which aimed to evaluate the impact of a remote scribe program on primary care physicians' well-being and burnout. The study found a significant reduction in burnout among physicians who used remote scribes. According to the Mini-Z measure, the burnout for the remote scribe users decreased from 70.3% to 51.4%, while for the control group, burnout increased from 50.0% to 60.3%</w:t>
      </w:r>
    </w:p>
    <w:p w14:paraId="3032BDCA"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This resulted in a significant between-group difference, with scribe users having 85% reduced odds of burnout compared to controls. There was a significant improvement in the “Joyful Workplace” score for scribe users, with a mean increase of 2.83 points (95% CI 0.60, 5.06; p = 0.01) compared to controls. Scribe users also reported improvements in perceptions of a supportive work environment and reduced work pace/EHR stress compared to controls, with significant mean differences of 1.43 points (95% CI 0.16, 2.70; p = 0.03) and 1.33 points (95% CI 0.12, 2.54; p = 0.03), respectively.</w:t>
      </w:r>
    </w:p>
    <w:p w14:paraId="25A7CB4C"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 xml:space="preserve">The introduction of a remote scribe program was associated with significant reductions in burnout and improvement in the perceptions of the work environment. The program also successfully reduced the time physicians spent on EHR tasks, especially outside of scheduled hours, potentially contributing to better work-life balance. Overall, the study suggests that the use of remote scribes can </w:t>
      </w:r>
      <w:r w:rsidRPr="00EF65AB">
        <w:rPr>
          <w:rFonts w:ascii="Times New Roman" w:hAnsi="Times New Roman"/>
        </w:rPr>
        <w:lastRenderedPageBreak/>
        <w:t>be a viable strategy to improve physician mental well-being and reduce the administrative burden associated with EHR use in primary care settings.</w:t>
      </w:r>
    </w:p>
    <w:p w14:paraId="312EDF14" w14:textId="553AE8AF"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The second study is by Shan et al. (202</w:t>
      </w:r>
      <w:r w:rsidR="00970B41">
        <w:rPr>
          <w:rFonts w:ascii="Times New Roman" w:hAnsi="Times New Roman"/>
        </w:rPr>
        <w:t>4</w:t>
      </w:r>
      <w:r w:rsidRPr="00EF65AB">
        <w:rPr>
          <w:rFonts w:ascii="Times New Roman" w:hAnsi="Times New Roman"/>
        </w:rPr>
        <w:t>), which investigated the impact of Balint group interventions on reducing burnout and improving self-efficacy among head nurses in a Chinese hospital. The study found a significant reduction in burnout in terms of personal achievement (PA) among the nurses who participated in the Balint group.</w:t>
      </w:r>
    </w:p>
    <w:p w14:paraId="6E30CC24"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The mean score on the MBI-PA subscale increased significantly in the Balint group after the intervention, indicating a reduction in burnout related to personal achievement (95% CI: 8.28, 11.12; p = 0.003). However, the findings show insignificant differences between the Balint and control groups regarding emotional exhaustion (EE) and depersonalization (DP) subscales of burnout. Both groups showed similar levels of emotional exhaustion and depersonalization before and after the intervention, with no statistically significant changes (EE: p = 0.740; DP: p = 0.387). The study did not find a significant improvement in self-efficacy as measured by the General Self-Efficacy Scale (GSES). The scores for self-efficacy slightly increased in both the Balint and control groups, but the differences were not statistically significant (p = 0.403). The study concludes that while the Balint group intervention effectively improved the personal achievement aspect of burnout among head nurses, it did not significantly impact emotional exhaustion, depersonalization, or self-efficacy. The authors suggest that longer or more intensive Balint group interventions might be required to observe more substantial changes in these areas. Hence, the findings highlight the potential of Balint groups as a supportive intervention to enhance personal achievement and reduce some aspects of burnout in healthcare settings, though the effectiveness might be limited in addressing other dimensions of burnout and self-efficacy without extended interventions.</w:t>
      </w:r>
    </w:p>
    <w:p w14:paraId="61148506"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 xml:space="preserve">The third study is by Kiser et al. (2024). We should highlight that Table 2 presents baseline characteristics for two groups: "Randomized to intervention" and "Received coaching intervention." The distinction between these two groups is important for understanding the study's analysis and results. "Randomized-to-intervention" refers to all participants who were initially allocated to the </w:t>
      </w:r>
      <w:r w:rsidRPr="00EF65AB">
        <w:rPr>
          <w:rFonts w:ascii="Times New Roman" w:hAnsi="Times New Roman"/>
        </w:rPr>
        <w:lastRenderedPageBreak/>
        <w:t>intervention group, regardless of whether they actually received the coaching. "Received coaching intervention" refers specifically to those participants within the randomized group who completed at least one coaching session. However, as we discuss in the next section, in Table 3, the authors only present data for one intervention group, which is the "Received coaching intervention" group. This is followed because the authors are interested in the effects of the actual coaching intervention on the participants who received it.</w:t>
      </w:r>
    </w:p>
    <w:p w14:paraId="6B40326F"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The reason for this approach is linked to the use of a modified intention-to-treat (mITT) analysis, which excludes participants who were randomized to the intervention but did not receive it. This approach is used to provide a more accurate estimate of the intervention's effect by focusing only on those who actually received the intervention.</w:t>
      </w:r>
    </w:p>
    <w:p w14:paraId="18DBC4D0"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 xml:space="preserve">This study implemented individualized coaching sessions facilitated by professionally trained peer coaches. The intervention significantly improved professional fulfilment and reduced burnout among physicians. In particular, the intervention group, which received individualized coaching, showed a significant reduction in overall burnout compared to the control group. The mean burnout score decreased by 21.6% in the intervention group, while the control group saw a slight increase of 2.5% (absolute difference: -0.79 points (95% CI, -1.27 to -0.32 points; p = 0.001). The reduction in interpersonal disengagement was also notable, with a 30.1% decrease in the intervention group versus a 4.1% increase in the control group (absolute difference: -0.94 points; 95% CI, -1.48 to -0.41 points; p = 0.001). However, there was no statistically significant difference in the work exhaustion subscale between the intervention and control groups. The intervention group experienced a 10.7% increase in professional fulfilment, whereas there was no change in the control group. The absolute difference is 0.59 points (95% CI, 0.01-1.16 points; p =0.046). Another outcome explored is the work engagement, which was improved by 6.3% in the intervention group compared to a decrease of 2.2% in the control group (absolute difference: 0.33 points; 95% CI, 0.02-0.65 points; p = 0.04). </w:t>
      </w:r>
    </w:p>
    <w:p w14:paraId="421A1609" w14:textId="77777777" w:rsidR="004109B0" w:rsidRPr="00EF65AB" w:rsidRDefault="004109B0" w:rsidP="004109B0">
      <w:pPr>
        <w:spacing w:after="0" w:line="480" w:lineRule="auto"/>
        <w:ind w:firstLine="284"/>
        <w:jc w:val="both"/>
        <w:rPr>
          <w:rFonts w:ascii="Times New Roman" w:hAnsi="Times New Roman"/>
        </w:rPr>
      </w:pPr>
      <w:r w:rsidRPr="00EF65AB">
        <w:rPr>
          <w:rFonts w:ascii="Times New Roman" w:hAnsi="Times New Roman"/>
        </w:rPr>
        <w:t xml:space="preserve">According to the findings, personalised coaching is an effective approach to enhance professional fulfilment and work engagement, as well as to mitigate burnout. This intervention can be a promising </w:t>
      </w:r>
      <w:r w:rsidRPr="00EF65AB">
        <w:rPr>
          <w:rFonts w:ascii="Times New Roman" w:hAnsi="Times New Roman"/>
        </w:rPr>
        <w:lastRenderedPageBreak/>
        <w:t>approach to addressing physician well-being, particularly in high-stress environments. However, additional research is required to evaluate the long-term effects of such interventions.</w:t>
      </w:r>
    </w:p>
    <w:p w14:paraId="7DCC3321" w14:textId="77777777" w:rsidR="004109B0" w:rsidRPr="00EF65AB" w:rsidRDefault="004109B0" w:rsidP="004109B0">
      <w:pPr>
        <w:spacing w:after="0" w:line="480" w:lineRule="auto"/>
        <w:ind w:firstLine="284"/>
        <w:jc w:val="both"/>
        <w:rPr>
          <w:rFonts w:ascii="Times New Roman" w:hAnsi="Times New Roman"/>
          <w:color w:val="000000" w:themeColor="text1"/>
        </w:rPr>
      </w:pPr>
      <w:r w:rsidRPr="00EF65AB">
        <w:rPr>
          <w:rFonts w:ascii="Times New Roman" w:hAnsi="Times New Roman"/>
          <w:color w:val="000000" w:themeColor="text1"/>
        </w:rPr>
        <w:t xml:space="preserve">The fourth study identified for the healthcare sector is by Wang et al. (2024), who used a feasibility randomized controlled trial (RCT) design to compare the effects of Psychological first aid (PFA) training with a psychoeducation control group. The retention rate was higher for the in-person PFA training compared to the online sessions. The PFA training was well-received, with 86% of participants finding the training very helpful, and the satisfaction rate was 74.25%. Approximately 47% of participants reported they were able to apply their PFA skills in real-life settings.  As we mentioned in Table 3, there are three follow-up assessments indicated by T1 (2 weeks post-training), T2 (2 months post-training) and T3 (3 months post-training). The primary outcomes, as described in Table 5, were Depression, Anxiety, and Stress Scale using the 21-Item Depression, Anxiety, and Stress Scale (DASS-21). Other outcomes of main interest include burnout and secondary traumatic stress (STS), and the measurement used is the Professional Quality of Life (ProQOL). </w:t>
      </w:r>
    </w:p>
    <w:p w14:paraId="1DD26D5B" w14:textId="77777777" w:rsidR="004109B0" w:rsidRPr="00EF65AB" w:rsidRDefault="004109B0" w:rsidP="004109B0">
      <w:pPr>
        <w:spacing w:after="0" w:line="480" w:lineRule="auto"/>
        <w:ind w:firstLine="284"/>
        <w:jc w:val="both"/>
        <w:rPr>
          <w:rFonts w:ascii="Times New Roman" w:hAnsi="Times New Roman"/>
          <w:color w:val="000000" w:themeColor="text1"/>
        </w:rPr>
      </w:pPr>
      <w:r w:rsidRPr="00EF65AB">
        <w:rPr>
          <w:rFonts w:ascii="Times New Roman" w:hAnsi="Times New Roman"/>
          <w:color w:val="000000" w:themeColor="text1"/>
        </w:rPr>
        <w:t>The mean depression score in the intervention group (PFA training) decreased from 8.17 at baseline to 4.39 at the 3-month follow-up, indicating a significant reduction in depression symptoms over time (p &lt; 0.001, 95% CI: −23.93 to −9.50). The reduction was sustained across all follow-up points. For the psychoeducation control group, the depression scores increased slightly from 8.30 at baseline to 8.60 at the 3-month follow-up, but the change was statistically insignificant. Regarding the difference between the intervention and control group, a significant group-by-time interaction effect was found with an F-statistic=2.874 (p = 0.046), suggesting that the PFA training had a greater impact on reducing depression symptoms compared to the control group (psychoeducation training).</w:t>
      </w:r>
    </w:p>
    <w:p w14:paraId="2CB9F2FC" w14:textId="77777777" w:rsidR="004109B0" w:rsidRPr="00EF65AB" w:rsidRDefault="004109B0" w:rsidP="004109B0">
      <w:pPr>
        <w:spacing w:after="0" w:line="480" w:lineRule="auto"/>
        <w:ind w:firstLine="284"/>
        <w:jc w:val="both"/>
        <w:rPr>
          <w:rFonts w:ascii="Times New Roman" w:hAnsi="Times New Roman"/>
          <w:color w:val="000000" w:themeColor="text1"/>
        </w:rPr>
      </w:pPr>
      <w:r w:rsidRPr="00EF65AB">
        <w:rPr>
          <w:rFonts w:ascii="Times New Roman" w:hAnsi="Times New Roman"/>
          <w:color w:val="000000" w:themeColor="text1"/>
        </w:rPr>
        <w:t xml:space="preserve">For the second outcome of interest, anxiety, the mean score decreased from 6.61 at baseline to 4.50 at the 3-month follow-up in the intervention group, with statistically significant reductions at each follow-up point (p &lt;0.001, 95% CI: −23.74 to −8.46). The anxiety scores in the control group slightly decreased from 6.00 at baseline to 6.20 at the 3-month follow-up, but the changes were statistically </w:t>
      </w:r>
      <w:r w:rsidRPr="00EF65AB">
        <w:rPr>
          <w:rFonts w:ascii="Times New Roman" w:hAnsi="Times New Roman"/>
          <w:color w:val="000000" w:themeColor="text1"/>
        </w:rPr>
        <w:lastRenderedPageBreak/>
        <w:t>insignificant. Moreover, based on the F-statistic = 1.453 (p = 0.235), the reductions in anxiety were not statistically significantly different between the two groups.</w:t>
      </w:r>
    </w:p>
    <w:p w14:paraId="74AB667D" w14:textId="77777777" w:rsidR="004109B0" w:rsidRPr="00EF65AB" w:rsidRDefault="004109B0" w:rsidP="004109B0">
      <w:pPr>
        <w:spacing w:after="0" w:line="480" w:lineRule="auto"/>
        <w:ind w:firstLine="284"/>
        <w:jc w:val="both"/>
        <w:rPr>
          <w:rFonts w:ascii="Times New Roman" w:hAnsi="Times New Roman"/>
          <w:color w:val="000000" w:themeColor="text1"/>
        </w:rPr>
      </w:pPr>
      <w:r w:rsidRPr="00EF65AB">
        <w:rPr>
          <w:rFonts w:ascii="Times New Roman" w:hAnsi="Times New Roman"/>
          <w:color w:val="000000" w:themeColor="text1"/>
        </w:rPr>
        <w:t xml:space="preserve">The third outcome is stress, which decreased significantly in the intervention group from 11.67 at baseline to 5.78 at the 3-month follow-up period (p &lt; 0.001). Regarding the control group, the stress scores decreased from 10.90 at baseline to the 3-month follow-up, but the only significant reductions were recorded during the 2-week follow-up period (p &lt; 0.05).  </w:t>
      </w:r>
    </w:p>
    <w:p w14:paraId="6E87CB69" w14:textId="77777777" w:rsidR="004109B0" w:rsidRPr="00EF65AB" w:rsidRDefault="004109B0" w:rsidP="004109B0">
      <w:pPr>
        <w:spacing w:after="0" w:line="480" w:lineRule="auto"/>
        <w:ind w:firstLine="284"/>
        <w:jc w:val="both"/>
        <w:rPr>
          <w:rFonts w:ascii="Times New Roman" w:hAnsi="Times New Roman"/>
          <w:color w:val="000000" w:themeColor="text1"/>
        </w:rPr>
      </w:pPr>
      <w:r w:rsidRPr="00EF65AB">
        <w:rPr>
          <w:rFonts w:ascii="Times New Roman" w:hAnsi="Times New Roman"/>
          <w:color w:val="000000" w:themeColor="text1"/>
        </w:rPr>
        <w:t>Burnout decreased in both intervention and control groups and over time compared to baseline. Moreover, a significant group-by-time interaction effect was observed (F-statistic = 3.729, p = 0.018), indicating that the PFA training was more effective in reducing burnout than the psychoeducation training. On the other hand, for secondary traumatic stress (STS), the study found insignificant changes over time and in all follow-ups, compared to baseline in both intervention and control groups. Additionally, the difference between the groups was insignificant (F-statistic = 2.282, p = 0.080).</w:t>
      </w:r>
    </w:p>
    <w:p w14:paraId="6A935AAD" w14:textId="77777777" w:rsidR="004109B0" w:rsidRPr="00EF65AB" w:rsidRDefault="004109B0" w:rsidP="004109B0">
      <w:pPr>
        <w:spacing w:after="0" w:line="480" w:lineRule="auto"/>
        <w:jc w:val="both"/>
        <w:rPr>
          <w:rFonts w:ascii="Times New Roman" w:hAnsi="Times New Roman"/>
          <w:color w:val="000000" w:themeColor="text1"/>
        </w:rPr>
      </w:pPr>
      <w:r w:rsidRPr="00EF65AB">
        <w:rPr>
          <w:rFonts w:ascii="Times New Roman" w:hAnsi="Times New Roman"/>
          <w:color w:val="000000" w:themeColor="text1"/>
        </w:rPr>
        <w:t>Wang et al. (2024) also evaluated other outcomes, including knowledge, skills, and attitudes (KSA), resilience, self-efficacy, coping styles, and post-traumatic growth. Overall, while these outcomes may have presented an improvement over time, there were no statistically significant differences between the intervention and control groups, except for the KSA, where the findings show the PFA training was more effective than psychoeducation in enhancing participants' KSA.</w:t>
      </w:r>
    </w:p>
    <w:p w14:paraId="5A2EA24B" w14:textId="77777777" w:rsidR="004109B0" w:rsidRPr="00EF65AB" w:rsidRDefault="004109B0" w:rsidP="004109B0">
      <w:pPr>
        <w:spacing w:after="0" w:line="480" w:lineRule="auto"/>
        <w:jc w:val="both"/>
        <w:rPr>
          <w:rFonts w:ascii="Times New Roman" w:hAnsi="Times New Roman"/>
          <w:i/>
          <w:iCs/>
        </w:rPr>
      </w:pPr>
    </w:p>
    <w:p w14:paraId="4A14FDD3" w14:textId="77777777" w:rsidR="004109B0" w:rsidRPr="00EF65AB" w:rsidRDefault="004109B0" w:rsidP="004109B0">
      <w:pPr>
        <w:spacing w:after="0" w:line="480" w:lineRule="auto"/>
        <w:jc w:val="both"/>
        <w:rPr>
          <w:rFonts w:ascii="Times New Roman" w:hAnsi="Times New Roman"/>
          <w:i/>
          <w:iCs/>
          <w:lang w:val="en-US"/>
        </w:rPr>
      </w:pPr>
      <w:r w:rsidRPr="00EF65AB">
        <w:rPr>
          <w:rFonts w:ascii="Times New Roman" w:hAnsi="Times New Roman"/>
          <w:i/>
          <w:iCs/>
          <w:lang w:val="en-US"/>
        </w:rPr>
        <w:t>TICTM</w:t>
      </w:r>
    </w:p>
    <w:p w14:paraId="4925E8ED" w14:textId="77777777" w:rsidR="004109B0" w:rsidRDefault="004109B0" w:rsidP="004109B0">
      <w:pPr>
        <w:spacing w:after="0" w:line="480" w:lineRule="auto"/>
        <w:ind w:firstLine="284"/>
        <w:jc w:val="both"/>
        <w:rPr>
          <w:rFonts w:ascii="Times New Roman" w:hAnsi="Times New Roman"/>
          <w:lang w:val="en-US"/>
        </w:rPr>
      </w:pPr>
    </w:p>
    <w:p w14:paraId="225A54AE" w14:textId="1BEF5F40" w:rsidR="004109B0" w:rsidRPr="00EF65AB" w:rsidRDefault="004109B0" w:rsidP="004109B0">
      <w:pPr>
        <w:spacing w:after="0" w:line="480" w:lineRule="auto"/>
        <w:ind w:firstLine="284"/>
        <w:jc w:val="both"/>
        <w:rPr>
          <w:rFonts w:ascii="Times New Roman" w:hAnsi="Times New Roman"/>
          <w:lang w:val="en-US"/>
        </w:rPr>
      </w:pPr>
      <w:r w:rsidRPr="6846ED17">
        <w:rPr>
          <w:rFonts w:ascii="Times New Roman" w:hAnsi="Times New Roman"/>
          <w:lang w:val="en-US"/>
        </w:rPr>
        <w:t xml:space="preserve">Falk et al. (2022) explored the impact of sedentary </w:t>
      </w:r>
      <w:proofErr w:type="spellStart"/>
      <w:r w:rsidRPr="6846ED17">
        <w:rPr>
          <w:rFonts w:ascii="Times New Roman" w:hAnsi="Times New Roman"/>
          <w:lang w:val="en-US"/>
        </w:rPr>
        <w:t>behaviour</w:t>
      </w:r>
      <w:proofErr w:type="spellEnd"/>
      <w:r w:rsidRPr="6846ED17">
        <w:rPr>
          <w:rFonts w:ascii="Times New Roman" w:hAnsi="Times New Roman"/>
          <w:lang w:val="en-US"/>
        </w:rPr>
        <w:t xml:space="preserve"> interventions on mental well-being and work performance among university employees working from home during the COVID-19 pandemic. The authors explored various outcomes, including stress, fatigue and mood measured by the Positive and Negative Affect Schedule (PANAS). The study found a significant improvement in positive effect among participants who received both the height-adjustable desk and the online sedentary </w:t>
      </w:r>
      <w:proofErr w:type="spellStart"/>
      <w:r w:rsidRPr="6846ED17">
        <w:rPr>
          <w:rFonts w:ascii="Times New Roman" w:hAnsi="Times New Roman"/>
          <w:lang w:val="en-US"/>
        </w:rPr>
        <w:t>behaviour</w:t>
      </w:r>
      <w:proofErr w:type="spellEnd"/>
      <w:r w:rsidRPr="6846ED17">
        <w:rPr>
          <w:rFonts w:ascii="Times New Roman" w:hAnsi="Times New Roman"/>
          <w:lang w:val="en-US"/>
        </w:rPr>
        <w:t xml:space="preserve"> modification program (Desk + Program arm). The effect size for positive </w:t>
      </w:r>
      <w:proofErr w:type="gramStart"/>
      <w:r w:rsidRPr="6846ED17">
        <w:rPr>
          <w:rFonts w:ascii="Times New Roman" w:hAnsi="Times New Roman"/>
          <w:lang w:val="en-US"/>
        </w:rPr>
        <w:t>affect</w:t>
      </w:r>
      <w:proofErr w:type="gramEnd"/>
      <w:r w:rsidRPr="6846ED17">
        <w:rPr>
          <w:rFonts w:ascii="Times New Roman" w:hAnsi="Times New Roman"/>
          <w:lang w:val="en-US"/>
        </w:rPr>
        <w:t xml:space="preserve"> </w:t>
      </w:r>
      <w:r w:rsidRPr="6846ED17">
        <w:rPr>
          <w:rFonts w:ascii="Times New Roman" w:hAnsi="Times New Roman"/>
          <w:lang w:val="en-US"/>
        </w:rPr>
        <w:lastRenderedPageBreak/>
        <w:t xml:space="preserve">in this group was large (d = 1.106), indicating substantial improvement in mood. The participants in the Program Only group reported a moderate improvement (d = 0.566). On the other hand, the Desk Only arm did not show significant changes in positive </w:t>
      </w:r>
      <w:proofErr w:type="gramStart"/>
      <w:r w:rsidRPr="6846ED17">
        <w:rPr>
          <w:rFonts w:ascii="Times New Roman" w:hAnsi="Times New Roman"/>
          <w:lang w:val="en-US"/>
        </w:rPr>
        <w:t>affect</w:t>
      </w:r>
      <w:proofErr w:type="gramEnd"/>
      <w:r w:rsidRPr="6846ED17">
        <w:rPr>
          <w:rFonts w:ascii="Times New Roman" w:hAnsi="Times New Roman"/>
          <w:lang w:val="en-US"/>
        </w:rPr>
        <w:t xml:space="preserve">. Regarding the negative effect, there was a reduction in the Desk + Program arm, but the effect size was not as large as for positive </w:t>
      </w:r>
      <w:proofErr w:type="gramStart"/>
      <w:r w:rsidRPr="6846ED17">
        <w:rPr>
          <w:rFonts w:ascii="Times New Roman" w:hAnsi="Times New Roman"/>
          <w:lang w:val="en-US"/>
        </w:rPr>
        <w:t>affect</w:t>
      </w:r>
      <w:proofErr w:type="gramEnd"/>
      <w:r w:rsidRPr="6846ED17">
        <w:rPr>
          <w:rFonts w:ascii="Times New Roman" w:hAnsi="Times New Roman"/>
          <w:lang w:val="en-US"/>
        </w:rPr>
        <w:t xml:space="preserve"> (d = -0.266). The Program Only arm showed minimal changes, and the Desk Only arm experienced a slight worsening of negative </w:t>
      </w:r>
      <w:proofErr w:type="gramStart"/>
      <w:r w:rsidRPr="6846ED17">
        <w:rPr>
          <w:rFonts w:ascii="Times New Roman" w:hAnsi="Times New Roman"/>
          <w:lang w:val="en-US"/>
        </w:rPr>
        <w:t>affect</w:t>
      </w:r>
      <w:proofErr w:type="gramEnd"/>
      <w:r w:rsidRPr="6846ED17">
        <w:rPr>
          <w:rFonts w:ascii="Times New Roman" w:hAnsi="Times New Roman"/>
          <w:lang w:val="en-US"/>
        </w:rPr>
        <w:t xml:space="preserve"> (d = 0.434). </w:t>
      </w:r>
    </w:p>
    <w:p w14:paraId="7E6F668E" w14:textId="77777777" w:rsidR="004109B0" w:rsidRPr="00EF65AB" w:rsidRDefault="004109B0" w:rsidP="004109B0">
      <w:pPr>
        <w:spacing w:after="0" w:line="480" w:lineRule="auto"/>
        <w:ind w:firstLine="284"/>
        <w:jc w:val="both"/>
        <w:rPr>
          <w:rFonts w:ascii="Times New Roman" w:hAnsi="Times New Roman"/>
          <w:lang w:val="en-US"/>
        </w:rPr>
      </w:pPr>
      <w:r w:rsidRPr="00EF65AB">
        <w:rPr>
          <w:rFonts w:ascii="Times New Roman" w:hAnsi="Times New Roman"/>
          <w:lang w:val="en-US"/>
        </w:rPr>
        <w:t>All groups have reported decrease in stress levels, but the changes did not present considerable effect size, while improvements in fatigue (duration, interference with activities, and severity) were reported primarily in the Desk + Program arm, with moderate effect sizes for fatigue duration (d = -0.533) and interference with activities (d = -0.648). The Program Only group also showed a moderate effect size for fatigue severity (d = 0.577), indicating a reduction in fatigue severity.</w:t>
      </w:r>
    </w:p>
    <w:p w14:paraId="12BE6381" w14:textId="4E659B4C" w:rsidR="004109B0" w:rsidRPr="00EF65AB" w:rsidRDefault="004109B0" w:rsidP="004109B0">
      <w:pPr>
        <w:spacing w:after="0" w:line="480" w:lineRule="auto"/>
        <w:ind w:firstLine="284"/>
        <w:jc w:val="both"/>
        <w:rPr>
          <w:rFonts w:ascii="Times New Roman" w:hAnsi="Times New Roman"/>
          <w:lang w:val="en-US"/>
        </w:rPr>
      </w:pPr>
      <w:r w:rsidRPr="534AD519">
        <w:rPr>
          <w:rFonts w:ascii="Times New Roman" w:hAnsi="Times New Roman"/>
          <w:lang w:val="en-US"/>
        </w:rPr>
        <w:t xml:space="preserve">The findings of this study (Falk et al., 2022) suggest that a combination of environmental interventions, such as height-adjustable desks, and </w:t>
      </w:r>
      <w:proofErr w:type="spellStart"/>
      <w:r w:rsidRPr="534AD519">
        <w:rPr>
          <w:rFonts w:ascii="Times New Roman" w:hAnsi="Times New Roman"/>
          <w:lang w:val="en-US"/>
        </w:rPr>
        <w:t>behavioural</w:t>
      </w:r>
      <w:proofErr w:type="spellEnd"/>
      <w:r w:rsidRPr="534AD519">
        <w:rPr>
          <w:rFonts w:ascii="Times New Roman" w:hAnsi="Times New Roman"/>
          <w:lang w:val="en-US"/>
        </w:rPr>
        <w:t xml:space="preserve">, including online sedentary </w:t>
      </w:r>
      <w:proofErr w:type="spellStart"/>
      <w:r w:rsidRPr="534AD519">
        <w:rPr>
          <w:rFonts w:ascii="Times New Roman" w:hAnsi="Times New Roman"/>
          <w:lang w:val="en-US"/>
        </w:rPr>
        <w:t>behaviour</w:t>
      </w:r>
      <w:proofErr w:type="spellEnd"/>
      <w:r w:rsidRPr="534AD519">
        <w:rPr>
          <w:rFonts w:ascii="Times New Roman" w:hAnsi="Times New Roman"/>
          <w:lang w:val="en-US"/>
        </w:rPr>
        <w:t xml:space="preserve"> modification can be effective in improving mental well-being among remote employees during the pandemic. The participants in the Desk and Program intervention reported the most considerable improvements in positive mood. The Program Only intervention also presented some positive effects, though to a lower degree. The Desk Only intervention did not experience a significant impact on the outcomes explored. The results highlight the importance of a multi-faceted approach to reducing sedentary </w:t>
      </w:r>
      <w:proofErr w:type="spellStart"/>
      <w:r w:rsidRPr="534AD519">
        <w:rPr>
          <w:rFonts w:ascii="Times New Roman" w:hAnsi="Times New Roman"/>
          <w:lang w:val="en-US"/>
        </w:rPr>
        <w:t>behaviour</w:t>
      </w:r>
      <w:proofErr w:type="spellEnd"/>
      <w:r w:rsidRPr="534AD519">
        <w:rPr>
          <w:rFonts w:ascii="Times New Roman" w:hAnsi="Times New Roman"/>
          <w:lang w:val="en-US"/>
        </w:rPr>
        <w:t xml:space="preserve"> and enhancing employee well-being in remote work settings.</w:t>
      </w:r>
    </w:p>
    <w:p w14:paraId="2CFC008A" w14:textId="77777777" w:rsidR="004109B0" w:rsidRPr="00EF65AB" w:rsidRDefault="004109B0" w:rsidP="004109B0">
      <w:pPr>
        <w:spacing w:after="0" w:line="480" w:lineRule="auto"/>
        <w:ind w:firstLine="284"/>
        <w:jc w:val="both"/>
        <w:rPr>
          <w:rFonts w:ascii="Times New Roman" w:hAnsi="Times New Roman"/>
          <w:lang w:val="en-US"/>
        </w:rPr>
      </w:pPr>
      <w:r w:rsidRPr="00EF65AB">
        <w:rPr>
          <w:rFonts w:ascii="Times New Roman" w:hAnsi="Times New Roman"/>
          <w:lang w:val="en-US"/>
        </w:rPr>
        <w:t xml:space="preserve">However, we should notice that this study reported the effect sizes using Cohen's d values, and without statistical significance, the effectiveness of interventions should be treated with caution. Large effect sizes indicated by high Cohen's d values suggest substantial differences. However, without statistical </w:t>
      </w:r>
      <w:r>
        <w:rPr>
          <w:rFonts w:ascii="Times New Roman" w:hAnsi="Times New Roman"/>
          <w:lang w:val="en-US"/>
        </w:rPr>
        <w:t>methods</w:t>
      </w:r>
      <w:r w:rsidRPr="00EF65AB">
        <w:rPr>
          <w:rFonts w:ascii="Times New Roman" w:hAnsi="Times New Roman"/>
          <w:lang w:val="en-US"/>
        </w:rPr>
        <w:t xml:space="preserve">, such as </w:t>
      </w:r>
      <w:r w:rsidRPr="00EF65AB">
        <w:rPr>
          <w:rFonts w:ascii="Times New Roman" w:hAnsi="Times New Roman"/>
          <w:i/>
          <w:iCs/>
          <w:lang w:val="en-US"/>
        </w:rPr>
        <w:t>F-Stat</w:t>
      </w:r>
      <w:r w:rsidRPr="00EF65AB">
        <w:rPr>
          <w:rFonts w:ascii="Times New Roman" w:hAnsi="Times New Roman"/>
          <w:lang w:val="en-US"/>
        </w:rPr>
        <w:t xml:space="preserve">, </w:t>
      </w:r>
      <w:r w:rsidRPr="00EF65AB">
        <w:rPr>
          <w:rFonts w:ascii="Times New Roman" w:hAnsi="Times New Roman"/>
          <w:i/>
          <w:iCs/>
          <w:lang w:val="en-US"/>
        </w:rPr>
        <w:t>t-tests</w:t>
      </w:r>
      <w:r w:rsidRPr="00EF65AB">
        <w:rPr>
          <w:rFonts w:ascii="Times New Roman" w:hAnsi="Times New Roman"/>
          <w:lang w:val="en-US"/>
        </w:rPr>
        <w:t xml:space="preserve">, </w:t>
      </w:r>
      <w:r w:rsidRPr="00EF65AB">
        <w:rPr>
          <w:rFonts w:ascii="Times New Roman" w:hAnsi="Times New Roman"/>
          <w:i/>
          <w:iCs/>
          <w:lang w:val="en-US"/>
        </w:rPr>
        <w:t>p-values</w:t>
      </w:r>
      <w:r w:rsidRPr="00EF65AB">
        <w:rPr>
          <w:rFonts w:ascii="Times New Roman" w:hAnsi="Times New Roman"/>
          <w:lang w:val="en-US"/>
        </w:rPr>
        <w:t xml:space="preserve"> and confidence intervals, we cannot be sure these effects are not due to random variation.</w:t>
      </w:r>
    </w:p>
    <w:p w14:paraId="5AAD7C35" w14:textId="77777777" w:rsidR="004109B0" w:rsidRPr="00EF65AB" w:rsidRDefault="004109B0" w:rsidP="004109B0">
      <w:pPr>
        <w:spacing w:after="0" w:line="480" w:lineRule="auto"/>
        <w:ind w:firstLine="284"/>
        <w:jc w:val="both"/>
        <w:rPr>
          <w:rFonts w:ascii="Times New Roman" w:hAnsi="Times New Roman"/>
          <w:lang w:val="en-US"/>
        </w:rPr>
      </w:pPr>
    </w:p>
    <w:p w14:paraId="4C82E16F" w14:textId="77777777" w:rsidR="004109B0" w:rsidRPr="00EF65AB" w:rsidRDefault="004109B0" w:rsidP="004109B0">
      <w:pPr>
        <w:spacing w:after="0" w:line="480" w:lineRule="auto"/>
        <w:jc w:val="both"/>
        <w:rPr>
          <w:rFonts w:ascii="Times New Roman" w:hAnsi="Times New Roman"/>
          <w:lang w:val="en-US"/>
        </w:rPr>
      </w:pPr>
    </w:p>
    <w:p w14:paraId="66393BA1" w14:textId="77777777" w:rsidR="004109B0" w:rsidRPr="00EF65AB" w:rsidRDefault="004109B0" w:rsidP="004109B0">
      <w:pPr>
        <w:spacing w:after="0" w:line="480" w:lineRule="auto"/>
        <w:jc w:val="both"/>
        <w:rPr>
          <w:rFonts w:ascii="Times New Roman" w:hAnsi="Times New Roman"/>
          <w:i/>
          <w:iCs/>
          <w:lang w:val="en-US"/>
        </w:rPr>
      </w:pPr>
      <w:r w:rsidRPr="00EF65AB">
        <w:rPr>
          <w:rFonts w:ascii="Times New Roman" w:hAnsi="Times New Roman"/>
          <w:i/>
          <w:iCs/>
          <w:lang w:val="en-US"/>
        </w:rPr>
        <w:lastRenderedPageBreak/>
        <w:t>Construction Sector</w:t>
      </w:r>
    </w:p>
    <w:p w14:paraId="3CB16B0D" w14:textId="77777777" w:rsidR="004109B0" w:rsidRPr="00EF65AB" w:rsidRDefault="004109B0" w:rsidP="004109B0">
      <w:pPr>
        <w:spacing w:after="0" w:line="480" w:lineRule="auto"/>
        <w:jc w:val="both"/>
        <w:rPr>
          <w:rFonts w:ascii="Times New Roman" w:hAnsi="Times New Roman"/>
        </w:rPr>
      </w:pPr>
    </w:p>
    <w:p w14:paraId="7D64AA36" w14:textId="77777777" w:rsidR="004109B0" w:rsidRDefault="004109B0" w:rsidP="004109B0">
      <w:pPr>
        <w:spacing w:after="0" w:line="480" w:lineRule="auto"/>
        <w:ind w:firstLine="284"/>
        <w:jc w:val="both"/>
        <w:rPr>
          <w:rFonts w:ascii="Times New Roman" w:hAnsi="Times New Roman"/>
          <w:lang w:val="en-US"/>
        </w:rPr>
      </w:pPr>
      <w:r w:rsidRPr="00EF65AB">
        <w:rPr>
          <w:rFonts w:ascii="Times New Roman" w:hAnsi="Times New Roman"/>
          <w:lang w:val="en-US"/>
        </w:rPr>
        <w:t xml:space="preserve">The study identified for the construction sector is by </w:t>
      </w:r>
      <w:proofErr w:type="spellStart"/>
      <w:r w:rsidRPr="00EF65AB">
        <w:rPr>
          <w:rFonts w:ascii="Times New Roman" w:hAnsi="Times New Roman"/>
          <w:lang w:val="en-US"/>
        </w:rPr>
        <w:t>Cedstrand</w:t>
      </w:r>
      <w:proofErr w:type="spellEnd"/>
      <w:r w:rsidRPr="00EF65AB">
        <w:rPr>
          <w:rFonts w:ascii="Times New Roman" w:hAnsi="Times New Roman"/>
          <w:lang w:val="en-US"/>
        </w:rPr>
        <w:t xml:space="preserve"> et al. (2022), who evaluated the impact of a co-created occupational health intervention on stress and psychosocial working conditions in the Swedish construction industry. At the 12-month follow-up, the intervention group experienced marginally lower increases in stress levels compared to the control group. More specifically, the intervention group experienced a lower increase in average stress levels (+1.4 points) compared to the control group, which reported a higher rise (+6.1 points). The difference between the intervention and control groups was statistically significant, indicating that the intervention had a substantial mitigating impact on stress levels throughout the initial year (p = 0.015), as shown by the 12-month follow-up period in Table 5. However, the study found insignificant differences between the two groups in the 24-month follow-up period. Thus, the intervention was effective in reducing stress at the 12-month follow-up, demonstrating its potential to have short-term benefits. On the other hand, the loss of significance in the 24-month results </w:t>
      </w:r>
      <w:proofErr w:type="gramStart"/>
      <w:r w:rsidRPr="00EF65AB">
        <w:rPr>
          <w:rFonts w:ascii="Times New Roman" w:hAnsi="Times New Roman"/>
          <w:lang w:val="en-US"/>
        </w:rPr>
        <w:t>suggests</w:t>
      </w:r>
      <w:proofErr w:type="gramEnd"/>
      <w:r w:rsidRPr="00EF65AB">
        <w:rPr>
          <w:rFonts w:ascii="Times New Roman" w:hAnsi="Times New Roman"/>
          <w:lang w:val="en-US"/>
        </w:rPr>
        <w:t xml:space="preserve"> that the initial benefits of the intervention were not sustained over time. This could be due to various factors, such as the ongoing pressures of the work environment, external factors like the COVID-19 pandemic, or the possibility that the intervention’s intensity or scope was insufficient to maintain long-term improvements.</w:t>
      </w:r>
    </w:p>
    <w:p w14:paraId="441C1020" w14:textId="77777777" w:rsidR="004109B0" w:rsidRPr="004109B0" w:rsidRDefault="004109B0" w:rsidP="00C64A1B">
      <w:pPr>
        <w:spacing w:after="0" w:line="240" w:lineRule="auto"/>
        <w:rPr>
          <w:rFonts w:ascii="Times New Roman" w:hAnsi="Times New Roman" w:cs="Times New Roman"/>
          <w:b/>
          <w:bCs/>
          <w:sz w:val="22"/>
          <w:szCs w:val="22"/>
          <w:lang w:val="en-US"/>
        </w:rPr>
        <w:sectPr w:rsidR="004109B0" w:rsidRPr="004109B0" w:rsidSect="004109B0">
          <w:pgSz w:w="11906" w:h="16838"/>
          <w:pgMar w:top="1134" w:right="1134" w:bottom="1134" w:left="1134" w:header="709" w:footer="709" w:gutter="0"/>
          <w:cols w:space="708"/>
          <w:docGrid w:linePitch="360"/>
        </w:sectPr>
      </w:pPr>
    </w:p>
    <w:p w14:paraId="162AF38D" w14:textId="7DC9E74E" w:rsidR="00C64A1B" w:rsidRPr="00DF2D81" w:rsidRDefault="00AC3E2C" w:rsidP="00C64A1B">
      <w:pPr>
        <w:spacing w:after="0" w:line="240" w:lineRule="auto"/>
        <w:rPr>
          <w:rFonts w:ascii="Times New Roman" w:hAnsi="Times New Roman" w:cs="Times New Roman"/>
          <w:sz w:val="22"/>
          <w:szCs w:val="22"/>
        </w:rPr>
      </w:pPr>
      <w:r w:rsidRPr="00AC3E2C">
        <w:rPr>
          <w:rFonts w:ascii="Times New Roman" w:hAnsi="Times New Roman" w:cs="Times New Roman"/>
          <w:b/>
          <w:bCs/>
          <w:sz w:val="22"/>
          <w:szCs w:val="22"/>
        </w:rPr>
        <w:lastRenderedPageBreak/>
        <w:t>Table C3.</w:t>
      </w:r>
      <w:r w:rsidRPr="00AC3E2C">
        <w:rPr>
          <w:rFonts w:ascii="Times New Roman" w:hAnsi="Times New Roman" w:cs="Times New Roman"/>
          <w:sz w:val="22"/>
          <w:szCs w:val="22"/>
        </w:rPr>
        <w:t xml:space="preserve"> Detailed Results of the effectiveness of health promotion interventions</w:t>
      </w:r>
      <w:bookmarkStart w:id="1" w:name="_Hlk204523230"/>
    </w:p>
    <w:tbl>
      <w:tblPr>
        <w:tblStyle w:val="TableGrid"/>
        <w:tblW w:w="16160" w:type="dxa"/>
        <w:jc w:val="center"/>
        <w:tblLayout w:type="fixed"/>
        <w:tblLook w:val="04A0" w:firstRow="1" w:lastRow="0" w:firstColumn="1" w:lastColumn="0" w:noHBand="0" w:noVBand="1"/>
      </w:tblPr>
      <w:tblGrid>
        <w:gridCol w:w="1286"/>
        <w:gridCol w:w="1550"/>
        <w:gridCol w:w="2688"/>
        <w:gridCol w:w="2693"/>
        <w:gridCol w:w="1984"/>
        <w:gridCol w:w="1701"/>
        <w:gridCol w:w="1985"/>
        <w:gridCol w:w="2273"/>
      </w:tblGrid>
      <w:tr w:rsidR="00A73353" w14:paraId="742DCB18" w14:textId="77777777" w:rsidTr="00A73353">
        <w:trPr>
          <w:jc w:val="center"/>
        </w:trPr>
        <w:tc>
          <w:tcPr>
            <w:tcW w:w="1286" w:type="dxa"/>
          </w:tcPr>
          <w:bookmarkEnd w:id="1"/>
          <w:p w14:paraId="08CE2DAF"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Study/Sector</w:t>
            </w:r>
          </w:p>
        </w:tc>
        <w:tc>
          <w:tcPr>
            <w:tcW w:w="1550" w:type="dxa"/>
          </w:tcPr>
          <w:p w14:paraId="68BB54A9"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Outcome/</w:t>
            </w:r>
          </w:p>
          <w:p w14:paraId="75ABB92C"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Measurement</w:t>
            </w:r>
          </w:p>
        </w:tc>
        <w:tc>
          <w:tcPr>
            <w:tcW w:w="2688" w:type="dxa"/>
          </w:tcPr>
          <w:p w14:paraId="57EBCEC2"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Scale/</w:t>
            </w:r>
          </w:p>
          <w:p w14:paraId="0C67D966"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Range</w:t>
            </w:r>
          </w:p>
        </w:tc>
        <w:tc>
          <w:tcPr>
            <w:tcW w:w="2693" w:type="dxa"/>
          </w:tcPr>
          <w:p w14:paraId="69E851CB"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Pre-intervention Intervention Group</w:t>
            </w:r>
          </w:p>
        </w:tc>
        <w:tc>
          <w:tcPr>
            <w:tcW w:w="1984" w:type="dxa"/>
          </w:tcPr>
          <w:p w14:paraId="1096CDA3"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 xml:space="preserve">Post-intervention Intervention Group </w:t>
            </w:r>
          </w:p>
        </w:tc>
        <w:tc>
          <w:tcPr>
            <w:tcW w:w="1701" w:type="dxa"/>
          </w:tcPr>
          <w:p w14:paraId="4B34D52D"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 xml:space="preserve">Pre-intervention Control Group </w:t>
            </w:r>
          </w:p>
        </w:tc>
        <w:tc>
          <w:tcPr>
            <w:tcW w:w="1985" w:type="dxa"/>
          </w:tcPr>
          <w:p w14:paraId="44E301BB"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 xml:space="preserve">Post-intervention Control Group </w:t>
            </w:r>
          </w:p>
        </w:tc>
        <w:tc>
          <w:tcPr>
            <w:tcW w:w="2273" w:type="dxa"/>
          </w:tcPr>
          <w:p w14:paraId="53C6295E" w14:textId="77777777" w:rsidR="00A90E3B" w:rsidRPr="001833E1" w:rsidRDefault="00A90E3B"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Measure of effect (95%)</w:t>
            </w:r>
          </w:p>
        </w:tc>
      </w:tr>
      <w:tr w:rsidR="00A73353" w14:paraId="548F94DE" w14:textId="77777777" w:rsidTr="00A73353">
        <w:trPr>
          <w:jc w:val="center"/>
        </w:trPr>
        <w:tc>
          <w:tcPr>
            <w:tcW w:w="1286" w:type="dxa"/>
            <w:vMerge w:val="restart"/>
          </w:tcPr>
          <w:p w14:paraId="6A45D4DF" w14:textId="77777777" w:rsidR="00A73353" w:rsidRPr="001833E1" w:rsidRDefault="00A73353" w:rsidP="007D29A5">
            <w:pPr>
              <w:jc w:val="center"/>
              <w:rPr>
                <w:rFonts w:ascii="Times New Roman" w:hAnsi="Times New Roman" w:cs="Times New Roman"/>
                <w:sz w:val="18"/>
                <w:szCs w:val="18"/>
              </w:rPr>
            </w:pPr>
          </w:p>
          <w:p w14:paraId="0898C940" w14:textId="77777777" w:rsidR="00A73353" w:rsidRPr="001833E1" w:rsidRDefault="00A73353" w:rsidP="007D29A5">
            <w:pPr>
              <w:jc w:val="center"/>
              <w:rPr>
                <w:rFonts w:ascii="Times New Roman" w:hAnsi="Times New Roman" w:cs="Times New Roman"/>
                <w:sz w:val="18"/>
                <w:szCs w:val="18"/>
              </w:rPr>
            </w:pPr>
          </w:p>
          <w:p w14:paraId="47476555" w14:textId="77777777" w:rsidR="00A73353" w:rsidRPr="001833E1" w:rsidRDefault="00A73353" w:rsidP="007D29A5">
            <w:pPr>
              <w:jc w:val="center"/>
              <w:rPr>
                <w:rFonts w:ascii="Times New Roman" w:hAnsi="Times New Roman" w:cs="Times New Roman"/>
                <w:sz w:val="18"/>
                <w:szCs w:val="18"/>
              </w:rPr>
            </w:pPr>
          </w:p>
          <w:p w14:paraId="4925FAB2" w14:textId="77777777" w:rsidR="00A73353" w:rsidRPr="001833E1" w:rsidRDefault="00A73353" w:rsidP="007D29A5">
            <w:pPr>
              <w:jc w:val="center"/>
              <w:rPr>
                <w:rFonts w:ascii="Times New Roman" w:hAnsi="Times New Roman" w:cs="Times New Roman"/>
                <w:sz w:val="18"/>
                <w:szCs w:val="18"/>
              </w:rPr>
            </w:pPr>
          </w:p>
          <w:p w14:paraId="52FFD2D7" w14:textId="77777777" w:rsidR="00A73353" w:rsidRPr="001833E1" w:rsidRDefault="00A73353" w:rsidP="007D29A5">
            <w:pPr>
              <w:jc w:val="center"/>
              <w:rPr>
                <w:rFonts w:ascii="Times New Roman" w:hAnsi="Times New Roman" w:cs="Times New Roman"/>
                <w:sz w:val="18"/>
                <w:szCs w:val="18"/>
              </w:rPr>
            </w:pPr>
          </w:p>
          <w:p w14:paraId="61248E49" w14:textId="77777777" w:rsidR="00A73353" w:rsidRPr="001833E1" w:rsidRDefault="00A73353" w:rsidP="007D29A5">
            <w:pPr>
              <w:jc w:val="center"/>
              <w:rPr>
                <w:rFonts w:ascii="Times New Roman" w:hAnsi="Times New Roman" w:cs="Times New Roman"/>
                <w:sz w:val="18"/>
                <w:szCs w:val="18"/>
              </w:rPr>
            </w:pPr>
          </w:p>
          <w:p w14:paraId="2F86981F" w14:textId="77777777" w:rsidR="00A73353" w:rsidRPr="001833E1" w:rsidRDefault="00A73353" w:rsidP="007D29A5">
            <w:pPr>
              <w:jc w:val="center"/>
              <w:rPr>
                <w:rFonts w:ascii="Times New Roman" w:hAnsi="Times New Roman" w:cs="Times New Roman"/>
                <w:sz w:val="18"/>
                <w:szCs w:val="18"/>
              </w:rPr>
            </w:pPr>
          </w:p>
          <w:p w14:paraId="1D653210" w14:textId="77777777" w:rsidR="00A73353" w:rsidRPr="001833E1" w:rsidRDefault="00A73353" w:rsidP="007D29A5">
            <w:pPr>
              <w:jc w:val="center"/>
              <w:rPr>
                <w:rFonts w:ascii="Times New Roman" w:hAnsi="Times New Roman" w:cs="Times New Roman"/>
                <w:sz w:val="18"/>
                <w:szCs w:val="18"/>
              </w:rPr>
            </w:pPr>
          </w:p>
          <w:p w14:paraId="48A7BD06" w14:textId="77777777" w:rsidR="00A73353" w:rsidRPr="001833E1" w:rsidRDefault="00A73353" w:rsidP="007D29A5">
            <w:pPr>
              <w:jc w:val="center"/>
              <w:rPr>
                <w:rFonts w:ascii="Times New Roman" w:hAnsi="Times New Roman" w:cs="Times New Roman"/>
                <w:sz w:val="18"/>
                <w:szCs w:val="18"/>
              </w:rPr>
            </w:pPr>
          </w:p>
          <w:p w14:paraId="608C022F" w14:textId="77777777" w:rsidR="00A73353" w:rsidRPr="001833E1" w:rsidRDefault="00A73353" w:rsidP="007D29A5">
            <w:pPr>
              <w:jc w:val="center"/>
              <w:rPr>
                <w:rFonts w:ascii="Times New Roman" w:hAnsi="Times New Roman" w:cs="Times New Roman"/>
                <w:sz w:val="18"/>
                <w:szCs w:val="18"/>
              </w:rPr>
            </w:pPr>
          </w:p>
          <w:p w14:paraId="0F5E6089" w14:textId="77777777" w:rsidR="00A73353" w:rsidRPr="001833E1" w:rsidRDefault="00A73353" w:rsidP="007D29A5">
            <w:pPr>
              <w:jc w:val="center"/>
              <w:rPr>
                <w:rFonts w:ascii="Times New Roman" w:hAnsi="Times New Roman" w:cs="Times New Roman"/>
                <w:sz w:val="18"/>
                <w:szCs w:val="18"/>
              </w:rPr>
            </w:pPr>
          </w:p>
          <w:p w14:paraId="442BC2D1" w14:textId="77777777" w:rsidR="00A73353" w:rsidRPr="001833E1" w:rsidRDefault="00A73353" w:rsidP="007D29A5">
            <w:pPr>
              <w:jc w:val="center"/>
              <w:rPr>
                <w:rFonts w:ascii="Times New Roman" w:hAnsi="Times New Roman" w:cs="Times New Roman"/>
                <w:sz w:val="18"/>
                <w:szCs w:val="18"/>
              </w:rPr>
            </w:pPr>
          </w:p>
          <w:p w14:paraId="19B1B2F3" w14:textId="77777777" w:rsidR="00A73353" w:rsidRPr="001833E1" w:rsidRDefault="00A73353" w:rsidP="007D29A5">
            <w:pPr>
              <w:jc w:val="center"/>
              <w:rPr>
                <w:rFonts w:ascii="Times New Roman" w:hAnsi="Times New Roman" w:cs="Times New Roman"/>
                <w:sz w:val="18"/>
                <w:szCs w:val="18"/>
              </w:rPr>
            </w:pPr>
          </w:p>
          <w:p w14:paraId="72353DA9" w14:textId="77777777" w:rsidR="00A73353" w:rsidRPr="001833E1" w:rsidRDefault="00A73353" w:rsidP="007D29A5">
            <w:pPr>
              <w:jc w:val="center"/>
              <w:rPr>
                <w:rFonts w:ascii="Times New Roman" w:hAnsi="Times New Roman" w:cs="Times New Roman"/>
                <w:sz w:val="18"/>
                <w:szCs w:val="18"/>
              </w:rPr>
            </w:pPr>
          </w:p>
          <w:p w14:paraId="23C7DBE2" w14:textId="77777777" w:rsidR="00A73353" w:rsidRPr="001833E1" w:rsidRDefault="00A73353" w:rsidP="007D29A5">
            <w:pPr>
              <w:jc w:val="center"/>
              <w:rPr>
                <w:rFonts w:ascii="Times New Roman" w:hAnsi="Times New Roman" w:cs="Times New Roman"/>
                <w:sz w:val="18"/>
                <w:szCs w:val="18"/>
              </w:rPr>
            </w:pPr>
          </w:p>
          <w:p w14:paraId="737A6265" w14:textId="77777777" w:rsidR="00A73353" w:rsidRPr="001833E1" w:rsidRDefault="00A73353" w:rsidP="007D29A5">
            <w:pPr>
              <w:jc w:val="center"/>
              <w:rPr>
                <w:rFonts w:ascii="Times New Roman" w:hAnsi="Times New Roman" w:cs="Times New Roman"/>
                <w:sz w:val="18"/>
                <w:szCs w:val="18"/>
              </w:rPr>
            </w:pPr>
          </w:p>
          <w:p w14:paraId="40C85E46" w14:textId="77777777" w:rsidR="00A73353" w:rsidRPr="001833E1" w:rsidRDefault="00A73353" w:rsidP="007D29A5">
            <w:pPr>
              <w:jc w:val="center"/>
              <w:rPr>
                <w:rFonts w:ascii="Times New Roman" w:hAnsi="Times New Roman" w:cs="Times New Roman"/>
                <w:sz w:val="18"/>
                <w:szCs w:val="18"/>
              </w:rPr>
            </w:pPr>
          </w:p>
          <w:p w14:paraId="533F93C0" w14:textId="77777777" w:rsidR="00A73353" w:rsidRPr="001833E1" w:rsidRDefault="00A73353" w:rsidP="007D29A5">
            <w:pPr>
              <w:jc w:val="center"/>
              <w:rPr>
                <w:rFonts w:ascii="Times New Roman" w:hAnsi="Times New Roman" w:cs="Times New Roman"/>
                <w:sz w:val="18"/>
                <w:szCs w:val="18"/>
              </w:rPr>
            </w:pPr>
          </w:p>
          <w:p w14:paraId="21AF309F" w14:textId="77777777" w:rsidR="00A73353" w:rsidRPr="001833E1" w:rsidRDefault="00A73353" w:rsidP="007D29A5">
            <w:pPr>
              <w:jc w:val="center"/>
              <w:rPr>
                <w:rFonts w:ascii="Times New Roman" w:hAnsi="Times New Roman" w:cs="Times New Roman"/>
                <w:sz w:val="18"/>
                <w:szCs w:val="18"/>
              </w:rPr>
            </w:pPr>
          </w:p>
          <w:p w14:paraId="00D6DD7E" w14:textId="77777777" w:rsidR="00A73353" w:rsidRPr="001833E1" w:rsidRDefault="00A73353" w:rsidP="007D29A5">
            <w:pPr>
              <w:jc w:val="center"/>
              <w:rPr>
                <w:rFonts w:ascii="Times New Roman" w:hAnsi="Times New Roman" w:cs="Times New Roman"/>
                <w:sz w:val="18"/>
                <w:szCs w:val="18"/>
              </w:rPr>
            </w:pPr>
          </w:p>
          <w:p w14:paraId="12804C45" w14:textId="58E914FC"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sz w:val="18"/>
                <w:szCs w:val="18"/>
              </w:rPr>
              <w:t>Kiser (2024) / Healthcare</w:t>
            </w:r>
          </w:p>
          <w:p w14:paraId="5EFA9E60" w14:textId="77777777" w:rsidR="00A73353" w:rsidRPr="001833E1" w:rsidRDefault="00A73353" w:rsidP="007D29A5">
            <w:pPr>
              <w:jc w:val="center"/>
              <w:rPr>
                <w:rFonts w:ascii="Times New Roman" w:hAnsi="Times New Roman" w:cs="Times New Roman"/>
                <w:sz w:val="18"/>
                <w:szCs w:val="18"/>
              </w:rPr>
            </w:pPr>
          </w:p>
          <w:p w14:paraId="4F9AA244" w14:textId="77777777" w:rsidR="00A73353" w:rsidRPr="001833E1" w:rsidRDefault="00A73353" w:rsidP="007D29A5">
            <w:pPr>
              <w:jc w:val="center"/>
              <w:rPr>
                <w:rFonts w:ascii="Times New Roman" w:hAnsi="Times New Roman" w:cs="Times New Roman"/>
                <w:sz w:val="18"/>
                <w:szCs w:val="18"/>
              </w:rPr>
            </w:pPr>
          </w:p>
          <w:p w14:paraId="7A4FD8ED" w14:textId="77777777" w:rsidR="00A73353" w:rsidRPr="001833E1" w:rsidRDefault="00A73353" w:rsidP="007D29A5">
            <w:pPr>
              <w:jc w:val="center"/>
              <w:rPr>
                <w:rFonts w:ascii="Times New Roman" w:hAnsi="Times New Roman" w:cs="Times New Roman"/>
                <w:sz w:val="18"/>
                <w:szCs w:val="18"/>
              </w:rPr>
            </w:pPr>
          </w:p>
          <w:p w14:paraId="6441EE36" w14:textId="77777777" w:rsidR="00A73353" w:rsidRPr="001833E1" w:rsidRDefault="00A73353" w:rsidP="007D29A5">
            <w:pPr>
              <w:jc w:val="center"/>
              <w:rPr>
                <w:rFonts w:ascii="Times New Roman" w:hAnsi="Times New Roman" w:cs="Times New Roman"/>
                <w:sz w:val="18"/>
                <w:szCs w:val="18"/>
              </w:rPr>
            </w:pPr>
          </w:p>
          <w:p w14:paraId="505C8008" w14:textId="77777777" w:rsidR="00A73353" w:rsidRPr="001833E1" w:rsidRDefault="00A73353" w:rsidP="007D29A5">
            <w:pPr>
              <w:jc w:val="center"/>
              <w:rPr>
                <w:rFonts w:ascii="Times New Roman" w:hAnsi="Times New Roman" w:cs="Times New Roman"/>
                <w:sz w:val="18"/>
                <w:szCs w:val="18"/>
              </w:rPr>
            </w:pPr>
          </w:p>
          <w:p w14:paraId="1BD550A8" w14:textId="77777777" w:rsidR="00A73353" w:rsidRPr="001833E1" w:rsidRDefault="00A73353" w:rsidP="007D29A5">
            <w:pPr>
              <w:jc w:val="center"/>
              <w:rPr>
                <w:rFonts w:ascii="Times New Roman" w:hAnsi="Times New Roman" w:cs="Times New Roman"/>
                <w:b/>
                <w:bCs/>
                <w:sz w:val="18"/>
                <w:szCs w:val="18"/>
              </w:rPr>
            </w:pPr>
          </w:p>
        </w:tc>
        <w:tc>
          <w:tcPr>
            <w:tcW w:w="1550" w:type="dxa"/>
          </w:tcPr>
          <w:p w14:paraId="6183F719"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Emotional exhaustion burnout</w:t>
            </w:r>
          </w:p>
          <w:p w14:paraId="1EAB7185"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And Depersonalization burnout /</w:t>
            </w:r>
            <w:r w:rsidRPr="001833E1">
              <w:rPr>
                <w:rFonts w:ascii="Times New Roman" w:hAnsi="Times New Roman" w:cs="Times New Roman"/>
                <w:sz w:val="18"/>
                <w:szCs w:val="18"/>
              </w:rPr>
              <w:t xml:space="preserve"> </w:t>
            </w:r>
            <w:r w:rsidRPr="001833E1">
              <w:rPr>
                <w:rFonts w:ascii="Times New Roman" w:hAnsi="Times New Roman" w:cs="Times New Roman"/>
                <w:color w:val="000000"/>
                <w:sz w:val="18"/>
                <w:szCs w:val="18"/>
              </w:rPr>
              <w:t>Modified Maslach Burnout Inventory (mMBI)</w:t>
            </w:r>
          </w:p>
          <w:p w14:paraId="322EC353" w14:textId="77777777" w:rsidR="00A73353" w:rsidRPr="001833E1" w:rsidRDefault="00A73353" w:rsidP="007D29A5">
            <w:pPr>
              <w:jc w:val="center"/>
              <w:rPr>
                <w:rFonts w:ascii="Times New Roman" w:hAnsi="Times New Roman" w:cs="Times New Roman"/>
                <w:b/>
                <w:bCs/>
                <w:sz w:val="18"/>
                <w:szCs w:val="18"/>
              </w:rPr>
            </w:pPr>
          </w:p>
        </w:tc>
        <w:tc>
          <w:tcPr>
            <w:tcW w:w="2688" w:type="dxa"/>
          </w:tcPr>
          <w:p w14:paraId="47080FFC"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sz w:val="18"/>
                <w:szCs w:val="18"/>
              </w:rPr>
              <w:t>Two single-item measures of emotional exhaustion and depersonalization, each measured on a 7-point scale ranging from 0 to 6 points, with higher scores indicating greater burnout.</w:t>
            </w:r>
          </w:p>
        </w:tc>
        <w:tc>
          <w:tcPr>
            <w:tcW w:w="2693" w:type="dxa"/>
          </w:tcPr>
          <w:p w14:paraId="715E774D"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sz w:val="18"/>
                <w:szCs w:val="18"/>
              </w:rPr>
              <w:t xml:space="preserve">Mean (SD) </w:t>
            </w:r>
            <w:r w:rsidRPr="001833E1">
              <w:rPr>
                <w:rFonts w:ascii="Times New Roman" w:hAnsi="Times New Roman" w:cs="Times New Roman"/>
                <w:b/>
                <w:bCs/>
                <w:color w:val="000000"/>
                <w:sz w:val="18"/>
                <w:szCs w:val="18"/>
              </w:rPr>
              <w:t>Randomized to intervention:</w:t>
            </w:r>
          </w:p>
          <w:p w14:paraId="5013B464"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Emotional exhaustion burnout: 3.31 (1.61)</w:t>
            </w:r>
          </w:p>
          <w:p w14:paraId="1EFC3E11"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Depersonalization burnout: 1.87 (1.61)</w:t>
            </w:r>
          </w:p>
          <w:p w14:paraId="4DE5CE91"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Received coaching intervention:</w:t>
            </w:r>
          </w:p>
          <w:p w14:paraId="043279F4"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Emotional exhaustion burnout: 3.23 (1.59)</w:t>
            </w:r>
          </w:p>
          <w:p w14:paraId="1F7D40FC"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Depersonalization burnout: 1.85 (1.67)</w:t>
            </w:r>
          </w:p>
        </w:tc>
        <w:tc>
          <w:tcPr>
            <w:tcW w:w="1984" w:type="dxa"/>
          </w:tcPr>
          <w:p w14:paraId="2332D7FE"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Absolute change, mean</w:t>
            </w:r>
          </w:p>
          <w:p w14:paraId="7094F9F2"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(95% CI), points Received coaching intervention:</w:t>
            </w:r>
          </w:p>
          <w:p w14:paraId="1E45AE7B"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Emotional exhaustion: −0.12 (−0.51 to 0.26)</w:t>
            </w:r>
          </w:p>
          <w:p w14:paraId="72435802"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Depersonalization: −0.2 (−0.6 to 0.2)</w:t>
            </w:r>
          </w:p>
        </w:tc>
        <w:tc>
          <w:tcPr>
            <w:tcW w:w="1701" w:type="dxa"/>
          </w:tcPr>
          <w:p w14:paraId="7BD53648"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b/>
                <w:bCs/>
                <w:sz w:val="18"/>
                <w:szCs w:val="18"/>
              </w:rPr>
              <w:t xml:space="preserve">Mean (SD) </w:t>
            </w:r>
            <w:r w:rsidRPr="001833E1">
              <w:rPr>
                <w:rFonts w:ascii="Times New Roman" w:hAnsi="Times New Roman" w:cs="Times New Roman"/>
                <w:color w:val="000000"/>
                <w:sz w:val="18"/>
                <w:szCs w:val="18"/>
              </w:rPr>
              <w:t>Emotional exhaustion: 3.35 (1.68)</w:t>
            </w:r>
          </w:p>
          <w:p w14:paraId="3D905BFF"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Depersonalization: 2.18 (1.73)</w:t>
            </w:r>
          </w:p>
        </w:tc>
        <w:tc>
          <w:tcPr>
            <w:tcW w:w="1985" w:type="dxa"/>
          </w:tcPr>
          <w:p w14:paraId="66261895"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Absolute change, mean</w:t>
            </w:r>
          </w:p>
          <w:p w14:paraId="5E89E8E3"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b/>
                <w:bCs/>
                <w:color w:val="000000"/>
                <w:sz w:val="18"/>
                <w:szCs w:val="18"/>
              </w:rPr>
              <w:t>(95% CI), points</w:t>
            </w:r>
            <w:r w:rsidRPr="001833E1">
              <w:rPr>
                <w:rFonts w:ascii="Times New Roman" w:hAnsi="Times New Roman" w:cs="Times New Roman"/>
                <w:color w:val="000000"/>
                <w:sz w:val="18"/>
                <w:szCs w:val="18"/>
              </w:rPr>
              <w:t xml:space="preserve"> Emotional exhaustion: −0.04 (−0.37 to 0.30)</w:t>
            </w:r>
          </w:p>
          <w:p w14:paraId="6BB847B8"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Depersonalization: 0.1 (−0.2 to 0.5)</w:t>
            </w:r>
          </w:p>
        </w:tc>
        <w:tc>
          <w:tcPr>
            <w:tcW w:w="2273" w:type="dxa"/>
          </w:tcPr>
          <w:p w14:paraId="17A45655"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Absolute difference,</w:t>
            </w:r>
          </w:p>
          <w:p w14:paraId="1690B15B"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intervention vs control</w:t>
            </w:r>
          </w:p>
          <w:p w14:paraId="47F0A58F"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b/>
                <w:bCs/>
                <w:sz w:val="18"/>
                <w:szCs w:val="18"/>
              </w:rPr>
              <w:t>(95% CI), points</w:t>
            </w:r>
            <w:r w:rsidRPr="001833E1">
              <w:rPr>
                <w:rFonts w:ascii="Times New Roman" w:hAnsi="Times New Roman" w:cs="Times New Roman"/>
                <w:color w:val="000000"/>
                <w:sz w:val="18"/>
                <w:szCs w:val="18"/>
              </w:rPr>
              <w:t xml:space="preserve"> </w:t>
            </w:r>
          </w:p>
          <w:p w14:paraId="760C2CF2"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Emotional exhaustion: −0.09 (−0.60 to 0.42)</w:t>
            </w:r>
          </w:p>
          <w:p w14:paraId="4C9AEAC0" w14:textId="64F98723" w:rsidR="00A73353" w:rsidRPr="001833E1" w:rsidRDefault="00A73353" w:rsidP="00DF2D81">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P-value=0.73</w:t>
            </w:r>
          </w:p>
          <w:p w14:paraId="6E2CA782"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 xml:space="preserve">Depersonalization: −0.4 (−0.9 to 0.2) </w:t>
            </w:r>
          </w:p>
          <w:p w14:paraId="42230550"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P-value=0.18</w:t>
            </w:r>
          </w:p>
        </w:tc>
      </w:tr>
      <w:tr w:rsidR="00A73353" w14:paraId="3ADE6CE3" w14:textId="77777777" w:rsidTr="00A73353">
        <w:trPr>
          <w:jc w:val="center"/>
        </w:trPr>
        <w:tc>
          <w:tcPr>
            <w:tcW w:w="1286" w:type="dxa"/>
            <w:vMerge/>
          </w:tcPr>
          <w:p w14:paraId="56B27692" w14:textId="77777777" w:rsidR="00A73353" w:rsidRPr="001833E1" w:rsidRDefault="00A73353" w:rsidP="007D29A5">
            <w:pPr>
              <w:jc w:val="center"/>
              <w:rPr>
                <w:rFonts w:ascii="Times New Roman" w:hAnsi="Times New Roman" w:cs="Times New Roman"/>
                <w:b/>
                <w:bCs/>
                <w:sz w:val="18"/>
                <w:szCs w:val="18"/>
              </w:rPr>
            </w:pPr>
          </w:p>
        </w:tc>
        <w:tc>
          <w:tcPr>
            <w:tcW w:w="1550" w:type="dxa"/>
          </w:tcPr>
          <w:p w14:paraId="177BA9E4"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Burnout/Work</w:t>
            </w:r>
          </w:p>
          <w:p w14:paraId="7E31440D"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exhaustion and interpersonal disengagement subscales of the Stanford Professional Fulfillment</w:t>
            </w:r>
          </w:p>
          <w:p w14:paraId="430C97B7"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Index (PFI).</w:t>
            </w:r>
          </w:p>
        </w:tc>
        <w:tc>
          <w:tcPr>
            <w:tcW w:w="2688" w:type="dxa"/>
          </w:tcPr>
          <w:p w14:paraId="55251E06"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sz w:val="18"/>
                <w:szCs w:val="18"/>
              </w:rPr>
              <w:t>16 items measured on a 5-point Likert scale. The overall burnout score from the PFI ranges from 0 to 10 points, with higher scores indicating greater burnout</w:t>
            </w:r>
          </w:p>
        </w:tc>
        <w:tc>
          <w:tcPr>
            <w:tcW w:w="2693" w:type="dxa"/>
          </w:tcPr>
          <w:p w14:paraId="1BA90D12"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Randomized to intervention:</w:t>
            </w:r>
          </w:p>
          <w:p w14:paraId="3F672948"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Work</w:t>
            </w:r>
          </w:p>
          <w:p w14:paraId="73A77C68"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 xml:space="preserve">Exhaustion: 4.28 (1.76) </w:t>
            </w:r>
          </w:p>
          <w:p w14:paraId="7B5C8608"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Interpersonal disengagement: 2.77 (1.73)</w:t>
            </w:r>
          </w:p>
          <w:p w14:paraId="278EE29C"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Received coaching intervention:</w:t>
            </w:r>
          </w:p>
          <w:p w14:paraId="2F983E55"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Work</w:t>
            </w:r>
          </w:p>
          <w:p w14:paraId="7E9C1D8A"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color w:val="000000"/>
                <w:sz w:val="18"/>
                <w:szCs w:val="18"/>
              </w:rPr>
              <w:t xml:space="preserve">Exhaustion: </w:t>
            </w:r>
            <w:r w:rsidRPr="001833E1">
              <w:rPr>
                <w:rFonts w:ascii="Times New Roman" w:hAnsi="Times New Roman" w:cs="Times New Roman"/>
                <w:sz w:val="18"/>
                <w:szCs w:val="18"/>
              </w:rPr>
              <w:t>4.10 (1.73)</w:t>
            </w:r>
          </w:p>
          <w:p w14:paraId="46262F18"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Interpersonal disengagement: 2.73 (1.88)</w:t>
            </w:r>
          </w:p>
        </w:tc>
        <w:tc>
          <w:tcPr>
            <w:tcW w:w="1984" w:type="dxa"/>
          </w:tcPr>
          <w:p w14:paraId="41E97E37"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Received coaching intervention:</w:t>
            </w:r>
          </w:p>
          <w:p w14:paraId="359BDD4C"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Work</w:t>
            </w:r>
          </w:p>
          <w:p w14:paraId="378573DE"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color w:val="000000"/>
                <w:sz w:val="18"/>
                <w:szCs w:val="18"/>
              </w:rPr>
              <w:t xml:space="preserve">Exhaustion: </w:t>
            </w:r>
            <w:r w:rsidRPr="001833E1">
              <w:rPr>
                <w:rFonts w:ascii="Times New Roman" w:hAnsi="Times New Roman" w:cs="Times New Roman"/>
                <w:sz w:val="18"/>
                <w:szCs w:val="18"/>
              </w:rPr>
              <w:t>−0.51 (−1.02 to 0.00)</w:t>
            </w:r>
          </w:p>
          <w:p w14:paraId="15BADB86"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Interpersonal disengagement: −0.82 (−1.23 to −0.42)</w:t>
            </w:r>
          </w:p>
        </w:tc>
        <w:tc>
          <w:tcPr>
            <w:tcW w:w="1701" w:type="dxa"/>
          </w:tcPr>
          <w:p w14:paraId="3FAE018F"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Work</w:t>
            </w:r>
          </w:p>
          <w:p w14:paraId="117EB414"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Exhaustion: 4.39 (2.15)</w:t>
            </w:r>
          </w:p>
          <w:p w14:paraId="44CF10AC"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Interpersonal disengagement: 2.90 (1.88)</w:t>
            </w:r>
          </w:p>
        </w:tc>
        <w:tc>
          <w:tcPr>
            <w:tcW w:w="1985" w:type="dxa"/>
          </w:tcPr>
          <w:p w14:paraId="56BF732B"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Work</w:t>
            </w:r>
          </w:p>
          <w:p w14:paraId="09B22CEA"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Exhaustion: 0.01 (−0.43 to 0.45) Interpersonal disengagement: 0.12 (−0.23 to 0.47)</w:t>
            </w:r>
          </w:p>
        </w:tc>
        <w:tc>
          <w:tcPr>
            <w:tcW w:w="2273" w:type="dxa"/>
          </w:tcPr>
          <w:p w14:paraId="1371BCE4"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Work</w:t>
            </w:r>
          </w:p>
          <w:p w14:paraId="0D682CEE"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exhaustion: −0.52 (−1.19 to 0.15)</w:t>
            </w:r>
          </w:p>
          <w:p w14:paraId="70905F7B"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P-value=0.13</w:t>
            </w:r>
          </w:p>
          <w:p w14:paraId="6DABD449" w14:textId="77777777" w:rsidR="00A73353" w:rsidRPr="001833E1" w:rsidRDefault="00A73353" w:rsidP="007D29A5">
            <w:pPr>
              <w:jc w:val="center"/>
              <w:rPr>
                <w:rFonts w:ascii="Times New Roman" w:hAnsi="Times New Roman" w:cs="Times New Roman"/>
                <w:color w:val="000000"/>
                <w:sz w:val="18"/>
                <w:szCs w:val="18"/>
              </w:rPr>
            </w:pPr>
          </w:p>
          <w:p w14:paraId="73FBF638"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 xml:space="preserve">Interpersonal disengagement: −0.94 (−1.48 to −0.41) </w:t>
            </w:r>
          </w:p>
          <w:p w14:paraId="2421AC5F"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P-value=0.001</w:t>
            </w:r>
          </w:p>
        </w:tc>
      </w:tr>
      <w:tr w:rsidR="00A73353" w14:paraId="1D5B7A24" w14:textId="77777777" w:rsidTr="00A73353">
        <w:trPr>
          <w:jc w:val="center"/>
        </w:trPr>
        <w:tc>
          <w:tcPr>
            <w:tcW w:w="1286" w:type="dxa"/>
            <w:vMerge/>
          </w:tcPr>
          <w:p w14:paraId="02041909" w14:textId="77777777" w:rsidR="00A73353" w:rsidRPr="001833E1" w:rsidRDefault="00A73353" w:rsidP="007D29A5">
            <w:pPr>
              <w:jc w:val="center"/>
              <w:rPr>
                <w:rFonts w:ascii="Times New Roman" w:hAnsi="Times New Roman" w:cs="Times New Roman"/>
                <w:b/>
                <w:bCs/>
                <w:sz w:val="18"/>
                <w:szCs w:val="18"/>
              </w:rPr>
            </w:pPr>
          </w:p>
        </w:tc>
        <w:tc>
          <w:tcPr>
            <w:tcW w:w="1550" w:type="dxa"/>
          </w:tcPr>
          <w:p w14:paraId="72411634"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Overall Burnout score/</w:t>
            </w:r>
            <w:r w:rsidRPr="001833E1">
              <w:rPr>
                <w:rFonts w:ascii="Times New Roman" w:hAnsi="Times New Roman" w:cs="Times New Roman"/>
                <w:sz w:val="18"/>
                <w:szCs w:val="18"/>
              </w:rPr>
              <w:t xml:space="preserve"> </w:t>
            </w:r>
            <w:r w:rsidRPr="001833E1">
              <w:rPr>
                <w:rFonts w:ascii="Times New Roman" w:hAnsi="Times New Roman" w:cs="Times New Roman"/>
                <w:color w:val="000000"/>
                <w:sz w:val="18"/>
                <w:szCs w:val="18"/>
              </w:rPr>
              <w:t>Stanford Professional Fulfillment Index (PFI) is calculated by combining the scores from two subscales: Work Exhaustion (WE) and Interpersonal Disengagement (ID).</w:t>
            </w:r>
          </w:p>
        </w:tc>
        <w:tc>
          <w:tcPr>
            <w:tcW w:w="2688" w:type="dxa"/>
          </w:tcPr>
          <w:p w14:paraId="45FDC1FA"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Work Exhaustion Subscale (WE): This subscale includes items 7-10 of the PFI, which are measured on a 5-point Likert scale.</w:t>
            </w:r>
          </w:p>
          <w:p w14:paraId="330772C1"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Interpersonal Disengagement Subscale (ID): This subscale includes items 11-16 of the PFI, also measured on a 5-point Likert scale.</w:t>
            </w:r>
          </w:p>
          <w:p w14:paraId="3FCA3546"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sz w:val="18"/>
                <w:szCs w:val="18"/>
              </w:rPr>
              <w:t>The mean scores from these two subscales are averaged and then multiplied by 2.5 to produce the overall burnout score. This overall score ranges from 0 to 10 points, with higher scores indicating higher levels of burnout​</w:t>
            </w:r>
          </w:p>
        </w:tc>
        <w:tc>
          <w:tcPr>
            <w:tcW w:w="2693" w:type="dxa"/>
          </w:tcPr>
          <w:p w14:paraId="518EB5B0"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Randomized to intervention:</w:t>
            </w:r>
          </w:p>
          <w:p w14:paraId="6ADD09C3"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Overall burnout:</w:t>
            </w:r>
          </w:p>
          <w:p w14:paraId="3CCC5C1A"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3.37 (1.52)</w:t>
            </w:r>
          </w:p>
          <w:p w14:paraId="06F61868"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Received coaching intervention:</w:t>
            </w:r>
          </w:p>
          <w:p w14:paraId="2A1301C8"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Overall burnout:</w:t>
            </w:r>
          </w:p>
          <w:p w14:paraId="363831BE"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3.28 (1.58)</w:t>
            </w:r>
          </w:p>
          <w:p w14:paraId="24D928EE" w14:textId="77777777" w:rsidR="00A73353" w:rsidRPr="001833E1" w:rsidRDefault="00A73353" w:rsidP="007D29A5">
            <w:pPr>
              <w:jc w:val="center"/>
              <w:rPr>
                <w:rFonts w:ascii="Times New Roman" w:hAnsi="Times New Roman" w:cs="Times New Roman"/>
                <w:b/>
                <w:bCs/>
                <w:color w:val="000000"/>
                <w:sz w:val="18"/>
                <w:szCs w:val="18"/>
              </w:rPr>
            </w:pPr>
          </w:p>
          <w:p w14:paraId="3A04034F" w14:textId="77777777" w:rsidR="00A73353" w:rsidRPr="001833E1" w:rsidRDefault="00A73353" w:rsidP="007D29A5">
            <w:pPr>
              <w:jc w:val="center"/>
              <w:rPr>
                <w:rFonts w:ascii="Times New Roman" w:hAnsi="Times New Roman" w:cs="Times New Roman"/>
                <w:b/>
                <w:bCs/>
                <w:sz w:val="18"/>
                <w:szCs w:val="18"/>
              </w:rPr>
            </w:pPr>
          </w:p>
        </w:tc>
        <w:tc>
          <w:tcPr>
            <w:tcW w:w="1984" w:type="dxa"/>
          </w:tcPr>
          <w:p w14:paraId="46FFC72A" w14:textId="77777777" w:rsidR="00A73353" w:rsidRPr="001833E1" w:rsidRDefault="00A73353" w:rsidP="007D29A5">
            <w:pPr>
              <w:jc w:val="center"/>
              <w:rPr>
                <w:rFonts w:ascii="Times New Roman" w:hAnsi="Times New Roman" w:cs="Times New Roman"/>
                <w:b/>
                <w:bCs/>
                <w:color w:val="000000"/>
                <w:sz w:val="18"/>
                <w:szCs w:val="18"/>
              </w:rPr>
            </w:pPr>
            <w:r w:rsidRPr="001833E1">
              <w:rPr>
                <w:rFonts w:ascii="Times New Roman" w:hAnsi="Times New Roman" w:cs="Times New Roman"/>
                <w:b/>
                <w:bCs/>
                <w:color w:val="000000"/>
                <w:sz w:val="18"/>
                <w:szCs w:val="18"/>
              </w:rPr>
              <w:t>Received coaching intervention:</w:t>
            </w:r>
          </w:p>
          <w:p w14:paraId="5D886B73"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Overall burnout:</w:t>
            </w:r>
          </w:p>
          <w:p w14:paraId="558F08C5" w14:textId="77777777" w:rsidR="00A73353" w:rsidRPr="001833E1" w:rsidRDefault="00A73353"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−0.71 (−1.06 to −0.35)</w:t>
            </w:r>
          </w:p>
          <w:p w14:paraId="6B506048" w14:textId="77777777" w:rsidR="00A73353" w:rsidRPr="001833E1" w:rsidRDefault="00A73353" w:rsidP="007D29A5">
            <w:pPr>
              <w:jc w:val="center"/>
              <w:rPr>
                <w:rFonts w:ascii="Times New Roman" w:hAnsi="Times New Roman" w:cs="Times New Roman"/>
                <w:b/>
                <w:bCs/>
                <w:sz w:val="18"/>
                <w:szCs w:val="18"/>
              </w:rPr>
            </w:pPr>
          </w:p>
        </w:tc>
        <w:tc>
          <w:tcPr>
            <w:tcW w:w="1701" w:type="dxa"/>
          </w:tcPr>
          <w:p w14:paraId="2E7DB962"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Overall burnout:</w:t>
            </w:r>
          </w:p>
          <w:p w14:paraId="283DA3B1"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sz w:val="18"/>
                <w:szCs w:val="18"/>
              </w:rPr>
              <w:t>3.50 (1.83)</w:t>
            </w:r>
          </w:p>
        </w:tc>
        <w:tc>
          <w:tcPr>
            <w:tcW w:w="1985" w:type="dxa"/>
          </w:tcPr>
          <w:p w14:paraId="5FBD94E4"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Overall burnout:</w:t>
            </w:r>
          </w:p>
          <w:p w14:paraId="0705D5A2"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sz w:val="18"/>
                <w:szCs w:val="18"/>
              </w:rPr>
              <w:t>0.09 (−0.22 to 0.40)</w:t>
            </w:r>
          </w:p>
        </w:tc>
        <w:tc>
          <w:tcPr>
            <w:tcW w:w="2273" w:type="dxa"/>
          </w:tcPr>
          <w:p w14:paraId="05E1636C"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Overall burnout:</w:t>
            </w:r>
          </w:p>
          <w:p w14:paraId="32AFE939" w14:textId="77777777" w:rsidR="00A73353" w:rsidRPr="001833E1" w:rsidRDefault="00A73353" w:rsidP="007D29A5">
            <w:pPr>
              <w:jc w:val="center"/>
              <w:rPr>
                <w:rFonts w:ascii="Times New Roman" w:hAnsi="Times New Roman" w:cs="Times New Roman"/>
                <w:sz w:val="18"/>
                <w:szCs w:val="18"/>
              </w:rPr>
            </w:pPr>
            <w:r w:rsidRPr="001833E1">
              <w:rPr>
                <w:rFonts w:ascii="Times New Roman" w:hAnsi="Times New Roman" w:cs="Times New Roman"/>
                <w:sz w:val="18"/>
                <w:szCs w:val="18"/>
              </w:rPr>
              <w:t>−0.79 (−1.27 to −0.32)</w:t>
            </w:r>
          </w:p>
          <w:p w14:paraId="2192F205" w14:textId="77777777" w:rsidR="00A73353" w:rsidRPr="001833E1" w:rsidRDefault="00A73353" w:rsidP="007D29A5">
            <w:pPr>
              <w:jc w:val="center"/>
              <w:rPr>
                <w:rFonts w:ascii="Times New Roman" w:hAnsi="Times New Roman" w:cs="Times New Roman"/>
                <w:b/>
                <w:bCs/>
                <w:sz w:val="18"/>
                <w:szCs w:val="18"/>
              </w:rPr>
            </w:pPr>
            <w:r w:rsidRPr="001833E1">
              <w:rPr>
                <w:rFonts w:ascii="Times New Roman" w:hAnsi="Times New Roman" w:cs="Times New Roman"/>
                <w:color w:val="000000"/>
                <w:sz w:val="18"/>
                <w:szCs w:val="18"/>
              </w:rPr>
              <w:t>P-value=0.001</w:t>
            </w:r>
          </w:p>
        </w:tc>
      </w:tr>
    </w:tbl>
    <w:p w14:paraId="1999170A" w14:textId="77777777" w:rsidR="008A7E96" w:rsidRDefault="008A7E96" w:rsidP="5BDCD893">
      <w:pPr>
        <w:spacing w:after="0" w:line="240" w:lineRule="auto"/>
        <w:rPr>
          <w:rFonts w:ascii="Times New Roman" w:hAnsi="Times New Roman" w:cs="Times New Roman"/>
          <w:b/>
          <w:bCs/>
          <w:sz w:val="22"/>
          <w:szCs w:val="22"/>
        </w:rPr>
      </w:pPr>
    </w:p>
    <w:p w14:paraId="55F35792" w14:textId="77777777" w:rsidR="008A7E96" w:rsidRDefault="008A7E96" w:rsidP="5BDCD893">
      <w:pPr>
        <w:spacing w:after="0" w:line="240" w:lineRule="auto"/>
        <w:rPr>
          <w:rFonts w:ascii="Times New Roman" w:hAnsi="Times New Roman" w:cs="Times New Roman"/>
          <w:b/>
          <w:bCs/>
          <w:sz w:val="22"/>
          <w:szCs w:val="22"/>
        </w:rPr>
      </w:pPr>
    </w:p>
    <w:p w14:paraId="5DB79102" w14:textId="2115A1F7" w:rsidR="00DF2D81" w:rsidRPr="00DF2D81" w:rsidRDefault="00DF2D81" w:rsidP="5BDCD893">
      <w:pPr>
        <w:spacing w:after="0" w:line="240" w:lineRule="auto"/>
        <w:rPr>
          <w:rFonts w:ascii="Times New Roman" w:hAnsi="Times New Roman" w:cs="Times New Roman"/>
          <w:sz w:val="22"/>
          <w:szCs w:val="22"/>
        </w:rPr>
      </w:pPr>
      <w:r w:rsidRPr="5BDCD893">
        <w:rPr>
          <w:rFonts w:ascii="Times New Roman" w:hAnsi="Times New Roman" w:cs="Times New Roman"/>
          <w:b/>
          <w:bCs/>
          <w:sz w:val="22"/>
          <w:szCs w:val="22"/>
        </w:rPr>
        <w:lastRenderedPageBreak/>
        <w:t>Table C3 (Cont.)</w:t>
      </w:r>
      <w:r w:rsidRPr="5BDCD893">
        <w:rPr>
          <w:rFonts w:ascii="Times New Roman" w:hAnsi="Times New Roman" w:cs="Times New Roman"/>
          <w:sz w:val="22"/>
          <w:szCs w:val="22"/>
        </w:rPr>
        <w:t xml:space="preserve"> Detailed Results of the effectiveness of health promotion interventions</w:t>
      </w:r>
    </w:p>
    <w:tbl>
      <w:tblPr>
        <w:tblStyle w:val="TableGrid"/>
        <w:tblW w:w="16177" w:type="dxa"/>
        <w:jc w:val="center"/>
        <w:tblLayout w:type="fixed"/>
        <w:tblLook w:val="04A0" w:firstRow="1" w:lastRow="0" w:firstColumn="1" w:lastColumn="0" w:noHBand="0" w:noVBand="1"/>
      </w:tblPr>
      <w:tblGrid>
        <w:gridCol w:w="1135"/>
        <w:gridCol w:w="2971"/>
        <w:gridCol w:w="1843"/>
        <w:gridCol w:w="1843"/>
        <w:gridCol w:w="1559"/>
        <w:gridCol w:w="1559"/>
        <w:gridCol w:w="1439"/>
        <w:gridCol w:w="3828"/>
      </w:tblGrid>
      <w:tr w:rsidR="00DF2D81" w14:paraId="16301CDD" w14:textId="77777777" w:rsidTr="00DF2D81">
        <w:trPr>
          <w:jc w:val="center"/>
        </w:trPr>
        <w:tc>
          <w:tcPr>
            <w:tcW w:w="1135" w:type="dxa"/>
          </w:tcPr>
          <w:p w14:paraId="357904F1"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Study/</w:t>
            </w:r>
          </w:p>
          <w:p w14:paraId="16F600D9" w14:textId="4967FD9B"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Sector</w:t>
            </w:r>
          </w:p>
        </w:tc>
        <w:tc>
          <w:tcPr>
            <w:tcW w:w="2971" w:type="dxa"/>
          </w:tcPr>
          <w:p w14:paraId="768B4E09"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Outcome/</w:t>
            </w:r>
          </w:p>
          <w:p w14:paraId="593D9ADE"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Measurement</w:t>
            </w:r>
          </w:p>
        </w:tc>
        <w:tc>
          <w:tcPr>
            <w:tcW w:w="1843" w:type="dxa"/>
          </w:tcPr>
          <w:p w14:paraId="2B6B0A32"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Scale/</w:t>
            </w:r>
          </w:p>
          <w:p w14:paraId="4472E7F2"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Range</w:t>
            </w:r>
          </w:p>
        </w:tc>
        <w:tc>
          <w:tcPr>
            <w:tcW w:w="1843" w:type="dxa"/>
          </w:tcPr>
          <w:p w14:paraId="07390935"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Pre-intervention Intervention Group</w:t>
            </w:r>
          </w:p>
        </w:tc>
        <w:tc>
          <w:tcPr>
            <w:tcW w:w="1559" w:type="dxa"/>
          </w:tcPr>
          <w:p w14:paraId="3222E503"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 xml:space="preserve">Post-intervention Intervention Group </w:t>
            </w:r>
          </w:p>
        </w:tc>
        <w:tc>
          <w:tcPr>
            <w:tcW w:w="1559" w:type="dxa"/>
          </w:tcPr>
          <w:p w14:paraId="7FB864C0"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 xml:space="preserve">Pre-intervention Control Group </w:t>
            </w:r>
          </w:p>
        </w:tc>
        <w:tc>
          <w:tcPr>
            <w:tcW w:w="1439" w:type="dxa"/>
          </w:tcPr>
          <w:p w14:paraId="5FFE1096"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 xml:space="preserve">Post-intervention Control Group </w:t>
            </w:r>
          </w:p>
        </w:tc>
        <w:tc>
          <w:tcPr>
            <w:tcW w:w="3828" w:type="dxa"/>
          </w:tcPr>
          <w:p w14:paraId="30CF27A1" w14:textId="77777777" w:rsidR="00DF2D81" w:rsidRPr="001833E1" w:rsidRDefault="00DF2D81" w:rsidP="007D29A5">
            <w:pPr>
              <w:jc w:val="center"/>
              <w:rPr>
                <w:rFonts w:ascii="Times New Roman" w:hAnsi="Times New Roman" w:cs="Times New Roman"/>
                <w:b/>
                <w:bCs/>
                <w:sz w:val="18"/>
                <w:szCs w:val="18"/>
              </w:rPr>
            </w:pPr>
            <w:r w:rsidRPr="001833E1">
              <w:rPr>
                <w:rFonts w:ascii="Times New Roman" w:hAnsi="Times New Roman" w:cs="Times New Roman"/>
                <w:b/>
                <w:bCs/>
                <w:sz w:val="18"/>
                <w:szCs w:val="18"/>
              </w:rPr>
              <w:t>Measure of effect (95%)</w:t>
            </w:r>
          </w:p>
        </w:tc>
      </w:tr>
      <w:tr w:rsidR="00DF2D81" w14:paraId="18CFC331" w14:textId="77777777" w:rsidTr="00DF2D81">
        <w:trPr>
          <w:jc w:val="center"/>
        </w:trPr>
        <w:tc>
          <w:tcPr>
            <w:tcW w:w="1135" w:type="dxa"/>
            <w:vMerge w:val="restart"/>
          </w:tcPr>
          <w:p w14:paraId="4981CDA3" w14:textId="77777777" w:rsidR="00DF2D81" w:rsidRPr="001833E1" w:rsidRDefault="00DF2D81" w:rsidP="007D29A5">
            <w:pPr>
              <w:jc w:val="center"/>
              <w:rPr>
                <w:rFonts w:ascii="Times New Roman" w:hAnsi="Times New Roman" w:cs="Times New Roman"/>
                <w:sz w:val="18"/>
                <w:szCs w:val="18"/>
              </w:rPr>
            </w:pPr>
          </w:p>
          <w:p w14:paraId="13BAC23B" w14:textId="77777777" w:rsidR="00DF2D81" w:rsidRPr="001833E1" w:rsidRDefault="00DF2D81" w:rsidP="007D29A5">
            <w:pPr>
              <w:jc w:val="center"/>
              <w:rPr>
                <w:rFonts w:ascii="Times New Roman" w:hAnsi="Times New Roman" w:cs="Times New Roman"/>
                <w:sz w:val="18"/>
                <w:szCs w:val="18"/>
              </w:rPr>
            </w:pPr>
          </w:p>
          <w:p w14:paraId="7EBA0701" w14:textId="77777777" w:rsidR="00DF2D81" w:rsidRPr="001833E1" w:rsidRDefault="00DF2D81" w:rsidP="007D29A5">
            <w:pPr>
              <w:jc w:val="center"/>
              <w:rPr>
                <w:rFonts w:ascii="Times New Roman" w:hAnsi="Times New Roman" w:cs="Times New Roman"/>
                <w:sz w:val="18"/>
                <w:szCs w:val="18"/>
              </w:rPr>
            </w:pPr>
          </w:p>
          <w:p w14:paraId="41ABACB2" w14:textId="77777777" w:rsidR="00DF2D81" w:rsidRPr="001833E1" w:rsidRDefault="00DF2D81" w:rsidP="007D29A5">
            <w:pPr>
              <w:jc w:val="center"/>
              <w:rPr>
                <w:rFonts w:ascii="Times New Roman" w:hAnsi="Times New Roman" w:cs="Times New Roman"/>
                <w:sz w:val="18"/>
                <w:szCs w:val="18"/>
              </w:rPr>
            </w:pPr>
          </w:p>
          <w:p w14:paraId="720D01E7" w14:textId="77777777" w:rsidR="00DF2D81" w:rsidRPr="001833E1" w:rsidRDefault="00DF2D81" w:rsidP="007D29A5">
            <w:pPr>
              <w:jc w:val="center"/>
              <w:rPr>
                <w:rFonts w:ascii="Times New Roman" w:hAnsi="Times New Roman" w:cs="Times New Roman"/>
                <w:sz w:val="18"/>
                <w:szCs w:val="18"/>
              </w:rPr>
            </w:pPr>
          </w:p>
          <w:p w14:paraId="780EE191" w14:textId="77777777" w:rsidR="00DF2D81" w:rsidRPr="001833E1" w:rsidRDefault="00DF2D81" w:rsidP="007D29A5">
            <w:pPr>
              <w:jc w:val="center"/>
              <w:rPr>
                <w:rFonts w:ascii="Times New Roman" w:hAnsi="Times New Roman" w:cs="Times New Roman"/>
                <w:sz w:val="18"/>
                <w:szCs w:val="18"/>
              </w:rPr>
            </w:pPr>
          </w:p>
          <w:p w14:paraId="6DF0722E" w14:textId="77777777" w:rsidR="00DF2D81" w:rsidRPr="001833E1" w:rsidRDefault="00DF2D81" w:rsidP="007D29A5">
            <w:pPr>
              <w:jc w:val="center"/>
              <w:rPr>
                <w:rFonts w:ascii="Times New Roman" w:hAnsi="Times New Roman" w:cs="Times New Roman"/>
                <w:sz w:val="18"/>
                <w:szCs w:val="18"/>
              </w:rPr>
            </w:pPr>
          </w:p>
          <w:p w14:paraId="3C594E50" w14:textId="77777777" w:rsidR="00DF2D81" w:rsidRPr="001833E1" w:rsidRDefault="00DF2D81" w:rsidP="007D29A5">
            <w:pPr>
              <w:jc w:val="center"/>
              <w:rPr>
                <w:rFonts w:ascii="Times New Roman" w:hAnsi="Times New Roman" w:cs="Times New Roman"/>
                <w:sz w:val="18"/>
                <w:szCs w:val="18"/>
              </w:rPr>
            </w:pPr>
          </w:p>
          <w:p w14:paraId="491E39CA" w14:textId="77777777" w:rsidR="00DF2D81" w:rsidRPr="001833E1" w:rsidRDefault="00DF2D81" w:rsidP="007D29A5">
            <w:pPr>
              <w:jc w:val="center"/>
              <w:rPr>
                <w:rFonts w:ascii="Times New Roman" w:hAnsi="Times New Roman" w:cs="Times New Roman"/>
                <w:sz w:val="18"/>
                <w:szCs w:val="18"/>
              </w:rPr>
            </w:pPr>
          </w:p>
          <w:p w14:paraId="279BD559" w14:textId="77777777" w:rsidR="00DF2D81" w:rsidRPr="001833E1" w:rsidRDefault="00DF2D81" w:rsidP="007D29A5">
            <w:pPr>
              <w:jc w:val="center"/>
              <w:rPr>
                <w:rFonts w:ascii="Times New Roman" w:hAnsi="Times New Roman" w:cs="Times New Roman"/>
                <w:sz w:val="18"/>
                <w:szCs w:val="18"/>
              </w:rPr>
            </w:pPr>
          </w:p>
          <w:p w14:paraId="20547E71" w14:textId="77777777" w:rsidR="00DF2D81" w:rsidRPr="001833E1" w:rsidRDefault="00DF2D81" w:rsidP="007D29A5">
            <w:pPr>
              <w:jc w:val="center"/>
              <w:rPr>
                <w:rFonts w:ascii="Times New Roman" w:hAnsi="Times New Roman" w:cs="Times New Roman"/>
                <w:sz w:val="18"/>
                <w:szCs w:val="18"/>
              </w:rPr>
            </w:pPr>
          </w:p>
          <w:p w14:paraId="648376FC" w14:textId="77777777" w:rsidR="00DF2D81" w:rsidRPr="001833E1" w:rsidRDefault="00DF2D81" w:rsidP="007D29A5">
            <w:pPr>
              <w:jc w:val="center"/>
              <w:rPr>
                <w:rFonts w:ascii="Times New Roman" w:hAnsi="Times New Roman" w:cs="Times New Roman"/>
                <w:sz w:val="18"/>
                <w:szCs w:val="18"/>
              </w:rPr>
            </w:pPr>
          </w:p>
          <w:p w14:paraId="22789BC2" w14:textId="77777777" w:rsidR="00DF2D81" w:rsidRPr="001833E1" w:rsidRDefault="00DF2D81" w:rsidP="007D29A5">
            <w:pPr>
              <w:jc w:val="center"/>
              <w:rPr>
                <w:rFonts w:ascii="Times New Roman" w:hAnsi="Times New Roman" w:cs="Times New Roman"/>
                <w:sz w:val="18"/>
                <w:szCs w:val="18"/>
              </w:rPr>
            </w:pPr>
          </w:p>
          <w:p w14:paraId="07FC1EC6" w14:textId="77777777" w:rsidR="00DF2D81" w:rsidRPr="001833E1" w:rsidRDefault="00DF2D81" w:rsidP="007D29A5">
            <w:pPr>
              <w:jc w:val="center"/>
              <w:rPr>
                <w:rFonts w:ascii="Times New Roman" w:hAnsi="Times New Roman" w:cs="Times New Roman"/>
                <w:sz w:val="18"/>
                <w:szCs w:val="18"/>
              </w:rPr>
            </w:pPr>
          </w:p>
          <w:p w14:paraId="6E35355E" w14:textId="77777777" w:rsidR="00DF2D81" w:rsidRPr="001833E1" w:rsidRDefault="00DF2D81" w:rsidP="007D29A5">
            <w:pPr>
              <w:jc w:val="center"/>
              <w:rPr>
                <w:rFonts w:ascii="Times New Roman" w:hAnsi="Times New Roman" w:cs="Times New Roman"/>
                <w:sz w:val="18"/>
                <w:szCs w:val="18"/>
              </w:rPr>
            </w:pPr>
          </w:p>
          <w:p w14:paraId="0A4D5422" w14:textId="77777777" w:rsidR="00DF2D81" w:rsidRPr="001833E1" w:rsidRDefault="00DF2D81" w:rsidP="007D29A5">
            <w:pPr>
              <w:jc w:val="center"/>
              <w:rPr>
                <w:rFonts w:ascii="Times New Roman" w:hAnsi="Times New Roman" w:cs="Times New Roman"/>
                <w:sz w:val="18"/>
                <w:szCs w:val="18"/>
              </w:rPr>
            </w:pPr>
          </w:p>
          <w:p w14:paraId="53A14EED"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Micek (2022)/ Healthcare </w:t>
            </w:r>
          </w:p>
        </w:tc>
        <w:tc>
          <w:tcPr>
            <w:tcW w:w="2971" w:type="dxa"/>
          </w:tcPr>
          <w:p w14:paraId="6E5DCB3D"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Burnout/Mini-Z: Burnout (Single-item, dichotomized)/Likert variable</w:t>
            </w:r>
          </w:p>
        </w:tc>
        <w:tc>
          <w:tcPr>
            <w:tcW w:w="1843" w:type="dxa"/>
          </w:tcPr>
          <w:p w14:paraId="1F4AC7A4"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1-5</w:t>
            </w:r>
          </w:p>
          <w:p w14:paraId="12D9A863"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1-2 (not burned out) 3-5 (burned out</w:t>
            </w:r>
          </w:p>
        </w:tc>
        <w:tc>
          <w:tcPr>
            <w:tcW w:w="1843" w:type="dxa"/>
          </w:tcPr>
          <w:p w14:paraId="431D8E38"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n (%)</w:t>
            </w:r>
          </w:p>
          <w:p w14:paraId="5FE5D348"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26 (70.3%) </w:t>
            </w:r>
          </w:p>
        </w:tc>
        <w:tc>
          <w:tcPr>
            <w:tcW w:w="1559" w:type="dxa"/>
          </w:tcPr>
          <w:p w14:paraId="0EE7624D"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OR (95% CI)</w:t>
            </w:r>
          </w:p>
          <w:p w14:paraId="5DB2E216"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OR =0.3  (0.05, 1.17)</w:t>
            </w:r>
          </w:p>
        </w:tc>
        <w:tc>
          <w:tcPr>
            <w:tcW w:w="1559" w:type="dxa"/>
          </w:tcPr>
          <w:p w14:paraId="32985616"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n (%)</w:t>
            </w:r>
          </w:p>
          <w:p w14:paraId="192B59A5"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34 (50.0%)</w:t>
            </w:r>
          </w:p>
        </w:tc>
        <w:tc>
          <w:tcPr>
            <w:tcW w:w="1439" w:type="dxa"/>
          </w:tcPr>
          <w:p w14:paraId="2F1AC5A4"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OR (95% CI)</w:t>
            </w:r>
          </w:p>
          <w:p w14:paraId="311CEEFC"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OR =0.15 (0.03, 0.71)</w:t>
            </w:r>
          </w:p>
        </w:tc>
        <w:tc>
          <w:tcPr>
            <w:tcW w:w="3828" w:type="dxa"/>
          </w:tcPr>
          <w:p w14:paraId="3E08FB2F"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Unadjusted OR (95% CI) OR =0.15 (0.03, 0.71)</w:t>
            </w:r>
          </w:p>
          <w:p w14:paraId="79991868"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p-value=0.02, p-value(Benjamini-Hochberg)= 0.048</w:t>
            </w:r>
          </w:p>
          <w:p w14:paraId="014A41ED"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Adjusted OR (95% CI) OR = 0.15 (0.03, 0.70) p-value=0.02, p-value(Benjamini-Hochberg)= 0.02</w:t>
            </w:r>
          </w:p>
        </w:tc>
      </w:tr>
      <w:tr w:rsidR="00DF2D81" w14:paraId="082C7E84" w14:textId="77777777" w:rsidTr="00DF2D81">
        <w:trPr>
          <w:jc w:val="center"/>
        </w:trPr>
        <w:tc>
          <w:tcPr>
            <w:tcW w:w="1135" w:type="dxa"/>
            <w:vMerge/>
          </w:tcPr>
          <w:p w14:paraId="757FFB13" w14:textId="77777777" w:rsidR="00DF2D81" w:rsidRPr="001833E1" w:rsidRDefault="00DF2D81" w:rsidP="007D29A5">
            <w:pPr>
              <w:jc w:val="center"/>
              <w:rPr>
                <w:rFonts w:ascii="Times New Roman" w:hAnsi="Times New Roman" w:cs="Times New Roman"/>
                <w:sz w:val="18"/>
                <w:szCs w:val="18"/>
              </w:rPr>
            </w:pPr>
          </w:p>
        </w:tc>
        <w:tc>
          <w:tcPr>
            <w:tcW w:w="2971" w:type="dxa"/>
          </w:tcPr>
          <w:p w14:paraId="49D01029"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Mini-Z: Joyful Workplace/ Likert variable-sum of scores.</w:t>
            </w:r>
          </w:p>
          <w:p w14:paraId="4E08C7B1"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Higher scores indicate a more joyful workplace</w:t>
            </w:r>
          </w:p>
        </w:tc>
        <w:tc>
          <w:tcPr>
            <w:tcW w:w="1843" w:type="dxa"/>
          </w:tcPr>
          <w:p w14:paraId="41E1A020"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1-5</w:t>
            </w:r>
          </w:p>
          <w:p w14:paraId="07C8C8C4" w14:textId="77777777" w:rsidR="00DF2D81" w:rsidRPr="001833E1" w:rsidRDefault="00DF2D81" w:rsidP="007D29A5">
            <w:pPr>
              <w:jc w:val="center"/>
              <w:rPr>
                <w:rFonts w:ascii="Times New Roman" w:hAnsi="Times New Roman" w:cs="Times New Roman"/>
                <w:sz w:val="18"/>
                <w:szCs w:val="18"/>
              </w:rPr>
            </w:pPr>
          </w:p>
        </w:tc>
        <w:tc>
          <w:tcPr>
            <w:tcW w:w="1843" w:type="dxa"/>
          </w:tcPr>
          <w:p w14:paraId="3CCAB236"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4723A57F"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27.11 (4.74) </w:t>
            </w:r>
          </w:p>
        </w:tc>
        <w:tc>
          <w:tcPr>
            <w:tcW w:w="1559" w:type="dxa"/>
          </w:tcPr>
          <w:p w14:paraId="3D90D7D9"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78B56A15"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2.89 (6.04) </w:t>
            </w:r>
          </w:p>
        </w:tc>
        <w:tc>
          <w:tcPr>
            <w:tcW w:w="1559" w:type="dxa"/>
          </w:tcPr>
          <w:p w14:paraId="62B3A80E"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214307D1"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28.24 (7.09)</w:t>
            </w:r>
          </w:p>
        </w:tc>
        <w:tc>
          <w:tcPr>
            <w:tcW w:w="1439" w:type="dxa"/>
          </w:tcPr>
          <w:p w14:paraId="238F9187"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55CEAF26"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0.06 (3.89)</w:t>
            </w:r>
          </w:p>
        </w:tc>
        <w:tc>
          <w:tcPr>
            <w:tcW w:w="3828" w:type="dxa"/>
          </w:tcPr>
          <w:p w14:paraId="75222D1A"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Unadjusted-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2.83 (0.60, 5.06)</w:t>
            </w:r>
          </w:p>
          <w:p w14:paraId="3B2938A7"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p-value=0.01, p-value(Benjamini-Hochberg)= 0.048</w:t>
            </w:r>
          </w:p>
          <w:p w14:paraId="376F4266"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β = 3.05 (0.96, 5.13) </w:t>
            </w:r>
          </w:p>
          <w:p w14:paraId="425313D4"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p-value=0.005, p-value(Benjamini-Hochberg)= 0.02</w:t>
            </w:r>
          </w:p>
        </w:tc>
      </w:tr>
      <w:tr w:rsidR="00DF2D81" w14:paraId="187BA431" w14:textId="77777777" w:rsidTr="00DF2D81">
        <w:trPr>
          <w:jc w:val="center"/>
        </w:trPr>
        <w:tc>
          <w:tcPr>
            <w:tcW w:w="1135" w:type="dxa"/>
            <w:vMerge/>
          </w:tcPr>
          <w:p w14:paraId="2DFE40E8" w14:textId="77777777" w:rsidR="00DF2D81" w:rsidRPr="001833E1" w:rsidRDefault="00DF2D81" w:rsidP="007D29A5">
            <w:pPr>
              <w:jc w:val="center"/>
              <w:rPr>
                <w:rFonts w:ascii="Times New Roman" w:hAnsi="Times New Roman" w:cs="Times New Roman"/>
                <w:sz w:val="18"/>
                <w:szCs w:val="18"/>
              </w:rPr>
            </w:pPr>
          </w:p>
        </w:tc>
        <w:tc>
          <w:tcPr>
            <w:tcW w:w="2971" w:type="dxa"/>
          </w:tcPr>
          <w:p w14:paraId="0E0CCB8B"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Mini-Z: Supportive Work</w:t>
            </w:r>
          </w:p>
          <w:p w14:paraId="1BE93D02"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Environment Subscale/ Likert variable-sum of scores</w:t>
            </w:r>
          </w:p>
          <w:p w14:paraId="5DD64154"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sz w:val="18"/>
                <w:szCs w:val="18"/>
              </w:rPr>
              <w:t xml:space="preserve">Higher scores indicate a more </w:t>
            </w:r>
            <w:r w:rsidRPr="001833E1">
              <w:rPr>
                <w:rFonts w:ascii="Times New Roman" w:hAnsi="Times New Roman" w:cs="Times New Roman"/>
                <w:color w:val="000000"/>
                <w:sz w:val="18"/>
                <w:szCs w:val="18"/>
              </w:rPr>
              <w:t xml:space="preserve">supportive </w:t>
            </w:r>
            <w:r w:rsidRPr="001833E1">
              <w:rPr>
                <w:rFonts w:ascii="Times New Roman" w:hAnsi="Times New Roman" w:cs="Times New Roman"/>
                <w:sz w:val="18"/>
                <w:szCs w:val="18"/>
              </w:rPr>
              <w:t>workplace</w:t>
            </w:r>
          </w:p>
        </w:tc>
        <w:tc>
          <w:tcPr>
            <w:tcW w:w="1843" w:type="dxa"/>
          </w:tcPr>
          <w:p w14:paraId="7F9517EA"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1-5</w:t>
            </w:r>
          </w:p>
          <w:p w14:paraId="15C37B80" w14:textId="77777777" w:rsidR="00DF2D81" w:rsidRPr="001833E1" w:rsidRDefault="00DF2D81" w:rsidP="007D29A5">
            <w:pPr>
              <w:jc w:val="center"/>
              <w:rPr>
                <w:rFonts w:ascii="Times New Roman" w:hAnsi="Times New Roman" w:cs="Times New Roman"/>
                <w:sz w:val="18"/>
                <w:szCs w:val="18"/>
              </w:rPr>
            </w:pPr>
          </w:p>
        </w:tc>
        <w:tc>
          <w:tcPr>
            <w:tcW w:w="1843" w:type="dxa"/>
          </w:tcPr>
          <w:p w14:paraId="07658AFC"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5D91A2D6"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15.73 (2.89) </w:t>
            </w:r>
          </w:p>
        </w:tc>
        <w:tc>
          <w:tcPr>
            <w:tcW w:w="1559" w:type="dxa"/>
          </w:tcPr>
          <w:p w14:paraId="3720DBE9"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02A15044"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0.81 (3.32)  </w:t>
            </w:r>
          </w:p>
        </w:tc>
        <w:tc>
          <w:tcPr>
            <w:tcW w:w="1559" w:type="dxa"/>
          </w:tcPr>
          <w:p w14:paraId="0190F349"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30D1DBF0"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16.28 (3.82)</w:t>
            </w:r>
          </w:p>
        </w:tc>
        <w:tc>
          <w:tcPr>
            <w:tcW w:w="1439" w:type="dxa"/>
          </w:tcPr>
          <w:p w14:paraId="7DEF5B4C"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628E6CDA"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lang w:val="el-GR"/>
              </w:rPr>
              <w:t>-</w:t>
            </w:r>
            <w:r w:rsidRPr="001833E1">
              <w:rPr>
                <w:rFonts w:ascii="Times New Roman" w:hAnsi="Times New Roman" w:cs="Times New Roman"/>
                <w:sz w:val="18"/>
                <w:szCs w:val="18"/>
              </w:rPr>
              <w:t>0.62 (2.65)</w:t>
            </w:r>
          </w:p>
        </w:tc>
        <w:tc>
          <w:tcPr>
            <w:tcW w:w="3828" w:type="dxa"/>
          </w:tcPr>
          <w:p w14:paraId="0CF2E18F"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Unadjusted-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1.43 (0.16, 2.70)</w:t>
            </w:r>
          </w:p>
          <w:p w14:paraId="5CC3CFD0"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p-value=0.03, p-value(Benjamini-Hochberg)= 0.048</w:t>
            </w:r>
          </w:p>
          <w:p w14:paraId="5F08467D"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β = 1.55 (0.30, 2.80)</w:t>
            </w:r>
          </w:p>
          <w:p w14:paraId="5B8500C6"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p-value=0.02, p-value(Benjamini-Hochberg)= 0.02</w:t>
            </w:r>
          </w:p>
        </w:tc>
      </w:tr>
      <w:tr w:rsidR="00DF2D81" w14:paraId="20DEBEA7" w14:textId="77777777" w:rsidTr="00DF2D81">
        <w:trPr>
          <w:jc w:val="center"/>
        </w:trPr>
        <w:tc>
          <w:tcPr>
            <w:tcW w:w="1135" w:type="dxa"/>
            <w:vMerge/>
          </w:tcPr>
          <w:p w14:paraId="5A56B3BB" w14:textId="77777777" w:rsidR="00DF2D81" w:rsidRPr="001833E1" w:rsidRDefault="00DF2D81" w:rsidP="007D29A5">
            <w:pPr>
              <w:jc w:val="center"/>
              <w:rPr>
                <w:rFonts w:ascii="Times New Roman" w:hAnsi="Times New Roman" w:cs="Times New Roman"/>
                <w:sz w:val="18"/>
                <w:szCs w:val="18"/>
              </w:rPr>
            </w:pPr>
          </w:p>
        </w:tc>
        <w:tc>
          <w:tcPr>
            <w:tcW w:w="2971" w:type="dxa"/>
          </w:tcPr>
          <w:p w14:paraId="4B39F529"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Work Pace and Stress/Mini-Z: Work Pace and EHR Stress / Likert variable-sum of scores</w:t>
            </w:r>
          </w:p>
          <w:p w14:paraId="097EF2C6"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sz w:val="18"/>
                <w:szCs w:val="18"/>
              </w:rPr>
              <w:t>Higher scores indicate less stress related to work pace and EHR.</w:t>
            </w:r>
          </w:p>
        </w:tc>
        <w:tc>
          <w:tcPr>
            <w:tcW w:w="1843" w:type="dxa"/>
          </w:tcPr>
          <w:p w14:paraId="66345757"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1-5</w:t>
            </w:r>
          </w:p>
          <w:p w14:paraId="01079467" w14:textId="77777777" w:rsidR="00DF2D81" w:rsidRPr="001833E1" w:rsidRDefault="00DF2D81" w:rsidP="007D29A5">
            <w:pPr>
              <w:jc w:val="center"/>
              <w:rPr>
                <w:rFonts w:ascii="Times New Roman" w:hAnsi="Times New Roman" w:cs="Times New Roman"/>
                <w:sz w:val="18"/>
                <w:szCs w:val="18"/>
              </w:rPr>
            </w:pPr>
          </w:p>
        </w:tc>
        <w:tc>
          <w:tcPr>
            <w:tcW w:w="1843" w:type="dxa"/>
          </w:tcPr>
          <w:p w14:paraId="1AD4E732"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74B63058"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11.38 (2.59) </w:t>
            </w:r>
          </w:p>
        </w:tc>
        <w:tc>
          <w:tcPr>
            <w:tcW w:w="1559" w:type="dxa"/>
          </w:tcPr>
          <w:p w14:paraId="0C699ABE"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4A622325"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2.00 (3.21) </w:t>
            </w:r>
          </w:p>
        </w:tc>
        <w:tc>
          <w:tcPr>
            <w:tcW w:w="1559" w:type="dxa"/>
          </w:tcPr>
          <w:p w14:paraId="31EB1E28"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23F0A499"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11.96 (3.78)</w:t>
            </w:r>
          </w:p>
        </w:tc>
        <w:tc>
          <w:tcPr>
            <w:tcW w:w="1439" w:type="dxa"/>
          </w:tcPr>
          <w:p w14:paraId="61E740AB"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7FA8DE12"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0.67 (2.31)</w:t>
            </w:r>
          </w:p>
        </w:tc>
        <w:tc>
          <w:tcPr>
            <w:tcW w:w="3828" w:type="dxa"/>
          </w:tcPr>
          <w:p w14:paraId="0C5C65B5"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Unadjusted-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1.33 (0.12, 2.54)</w:t>
            </w:r>
          </w:p>
          <w:p w14:paraId="4FB68C52"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p-value=0.03, p-value(Benjamini-Hochberg)= 0.048</w:t>
            </w:r>
          </w:p>
          <w:p w14:paraId="29320F24"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β = 1.46 (0.29, 2.62)</w:t>
            </w:r>
          </w:p>
          <w:p w14:paraId="007B9A65"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p-value=0.01, p-value(Benjamini-Hochberg)= 0.02</w:t>
            </w:r>
          </w:p>
        </w:tc>
      </w:tr>
      <w:tr w:rsidR="00DF2D81" w14:paraId="01750592" w14:textId="77777777" w:rsidTr="00DF2D81">
        <w:trPr>
          <w:jc w:val="center"/>
        </w:trPr>
        <w:tc>
          <w:tcPr>
            <w:tcW w:w="1135" w:type="dxa"/>
            <w:vMerge/>
          </w:tcPr>
          <w:p w14:paraId="1C44DBB9" w14:textId="77777777" w:rsidR="00DF2D81" w:rsidRPr="001833E1" w:rsidRDefault="00DF2D81" w:rsidP="007D29A5">
            <w:pPr>
              <w:jc w:val="center"/>
              <w:rPr>
                <w:rFonts w:ascii="Times New Roman" w:hAnsi="Times New Roman" w:cs="Times New Roman"/>
                <w:sz w:val="18"/>
                <w:szCs w:val="18"/>
              </w:rPr>
            </w:pPr>
          </w:p>
        </w:tc>
        <w:tc>
          <w:tcPr>
            <w:tcW w:w="2971" w:type="dxa"/>
          </w:tcPr>
          <w:p w14:paraId="18ADF907"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 xml:space="preserve">Professional Fulfillment/ Professional Fulfillment Index (PFI) /6 items, each answered on a 5-point Likert scale.  </w:t>
            </w:r>
          </w:p>
          <w:p w14:paraId="65372ED6"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Higher scores indicate greater professional fulfillment.</w:t>
            </w:r>
          </w:p>
        </w:tc>
        <w:tc>
          <w:tcPr>
            <w:tcW w:w="1843" w:type="dxa"/>
          </w:tcPr>
          <w:p w14:paraId="110CAD29"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6-30</w:t>
            </w:r>
          </w:p>
        </w:tc>
        <w:tc>
          <w:tcPr>
            <w:tcW w:w="1843" w:type="dxa"/>
          </w:tcPr>
          <w:p w14:paraId="2E5BBEC9"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10B2E40A"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19.57 (3.93) </w:t>
            </w:r>
          </w:p>
        </w:tc>
        <w:tc>
          <w:tcPr>
            <w:tcW w:w="1559" w:type="dxa"/>
          </w:tcPr>
          <w:p w14:paraId="39E2FDE5"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5432FEC0"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0.00 (4.00) </w:t>
            </w:r>
          </w:p>
        </w:tc>
        <w:tc>
          <w:tcPr>
            <w:tcW w:w="1559" w:type="dxa"/>
          </w:tcPr>
          <w:p w14:paraId="4363ED4F"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6B93B634"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20.06 (4.62)</w:t>
            </w:r>
          </w:p>
        </w:tc>
        <w:tc>
          <w:tcPr>
            <w:tcW w:w="1439" w:type="dxa"/>
          </w:tcPr>
          <w:p w14:paraId="1CC1E62C"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55A7F46F"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lang w:val="el-GR"/>
              </w:rPr>
              <w:t>-</w:t>
            </w:r>
            <w:r w:rsidRPr="001833E1">
              <w:rPr>
                <w:rFonts w:ascii="Times New Roman" w:hAnsi="Times New Roman" w:cs="Times New Roman"/>
                <w:sz w:val="18"/>
                <w:szCs w:val="18"/>
              </w:rPr>
              <w:t>0.45 (3.26)</w:t>
            </w:r>
          </w:p>
        </w:tc>
        <w:tc>
          <w:tcPr>
            <w:tcW w:w="3828" w:type="dxa"/>
          </w:tcPr>
          <w:p w14:paraId="275926FC"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Unadjusted-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0.45 (</w:t>
            </w:r>
            <w:r w:rsidRPr="001833E1">
              <w:rPr>
                <w:rFonts w:ascii="Times New Roman" w:eastAsia="Aptos" w:hAnsi="Times New Roman" w:cs="Times New Roman"/>
                <w:sz w:val="18"/>
                <w:szCs w:val="18"/>
              </w:rPr>
              <w:t>-</w:t>
            </w:r>
            <w:r w:rsidRPr="001833E1">
              <w:rPr>
                <w:rFonts w:ascii="Times New Roman" w:hAnsi="Times New Roman" w:cs="Times New Roman"/>
                <w:sz w:val="18"/>
                <w:szCs w:val="18"/>
              </w:rPr>
              <w:t xml:space="preserve"> 1.11, 2.02)</w:t>
            </w:r>
          </w:p>
          <w:p w14:paraId="2239512A"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p-value=0.56, p-value(Benjamini-Hochberg)= 0.68</w:t>
            </w:r>
          </w:p>
          <w:p w14:paraId="0BEB73E7"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β = 0.94 (</w:t>
            </w:r>
            <w:r w:rsidRPr="001833E1">
              <w:rPr>
                <w:rFonts w:ascii="Times New Roman" w:eastAsia="Aptos" w:hAnsi="Times New Roman" w:cs="Times New Roman"/>
                <w:sz w:val="18"/>
                <w:szCs w:val="18"/>
              </w:rPr>
              <w:t>-</w:t>
            </w:r>
            <w:r w:rsidRPr="001833E1">
              <w:rPr>
                <w:rFonts w:ascii="Times New Roman" w:hAnsi="Times New Roman" w:cs="Times New Roman"/>
                <w:sz w:val="18"/>
                <w:szCs w:val="18"/>
              </w:rPr>
              <w:t xml:space="preserve"> 0.61, 2.48)</w:t>
            </w:r>
          </w:p>
          <w:p w14:paraId="62CA2EDF"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p-value=0.23, p-value(Benjamini-Hochberg)= 0.28</w:t>
            </w:r>
          </w:p>
        </w:tc>
      </w:tr>
      <w:tr w:rsidR="00DF2D81" w14:paraId="79004256" w14:textId="77777777" w:rsidTr="00DF2D81">
        <w:trPr>
          <w:jc w:val="center"/>
        </w:trPr>
        <w:tc>
          <w:tcPr>
            <w:tcW w:w="1135" w:type="dxa"/>
            <w:vMerge/>
          </w:tcPr>
          <w:p w14:paraId="01635C61" w14:textId="77777777" w:rsidR="00DF2D81" w:rsidRPr="001833E1" w:rsidRDefault="00DF2D81" w:rsidP="007D29A5">
            <w:pPr>
              <w:jc w:val="center"/>
              <w:rPr>
                <w:rFonts w:ascii="Times New Roman" w:hAnsi="Times New Roman" w:cs="Times New Roman"/>
                <w:sz w:val="18"/>
                <w:szCs w:val="18"/>
              </w:rPr>
            </w:pPr>
          </w:p>
        </w:tc>
        <w:tc>
          <w:tcPr>
            <w:tcW w:w="2971" w:type="dxa"/>
          </w:tcPr>
          <w:p w14:paraId="5BDB9A67" w14:textId="77777777" w:rsidR="00DF2D81" w:rsidRPr="001833E1" w:rsidRDefault="00DF2D81" w:rsidP="007D29A5">
            <w:pPr>
              <w:jc w:val="center"/>
              <w:rPr>
                <w:rFonts w:ascii="Times New Roman" w:hAnsi="Times New Roman" w:cs="Times New Roman"/>
                <w:color w:val="000000"/>
                <w:sz w:val="18"/>
                <w:szCs w:val="18"/>
              </w:rPr>
            </w:pPr>
            <w:r w:rsidRPr="001833E1">
              <w:rPr>
                <w:rFonts w:ascii="Times New Roman" w:hAnsi="Times New Roman" w:cs="Times New Roman"/>
                <w:color w:val="000000"/>
                <w:sz w:val="18"/>
                <w:szCs w:val="18"/>
              </w:rPr>
              <w:t>Burnout/PFI /</w:t>
            </w:r>
            <w:r w:rsidRPr="001833E1">
              <w:rPr>
                <w:rFonts w:ascii="Times New Roman" w:hAnsi="Times New Roman" w:cs="Times New Roman"/>
                <w:sz w:val="18"/>
                <w:szCs w:val="18"/>
              </w:rPr>
              <w:t xml:space="preserve"> </w:t>
            </w:r>
            <w:r w:rsidRPr="001833E1">
              <w:rPr>
                <w:rFonts w:ascii="Times New Roman" w:hAnsi="Times New Roman" w:cs="Times New Roman"/>
                <w:color w:val="000000"/>
                <w:sz w:val="18"/>
                <w:szCs w:val="18"/>
              </w:rPr>
              <w:t>10 items that measure work exhaustion and interpersonal disengagement. These items are also rated on a 5-point Likert scale. Total score is the sum of responses, with higher scores indicating higher levels of burnout.</w:t>
            </w:r>
          </w:p>
        </w:tc>
        <w:tc>
          <w:tcPr>
            <w:tcW w:w="1843" w:type="dxa"/>
          </w:tcPr>
          <w:p w14:paraId="12BF4A5B"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10-50</w:t>
            </w:r>
          </w:p>
        </w:tc>
        <w:tc>
          <w:tcPr>
            <w:tcW w:w="1843" w:type="dxa"/>
          </w:tcPr>
          <w:p w14:paraId="4F9443A0"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05F31E4E"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 xml:space="preserve">22.59 (5.70) </w:t>
            </w:r>
          </w:p>
        </w:tc>
        <w:tc>
          <w:tcPr>
            <w:tcW w:w="1559" w:type="dxa"/>
          </w:tcPr>
          <w:p w14:paraId="5ADE4D42"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1D46BC4A" w14:textId="77777777" w:rsidR="00DF2D81" w:rsidRPr="001833E1" w:rsidRDefault="00DF2D81" w:rsidP="007D29A5">
            <w:pPr>
              <w:jc w:val="center"/>
              <w:rPr>
                <w:rFonts w:ascii="Times New Roman" w:hAnsi="Times New Roman" w:cs="Times New Roman"/>
                <w:sz w:val="18"/>
                <w:szCs w:val="18"/>
              </w:rPr>
            </w:pPr>
            <w:r w:rsidRPr="001833E1">
              <w:rPr>
                <w:rFonts w:ascii="Times New Roman" w:eastAsia="Aptos" w:hAnsi="Times New Roman" w:cs="Times New Roman"/>
                <w:sz w:val="18"/>
                <w:szCs w:val="18"/>
                <w:lang w:val="el-GR"/>
              </w:rPr>
              <w:t>-</w:t>
            </w:r>
            <w:r w:rsidRPr="001833E1">
              <w:rPr>
                <w:rFonts w:ascii="Times New Roman" w:hAnsi="Times New Roman" w:cs="Times New Roman"/>
                <w:sz w:val="18"/>
                <w:szCs w:val="18"/>
              </w:rPr>
              <w:t xml:space="preserve">0.17 (7.86) </w:t>
            </w:r>
          </w:p>
        </w:tc>
        <w:tc>
          <w:tcPr>
            <w:tcW w:w="1559" w:type="dxa"/>
          </w:tcPr>
          <w:p w14:paraId="3DB21828"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745595FD"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22.61 (7.73)</w:t>
            </w:r>
          </w:p>
        </w:tc>
        <w:tc>
          <w:tcPr>
            <w:tcW w:w="1439" w:type="dxa"/>
          </w:tcPr>
          <w:p w14:paraId="1267F47D"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Mean (SD)</w:t>
            </w:r>
          </w:p>
          <w:p w14:paraId="391B1057" w14:textId="77777777" w:rsidR="00DF2D81" w:rsidRPr="001833E1" w:rsidRDefault="00DF2D81" w:rsidP="007D29A5">
            <w:pPr>
              <w:jc w:val="center"/>
              <w:rPr>
                <w:rFonts w:ascii="Times New Roman" w:hAnsi="Times New Roman" w:cs="Times New Roman"/>
                <w:sz w:val="18"/>
                <w:szCs w:val="18"/>
              </w:rPr>
            </w:pPr>
            <w:r w:rsidRPr="001833E1">
              <w:rPr>
                <w:rFonts w:ascii="Times New Roman" w:hAnsi="Times New Roman" w:cs="Times New Roman"/>
                <w:sz w:val="18"/>
                <w:szCs w:val="18"/>
              </w:rPr>
              <w:t>0.29 (5.90)</w:t>
            </w:r>
          </w:p>
        </w:tc>
        <w:tc>
          <w:tcPr>
            <w:tcW w:w="3828" w:type="dxa"/>
          </w:tcPr>
          <w:p w14:paraId="5E4EA488"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Unadjusted-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-0.46 (</w:t>
            </w:r>
            <w:r w:rsidRPr="001833E1">
              <w:rPr>
                <w:rFonts w:ascii="Times New Roman" w:eastAsia="Aptos" w:hAnsi="Times New Roman" w:cs="Times New Roman"/>
                <w:sz w:val="18"/>
                <w:szCs w:val="18"/>
              </w:rPr>
              <w:t>-</w:t>
            </w:r>
            <w:r w:rsidRPr="001833E1">
              <w:rPr>
                <w:rFonts w:ascii="Times New Roman" w:hAnsi="Times New Roman" w:cs="Times New Roman"/>
                <w:sz w:val="18"/>
                <w:szCs w:val="18"/>
              </w:rPr>
              <w:t xml:space="preserve">3.46, 2.55) </w:t>
            </w:r>
          </w:p>
          <w:p w14:paraId="0A0AE7D3"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p-value=0.76, p-value(Benjamini-Hochberg)= 0.76</w:t>
            </w:r>
          </w:p>
          <w:p w14:paraId="5F6C4B23"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 xml:space="preserve">Adjusted- </w:t>
            </w:r>
            <w:r w:rsidRPr="001833E1">
              <w:rPr>
                <w:rFonts w:ascii="Times New Roman" w:hAnsi="Times New Roman" w:cs="Times New Roman"/>
                <w:sz w:val="18"/>
                <w:szCs w:val="18"/>
                <w:lang w:val="el-GR"/>
              </w:rPr>
              <w:t>Δ</w:t>
            </w:r>
            <w:r w:rsidRPr="001833E1">
              <w:rPr>
                <w:rFonts w:ascii="Times New Roman" w:hAnsi="Times New Roman" w:cs="Times New Roman"/>
                <w:sz w:val="18"/>
                <w:szCs w:val="18"/>
              </w:rPr>
              <w:t xml:space="preserve">  (95% CI)  β = </w:t>
            </w:r>
            <w:r w:rsidRPr="001833E1">
              <w:rPr>
                <w:rFonts w:ascii="Times New Roman" w:eastAsia="Aptos" w:hAnsi="Times New Roman" w:cs="Times New Roman"/>
                <w:sz w:val="18"/>
                <w:szCs w:val="18"/>
              </w:rPr>
              <w:t>-</w:t>
            </w:r>
            <w:r w:rsidRPr="001833E1">
              <w:rPr>
                <w:rFonts w:ascii="Times New Roman" w:hAnsi="Times New Roman" w:cs="Times New Roman"/>
                <w:sz w:val="18"/>
                <w:szCs w:val="18"/>
              </w:rPr>
              <w:t>0.28 (</w:t>
            </w:r>
            <w:r w:rsidRPr="001833E1">
              <w:rPr>
                <w:rFonts w:ascii="Times New Roman" w:eastAsia="Aptos" w:hAnsi="Times New Roman" w:cs="Times New Roman"/>
                <w:sz w:val="18"/>
                <w:szCs w:val="18"/>
              </w:rPr>
              <w:t>-</w:t>
            </w:r>
            <w:r w:rsidRPr="001833E1">
              <w:rPr>
                <w:rFonts w:ascii="Times New Roman" w:hAnsi="Times New Roman" w:cs="Times New Roman"/>
                <w:sz w:val="18"/>
                <w:szCs w:val="18"/>
              </w:rPr>
              <w:t xml:space="preserve">3.25, 2.69) </w:t>
            </w:r>
          </w:p>
          <w:p w14:paraId="588B747A" w14:textId="77777777" w:rsidR="00DF2D81" w:rsidRPr="001833E1" w:rsidRDefault="00DF2D81" w:rsidP="007D29A5">
            <w:pPr>
              <w:rPr>
                <w:rFonts w:ascii="Times New Roman" w:hAnsi="Times New Roman" w:cs="Times New Roman"/>
                <w:sz w:val="18"/>
                <w:szCs w:val="18"/>
              </w:rPr>
            </w:pPr>
            <w:r w:rsidRPr="001833E1">
              <w:rPr>
                <w:rFonts w:ascii="Times New Roman" w:hAnsi="Times New Roman" w:cs="Times New Roman"/>
                <w:sz w:val="18"/>
                <w:szCs w:val="18"/>
              </w:rPr>
              <w:t>p-value=0.85, p-value(Benjamini-Hochberg)= 0.85</w:t>
            </w:r>
          </w:p>
        </w:tc>
      </w:tr>
    </w:tbl>
    <w:p w14:paraId="2DB1E7E2" w14:textId="77777777" w:rsidR="008A7E96" w:rsidRDefault="008A7E96" w:rsidP="5BDCD893">
      <w:pPr>
        <w:spacing w:after="0" w:line="240" w:lineRule="auto"/>
        <w:rPr>
          <w:rFonts w:ascii="Times New Roman" w:hAnsi="Times New Roman" w:cs="Times New Roman"/>
          <w:b/>
          <w:bCs/>
          <w:sz w:val="22"/>
          <w:szCs w:val="22"/>
        </w:rPr>
      </w:pPr>
    </w:p>
    <w:p w14:paraId="77933700" w14:textId="77777777" w:rsidR="008A7E96" w:rsidRDefault="008A7E96" w:rsidP="5BDCD893">
      <w:pPr>
        <w:spacing w:after="0" w:line="240" w:lineRule="auto"/>
        <w:rPr>
          <w:rFonts w:ascii="Times New Roman" w:hAnsi="Times New Roman" w:cs="Times New Roman"/>
          <w:b/>
          <w:bCs/>
          <w:sz w:val="22"/>
          <w:szCs w:val="22"/>
        </w:rPr>
      </w:pPr>
    </w:p>
    <w:p w14:paraId="7815CA9A" w14:textId="77777777" w:rsidR="008A7E96" w:rsidRDefault="008A7E96" w:rsidP="5BDCD893">
      <w:pPr>
        <w:spacing w:after="0" w:line="240" w:lineRule="auto"/>
        <w:rPr>
          <w:rFonts w:ascii="Times New Roman" w:hAnsi="Times New Roman" w:cs="Times New Roman"/>
          <w:b/>
          <w:bCs/>
          <w:sz w:val="22"/>
          <w:szCs w:val="22"/>
        </w:rPr>
      </w:pPr>
    </w:p>
    <w:p w14:paraId="3D7B0722" w14:textId="65B1FBCD" w:rsidR="00DF2D81" w:rsidRPr="00DF2D81" w:rsidRDefault="00DF2D81" w:rsidP="5BDCD893">
      <w:pPr>
        <w:spacing w:after="0" w:line="240" w:lineRule="auto"/>
        <w:rPr>
          <w:rFonts w:ascii="Times New Roman" w:hAnsi="Times New Roman" w:cs="Times New Roman"/>
          <w:sz w:val="22"/>
          <w:szCs w:val="22"/>
        </w:rPr>
      </w:pPr>
      <w:r w:rsidRPr="5BDCD893">
        <w:rPr>
          <w:rFonts w:ascii="Times New Roman" w:hAnsi="Times New Roman" w:cs="Times New Roman"/>
          <w:b/>
          <w:bCs/>
          <w:sz w:val="22"/>
          <w:szCs w:val="22"/>
        </w:rPr>
        <w:lastRenderedPageBreak/>
        <w:t>Table C3 (Cont.)</w:t>
      </w:r>
      <w:r w:rsidRPr="5BDCD893">
        <w:rPr>
          <w:rFonts w:ascii="Times New Roman" w:hAnsi="Times New Roman" w:cs="Times New Roman"/>
          <w:sz w:val="22"/>
          <w:szCs w:val="22"/>
        </w:rPr>
        <w:t xml:space="preserve"> Detailed Results of the effectiveness of health promotion interventions</w:t>
      </w:r>
    </w:p>
    <w:tbl>
      <w:tblPr>
        <w:tblStyle w:val="TableGrid"/>
        <w:tblW w:w="16155" w:type="dxa"/>
        <w:jc w:val="center"/>
        <w:tblLayout w:type="fixed"/>
        <w:tblLook w:val="04A0" w:firstRow="1" w:lastRow="0" w:firstColumn="1" w:lastColumn="0" w:noHBand="0" w:noVBand="1"/>
      </w:tblPr>
      <w:tblGrid>
        <w:gridCol w:w="1282"/>
        <w:gridCol w:w="2257"/>
        <w:gridCol w:w="2552"/>
        <w:gridCol w:w="1701"/>
        <w:gridCol w:w="2409"/>
        <w:gridCol w:w="1418"/>
        <w:gridCol w:w="2835"/>
        <w:gridCol w:w="1701"/>
      </w:tblGrid>
      <w:tr w:rsidR="00DF2D81" w14:paraId="55C0CA90" w14:textId="77777777" w:rsidTr="00A73353">
        <w:trPr>
          <w:jc w:val="center"/>
        </w:trPr>
        <w:tc>
          <w:tcPr>
            <w:tcW w:w="1282" w:type="dxa"/>
          </w:tcPr>
          <w:p w14:paraId="690B97F6" w14:textId="0EAD6258"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Study/Sector</w:t>
            </w:r>
          </w:p>
        </w:tc>
        <w:tc>
          <w:tcPr>
            <w:tcW w:w="2257" w:type="dxa"/>
          </w:tcPr>
          <w:p w14:paraId="7CD1A1CA"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Outcome/</w:t>
            </w:r>
          </w:p>
          <w:p w14:paraId="1138B207"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Measurement</w:t>
            </w:r>
          </w:p>
        </w:tc>
        <w:tc>
          <w:tcPr>
            <w:tcW w:w="2552" w:type="dxa"/>
          </w:tcPr>
          <w:p w14:paraId="471282E5"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Scale/</w:t>
            </w:r>
          </w:p>
          <w:p w14:paraId="2C34688E"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Range</w:t>
            </w:r>
          </w:p>
        </w:tc>
        <w:tc>
          <w:tcPr>
            <w:tcW w:w="1701" w:type="dxa"/>
          </w:tcPr>
          <w:p w14:paraId="01743905"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Pre-intervention </w:t>
            </w:r>
          </w:p>
          <w:p w14:paraId="62BC2E49" w14:textId="4BF9E432"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 SD) Intervention Group</w:t>
            </w:r>
          </w:p>
        </w:tc>
        <w:tc>
          <w:tcPr>
            <w:tcW w:w="2409" w:type="dxa"/>
          </w:tcPr>
          <w:p w14:paraId="68488C92"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Post-intervention </w:t>
            </w:r>
          </w:p>
          <w:p w14:paraId="4245B17A" w14:textId="136F7C53"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 SD) Intervention Group</w:t>
            </w:r>
          </w:p>
        </w:tc>
        <w:tc>
          <w:tcPr>
            <w:tcW w:w="1418" w:type="dxa"/>
          </w:tcPr>
          <w:p w14:paraId="215FF7B9"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Pre-intervention </w:t>
            </w:r>
          </w:p>
          <w:p w14:paraId="79AF2DF9" w14:textId="29C8245C"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 SD) Control Group</w:t>
            </w:r>
          </w:p>
        </w:tc>
        <w:tc>
          <w:tcPr>
            <w:tcW w:w="2835" w:type="dxa"/>
          </w:tcPr>
          <w:p w14:paraId="5083AB62"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Post-intervention </w:t>
            </w:r>
          </w:p>
          <w:p w14:paraId="6652A73D" w14:textId="4B907300"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 SD) Control Group</w:t>
            </w:r>
          </w:p>
        </w:tc>
        <w:tc>
          <w:tcPr>
            <w:tcW w:w="1701" w:type="dxa"/>
          </w:tcPr>
          <w:p w14:paraId="0BE6CACC"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Measure of effect </w:t>
            </w:r>
          </w:p>
          <w:p w14:paraId="2FFE9C59" w14:textId="77777777" w:rsidR="00DF2D81" w:rsidRPr="001833E1" w:rsidRDefault="00DF2D81"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Difference between groups (95% CI)</w:t>
            </w:r>
          </w:p>
        </w:tc>
      </w:tr>
      <w:tr w:rsidR="00DF2D81" w14:paraId="450EC78C" w14:textId="77777777" w:rsidTr="00A73353">
        <w:trPr>
          <w:jc w:val="center"/>
        </w:trPr>
        <w:tc>
          <w:tcPr>
            <w:tcW w:w="1282" w:type="dxa"/>
            <w:vMerge w:val="restart"/>
          </w:tcPr>
          <w:p w14:paraId="6027D40C" w14:textId="77777777" w:rsidR="00DF2D81" w:rsidRPr="001833E1" w:rsidRDefault="00DF2D81" w:rsidP="0085241C">
            <w:pPr>
              <w:jc w:val="center"/>
              <w:rPr>
                <w:rFonts w:ascii="Times New Roman" w:hAnsi="Times New Roman" w:cs="Times New Roman"/>
                <w:color w:val="000000"/>
                <w:sz w:val="17"/>
                <w:szCs w:val="17"/>
              </w:rPr>
            </w:pPr>
          </w:p>
          <w:p w14:paraId="72FEB31D" w14:textId="77777777" w:rsidR="00DF2D81" w:rsidRPr="001833E1" w:rsidRDefault="00DF2D81" w:rsidP="0085241C">
            <w:pPr>
              <w:jc w:val="center"/>
              <w:rPr>
                <w:rFonts w:ascii="Times New Roman" w:hAnsi="Times New Roman" w:cs="Times New Roman"/>
                <w:color w:val="000000"/>
                <w:sz w:val="17"/>
                <w:szCs w:val="17"/>
              </w:rPr>
            </w:pPr>
          </w:p>
          <w:p w14:paraId="302A48D0" w14:textId="77777777" w:rsidR="00DF2D81" w:rsidRPr="001833E1" w:rsidRDefault="00DF2D81" w:rsidP="0085241C">
            <w:pPr>
              <w:jc w:val="center"/>
              <w:rPr>
                <w:rFonts w:ascii="Times New Roman" w:hAnsi="Times New Roman" w:cs="Times New Roman"/>
                <w:color w:val="000000"/>
                <w:sz w:val="17"/>
                <w:szCs w:val="17"/>
              </w:rPr>
            </w:pPr>
          </w:p>
          <w:p w14:paraId="61380EFB" w14:textId="77777777" w:rsidR="00DF2D81" w:rsidRPr="001833E1" w:rsidRDefault="00DF2D81" w:rsidP="0085241C">
            <w:pPr>
              <w:jc w:val="center"/>
              <w:rPr>
                <w:rFonts w:ascii="Times New Roman" w:hAnsi="Times New Roman" w:cs="Times New Roman"/>
                <w:color w:val="000000"/>
                <w:sz w:val="17"/>
                <w:szCs w:val="17"/>
              </w:rPr>
            </w:pPr>
          </w:p>
          <w:p w14:paraId="3EA38E99" w14:textId="77777777" w:rsidR="00DF2D81" w:rsidRPr="001833E1" w:rsidRDefault="00DF2D81" w:rsidP="0085241C">
            <w:pPr>
              <w:jc w:val="center"/>
              <w:rPr>
                <w:rFonts w:ascii="Times New Roman" w:hAnsi="Times New Roman" w:cs="Times New Roman"/>
                <w:color w:val="000000"/>
                <w:sz w:val="17"/>
                <w:szCs w:val="17"/>
              </w:rPr>
            </w:pPr>
          </w:p>
          <w:p w14:paraId="23A24E23" w14:textId="77777777" w:rsidR="00DF2D81" w:rsidRPr="001833E1" w:rsidRDefault="00DF2D81" w:rsidP="0085241C">
            <w:pPr>
              <w:jc w:val="center"/>
              <w:rPr>
                <w:rFonts w:ascii="Times New Roman" w:hAnsi="Times New Roman" w:cs="Times New Roman"/>
                <w:color w:val="000000"/>
                <w:sz w:val="17"/>
                <w:szCs w:val="17"/>
              </w:rPr>
            </w:pPr>
          </w:p>
          <w:p w14:paraId="249C644A" w14:textId="77777777" w:rsidR="00DF2D81" w:rsidRPr="001833E1" w:rsidRDefault="00DF2D81" w:rsidP="0085241C">
            <w:pPr>
              <w:jc w:val="center"/>
              <w:rPr>
                <w:rFonts w:ascii="Times New Roman" w:hAnsi="Times New Roman" w:cs="Times New Roman"/>
                <w:color w:val="000000"/>
                <w:sz w:val="17"/>
                <w:szCs w:val="17"/>
              </w:rPr>
            </w:pPr>
          </w:p>
          <w:p w14:paraId="1EC040FA" w14:textId="77777777" w:rsidR="00DF2D81" w:rsidRPr="001833E1" w:rsidRDefault="00DF2D81" w:rsidP="0085241C">
            <w:pPr>
              <w:jc w:val="center"/>
              <w:rPr>
                <w:rFonts w:ascii="Times New Roman" w:hAnsi="Times New Roman" w:cs="Times New Roman"/>
                <w:color w:val="000000"/>
                <w:sz w:val="17"/>
                <w:szCs w:val="17"/>
              </w:rPr>
            </w:pPr>
          </w:p>
          <w:p w14:paraId="50898558" w14:textId="77777777" w:rsidR="00DF2D81" w:rsidRPr="001833E1" w:rsidRDefault="00DF2D81" w:rsidP="0085241C">
            <w:pPr>
              <w:jc w:val="center"/>
              <w:rPr>
                <w:rFonts w:ascii="Times New Roman" w:hAnsi="Times New Roman" w:cs="Times New Roman"/>
                <w:color w:val="000000"/>
                <w:sz w:val="17"/>
                <w:szCs w:val="17"/>
              </w:rPr>
            </w:pPr>
          </w:p>
          <w:p w14:paraId="46CD6898" w14:textId="77777777" w:rsidR="00DF2D81" w:rsidRPr="001833E1" w:rsidRDefault="00DF2D81" w:rsidP="0085241C">
            <w:pPr>
              <w:jc w:val="center"/>
              <w:rPr>
                <w:rFonts w:ascii="Times New Roman" w:hAnsi="Times New Roman" w:cs="Times New Roman"/>
                <w:color w:val="000000"/>
                <w:sz w:val="17"/>
                <w:szCs w:val="17"/>
              </w:rPr>
            </w:pPr>
          </w:p>
          <w:p w14:paraId="51327113" w14:textId="77777777" w:rsidR="00DF2D81" w:rsidRPr="001833E1" w:rsidRDefault="00DF2D81" w:rsidP="0085241C">
            <w:pPr>
              <w:jc w:val="center"/>
              <w:rPr>
                <w:rFonts w:ascii="Times New Roman" w:hAnsi="Times New Roman" w:cs="Times New Roman"/>
                <w:color w:val="000000"/>
                <w:sz w:val="17"/>
                <w:szCs w:val="17"/>
              </w:rPr>
            </w:pPr>
          </w:p>
          <w:p w14:paraId="1728C849" w14:textId="77777777" w:rsidR="00DF2D81" w:rsidRPr="001833E1" w:rsidRDefault="00DF2D81" w:rsidP="0085241C">
            <w:pPr>
              <w:jc w:val="center"/>
              <w:rPr>
                <w:rFonts w:ascii="Times New Roman" w:hAnsi="Times New Roman" w:cs="Times New Roman"/>
                <w:color w:val="000000"/>
                <w:sz w:val="17"/>
                <w:szCs w:val="17"/>
              </w:rPr>
            </w:pPr>
          </w:p>
          <w:p w14:paraId="12985EF5" w14:textId="77777777" w:rsidR="00DF2D81" w:rsidRPr="001833E1" w:rsidRDefault="00DF2D81" w:rsidP="0085241C">
            <w:pPr>
              <w:jc w:val="center"/>
              <w:rPr>
                <w:rFonts w:ascii="Times New Roman" w:hAnsi="Times New Roman" w:cs="Times New Roman"/>
                <w:color w:val="000000"/>
                <w:sz w:val="17"/>
                <w:szCs w:val="17"/>
              </w:rPr>
            </w:pPr>
          </w:p>
          <w:p w14:paraId="7A7F8696" w14:textId="77777777" w:rsidR="00DF2D81" w:rsidRPr="001833E1" w:rsidRDefault="00DF2D81" w:rsidP="0085241C">
            <w:pPr>
              <w:jc w:val="center"/>
              <w:rPr>
                <w:rFonts w:ascii="Times New Roman" w:hAnsi="Times New Roman" w:cs="Times New Roman"/>
                <w:color w:val="000000"/>
                <w:sz w:val="17"/>
                <w:szCs w:val="17"/>
              </w:rPr>
            </w:pPr>
          </w:p>
          <w:p w14:paraId="095B216E" w14:textId="77777777" w:rsidR="00DF2D81" w:rsidRPr="001833E1" w:rsidRDefault="00DF2D81" w:rsidP="0085241C">
            <w:pPr>
              <w:jc w:val="center"/>
              <w:rPr>
                <w:rFonts w:ascii="Times New Roman" w:hAnsi="Times New Roman" w:cs="Times New Roman"/>
                <w:color w:val="000000"/>
                <w:sz w:val="17"/>
                <w:szCs w:val="17"/>
              </w:rPr>
            </w:pPr>
          </w:p>
          <w:p w14:paraId="081E3309" w14:textId="47BC8B41" w:rsidR="00DF2D81" w:rsidRPr="001833E1" w:rsidRDefault="00DF2D81"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Shan (202</w:t>
            </w:r>
            <w:r w:rsidR="00970B41">
              <w:rPr>
                <w:rFonts w:ascii="Times New Roman" w:hAnsi="Times New Roman" w:cs="Times New Roman"/>
                <w:color w:val="000000"/>
                <w:sz w:val="17"/>
                <w:szCs w:val="17"/>
              </w:rPr>
              <w:t>4</w:t>
            </w:r>
            <w:r w:rsidRPr="001833E1">
              <w:rPr>
                <w:rFonts w:ascii="Times New Roman" w:hAnsi="Times New Roman" w:cs="Times New Roman"/>
                <w:color w:val="000000"/>
                <w:sz w:val="17"/>
                <w:szCs w:val="17"/>
              </w:rPr>
              <w:t xml:space="preserve">) </w:t>
            </w:r>
            <w:r w:rsidRPr="001833E1">
              <w:rPr>
                <w:rFonts w:ascii="Times New Roman" w:hAnsi="Times New Roman" w:cs="Times New Roman"/>
                <w:sz w:val="17"/>
                <w:szCs w:val="17"/>
              </w:rPr>
              <w:t>/ Healthcare</w:t>
            </w:r>
          </w:p>
        </w:tc>
        <w:tc>
          <w:tcPr>
            <w:tcW w:w="2257" w:type="dxa"/>
          </w:tcPr>
          <w:p w14:paraId="09988AFB" w14:textId="77777777" w:rsidR="00DF2D81" w:rsidRPr="001833E1" w:rsidRDefault="00DF2D81"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Burnout/Maslach Burnout Inventory-Emotional Exhaustion (MBI-EE)/</w:t>
            </w:r>
            <w:r w:rsidRPr="001833E1">
              <w:rPr>
                <w:rFonts w:ascii="Times New Roman" w:hAnsi="Times New Roman" w:cs="Times New Roman"/>
                <w:sz w:val="17"/>
                <w:szCs w:val="17"/>
              </w:rPr>
              <w:t xml:space="preserve"> </w:t>
            </w:r>
            <w:r w:rsidRPr="001833E1">
              <w:rPr>
                <w:rFonts w:ascii="Times New Roman" w:hAnsi="Times New Roman" w:cs="Times New Roman"/>
                <w:color w:val="000000"/>
                <w:sz w:val="17"/>
                <w:szCs w:val="17"/>
              </w:rPr>
              <w:t>feelings of being emotionally overextended and exhausted</w:t>
            </w:r>
          </w:p>
        </w:tc>
        <w:tc>
          <w:tcPr>
            <w:tcW w:w="2552" w:type="dxa"/>
          </w:tcPr>
          <w:p w14:paraId="3C18873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0 (never felt) to 6 (felt every day). Higher scores on this subscale represent more burnout. Severity is categorized as low (below 19), medium (19–26), and high (above 26).</w:t>
            </w:r>
          </w:p>
        </w:tc>
        <w:tc>
          <w:tcPr>
            <w:tcW w:w="1701" w:type="dxa"/>
          </w:tcPr>
          <w:p w14:paraId="7221AE9B"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32.42 ± 11.71</w:t>
            </w:r>
          </w:p>
        </w:tc>
        <w:tc>
          <w:tcPr>
            <w:tcW w:w="2409" w:type="dxa"/>
          </w:tcPr>
          <w:p w14:paraId="11345876"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20326CED"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28.30 ± 7.73</w:t>
            </w:r>
          </w:p>
        </w:tc>
        <w:tc>
          <w:tcPr>
            <w:tcW w:w="1418" w:type="dxa"/>
          </w:tcPr>
          <w:p w14:paraId="3DEF08DA"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1633719C"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31.85 ± 11.33 </w:t>
            </w:r>
          </w:p>
        </w:tc>
        <w:tc>
          <w:tcPr>
            <w:tcW w:w="2835" w:type="dxa"/>
          </w:tcPr>
          <w:p w14:paraId="4E9A1C0D"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09330946"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27.65 ± 3.64</w:t>
            </w:r>
          </w:p>
        </w:tc>
        <w:tc>
          <w:tcPr>
            <w:tcW w:w="1701" w:type="dxa"/>
          </w:tcPr>
          <w:p w14:paraId="05F78126"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0.49 (−1.53, 2.51)</w:t>
            </w:r>
          </w:p>
          <w:p w14:paraId="0322438F"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Cohen’s d=0.002</w:t>
            </w:r>
          </w:p>
          <w:p w14:paraId="548673A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F-statistic= 0.110,   p-value=0.740</w:t>
            </w:r>
          </w:p>
        </w:tc>
      </w:tr>
      <w:tr w:rsidR="00DF2D81" w14:paraId="3C3F5C8C" w14:textId="77777777" w:rsidTr="00A73353">
        <w:trPr>
          <w:jc w:val="center"/>
        </w:trPr>
        <w:tc>
          <w:tcPr>
            <w:tcW w:w="1282" w:type="dxa"/>
            <w:vMerge/>
          </w:tcPr>
          <w:p w14:paraId="630A3174" w14:textId="77777777" w:rsidR="00DF2D81" w:rsidRPr="001833E1" w:rsidRDefault="00DF2D81" w:rsidP="0085241C">
            <w:pPr>
              <w:jc w:val="center"/>
              <w:rPr>
                <w:rFonts w:ascii="Times New Roman" w:hAnsi="Times New Roman" w:cs="Times New Roman"/>
                <w:color w:val="000000"/>
                <w:sz w:val="17"/>
                <w:szCs w:val="17"/>
              </w:rPr>
            </w:pPr>
          </w:p>
        </w:tc>
        <w:tc>
          <w:tcPr>
            <w:tcW w:w="2257" w:type="dxa"/>
          </w:tcPr>
          <w:p w14:paraId="1918290D" w14:textId="77777777" w:rsidR="00DF2D81" w:rsidRPr="001833E1" w:rsidRDefault="00DF2D81"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Impersonal and detached response towards patients /Maslach Burnout Inventory-</w:t>
            </w:r>
            <w:r w:rsidRPr="001833E1">
              <w:rPr>
                <w:rFonts w:ascii="Times New Roman" w:hAnsi="Times New Roman" w:cs="Times New Roman"/>
                <w:sz w:val="17"/>
                <w:szCs w:val="17"/>
              </w:rPr>
              <w:t xml:space="preserve"> </w:t>
            </w:r>
            <w:r w:rsidRPr="001833E1">
              <w:rPr>
                <w:rFonts w:ascii="Times New Roman" w:hAnsi="Times New Roman" w:cs="Times New Roman"/>
                <w:color w:val="000000"/>
                <w:sz w:val="17"/>
                <w:szCs w:val="17"/>
              </w:rPr>
              <w:t>Depersonalization (MBI-DP)</w:t>
            </w:r>
          </w:p>
        </w:tc>
        <w:tc>
          <w:tcPr>
            <w:tcW w:w="2552" w:type="dxa"/>
          </w:tcPr>
          <w:p w14:paraId="4EEB9F8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0 - 6. Higher scores on this subscale indicate more burnout, with severity classified as low (below 6), medium (6–9), and high (above 9)</w:t>
            </w:r>
          </w:p>
        </w:tc>
        <w:tc>
          <w:tcPr>
            <w:tcW w:w="1701" w:type="dxa"/>
          </w:tcPr>
          <w:p w14:paraId="49209749"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 SD)</w:t>
            </w:r>
          </w:p>
          <w:p w14:paraId="0258B28D"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8.88 ± 7.14 </w:t>
            </w:r>
          </w:p>
          <w:p w14:paraId="1FC67556" w14:textId="77777777" w:rsidR="00DF2D81" w:rsidRPr="001833E1" w:rsidRDefault="00DF2D81" w:rsidP="0085241C">
            <w:pPr>
              <w:jc w:val="center"/>
              <w:rPr>
                <w:rFonts w:ascii="Times New Roman" w:hAnsi="Times New Roman" w:cs="Times New Roman"/>
                <w:sz w:val="17"/>
                <w:szCs w:val="17"/>
              </w:rPr>
            </w:pPr>
          </w:p>
        </w:tc>
        <w:tc>
          <w:tcPr>
            <w:tcW w:w="2409" w:type="dxa"/>
          </w:tcPr>
          <w:p w14:paraId="1B901ADF"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02639117"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6.18 ± 3.74</w:t>
            </w:r>
          </w:p>
        </w:tc>
        <w:tc>
          <w:tcPr>
            <w:tcW w:w="1418" w:type="dxa"/>
          </w:tcPr>
          <w:p w14:paraId="68239725"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 SD)</w:t>
            </w:r>
          </w:p>
          <w:p w14:paraId="386A4EAB"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8.87 ± 6.74 </w:t>
            </w:r>
          </w:p>
          <w:p w14:paraId="6158C2FF" w14:textId="77777777" w:rsidR="00DF2D81" w:rsidRPr="001833E1" w:rsidRDefault="00DF2D81" w:rsidP="0085241C">
            <w:pPr>
              <w:jc w:val="center"/>
              <w:rPr>
                <w:rFonts w:ascii="Times New Roman" w:hAnsi="Times New Roman" w:cs="Times New Roman"/>
                <w:sz w:val="17"/>
                <w:szCs w:val="17"/>
              </w:rPr>
            </w:pPr>
          </w:p>
        </w:tc>
        <w:tc>
          <w:tcPr>
            <w:tcW w:w="2835" w:type="dxa"/>
          </w:tcPr>
          <w:p w14:paraId="253D986A"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470CE3F0"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7.97 ± 2.45</w:t>
            </w:r>
          </w:p>
        </w:tc>
        <w:tc>
          <w:tcPr>
            <w:tcW w:w="1701" w:type="dxa"/>
          </w:tcPr>
          <w:p w14:paraId="54914853"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−1.87 (−3.22, 0.51)</w:t>
            </w:r>
          </w:p>
          <w:p w14:paraId="649085B2"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Cohen’s d=</w:t>
            </w:r>
            <w:r w:rsidRPr="001833E1">
              <w:rPr>
                <w:rFonts w:ascii="Times New Roman" w:hAnsi="Times New Roman" w:cs="Times New Roman"/>
                <w:color w:val="282828"/>
                <w:sz w:val="17"/>
                <w:szCs w:val="17"/>
                <w14:ligatures w14:val="standardContextual"/>
              </w:rPr>
              <w:t xml:space="preserve"> </w:t>
            </w:r>
            <w:r w:rsidRPr="001833E1">
              <w:rPr>
                <w:rFonts w:ascii="Times New Roman" w:hAnsi="Times New Roman" w:cs="Times New Roman"/>
                <w:sz w:val="17"/>
                <w:szCs w:val="17"/>
              </w:rPr>
              <w:t>0.011</w:t>
            </w:r>
          </w:p>
          <w:p w14:paraId="1765ECEF"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F-statistic= 0.757,   p-value=0.387</w:t>
            </w:r>
          </w:p>
        </w:tc>
      </w:tr>
      <w:tr w:rsidR="00DF2D81" w14:paraId="2FBFF884" w14:textId="77777777" w:rsidTr="00A73353">
        <w:trPr>
          <w:jc w:val="center"/>
        </w:trPr>
        <w:tc>
          <w:tcPr>
            <w:tcW w:w="1282" w:type="dxa"/>
            <w:vMerge/>
          </w:tcPr>
          <w:p w14:paraId="65CE4AE3" w14:textId="77777777" w:rsidR="00DF2D81" w:rsidRPr="001833E1" w:rsidRDefault="00DF2D81" w:rsidP="0085241C">
            <w:pPr>
              <w:jc w:val="center"/>
              <w:rPr>
                <w:rFonts w:ascii="Times New Roman" w:hAnsi="Times New Roman" w:cs="Times New Roman"/>
                <w:color w:val="000000"/>
                <w:sz w:val="17"/>
                <w:szCs w:val="17"/>
              </w:rPr>
            </w:pPr>
          </w:p>
        </w:tc>
        <w:tc>
          <w:tcPr>
            <w:tcW w:w="2257" w:type="dxa"/>
          </w:tcPr>
          <w:p w14:paraId="361BD31D" w14:textId="77777777" w:rsidR="00DF2D81" w:rsidRPr="001833E1" w:rsidRDefault="00DF2D81"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Competence and successful achievement in one’s work with people/Maslach Burnout Inventory-</w:t>
            </w:r>
            <w:r w:rsidRPr="001833E1">
              <w:rPr>
                <w:rFonts w:ascii="Times New Roman" w:hAnsi="Times New Roman" w:cs="Times New Roman"/>
                <w:sz w:val="17"/>
                <w:szCs w:val="17"/>
              </w:rPr>
              <w:t xml:space="preserve"> </w:t>
            </w:r>
            <w:r w:rsidRPr="001833E1">
              <w:rPr>
                <w:rFonts w:ascii="Times New Roman" w:hAnsi="Times New Roman" w:cs="Times New Roman"/>
                <w:color w:val="000000"/>
                <w:sz w:val="17"/>
                <w:szCs w:val="17"/>
              </w:rPr>
              <w:t>Personal Achievement (MBI-PA)</w:t>
            </w:r>
          </w:p>
        </w:tc>
        <w:tc>
          <w:tcPr>
            <w:tcW w:w="2552" w:type="dxa"/>
          </w:tcPr>
          <w:p w14:paraId="647EC18C"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0-6, with higher scores representing less burnout. The severity is categorized as low (above 34), medium (26–34), and high (below 26)​</w:t>
            </w:r>
          </w:p>
        </w:tc>
        <w:tc>
          <w:tcPr>
            <w:tcW w:w="1701" w:type="dxa"/>
          </w:tcPr>
          <w:p w14:paraId="77119004"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 SD)</w:t>
            </w:r>
          </w:p>
          <w:p w14:paraId="77CEDA1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26.91 ± 10.26 </w:t>
            </w:r>
          </w:p>
          <w:p w14:paraId="5590BEAD" w14:textId="77777777" w:rsidR="00DF2D81" w:rsidRPr="001833E1" w:rsidRDefault="00DF2D81" w:rsidP="0085241C">
            <w:pPr>
              <w:jc w:val="center"/>
              <w:rPr>
                <w:rFonts w:ascii="Times New Roman" w:hAnsi="Times New Roman" w:cs="Times New Roman"/>
                <w:sz w:val="17"/>
                <w:szCs w:val="17"/>
              </w:rPr>
            </w:pPr>
          </w:p>
        </w:tc>
        <w:tc>
          <w:tcPr>
            <w:tcW w:w="2409" w:type="dxa"/>
          </w:tcPr>
          <w:p w14:paraId="2CEFE078"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09832B79"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31.15 ± 4.60</w:t>
            </w:r>
          </w:p>
        </w:tc>
        <w:tc>
          <w:tcPr>
            <w:tcW w:w="1418" w:type="dxa"/>
          </w:tcPr>
          <w:p w14:paraId="6A88709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 SD)</w:t>
            </w:r>
          </w:p>
          <w:p w14:paraId="0F5353CE"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27.30 ± 9.74 </w:t>
            </w:r>
          </w:p>
        </w:tc>
        <w:tc>
          <w:tcPr>
            <w:tcW w:w="2835" w:type="dxa"/>
          </w:tcPr>
          <w:p w14:paraId="0AC2B33F"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6A632E35"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21.70 ± 4.72</w:t>
            </w:r>
          </w:p>
        </w:tc>
        <w:tc>
          <w:tcPr>
            <w:tcW w:w="1701" w:type="dxa"/>
          </w:tcPr>
          <w:p w14:paraId="79F09B8A"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9.70 (8.28, 11.12)</w:t>
            </w:r>
          </w:p>
          <w:p w14:paraId="1E8BF9BE"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Cohen’s d=0.119</w:t>
            </w:r>
          </w:p>
          <w:p w14:paraId="7AF8A43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F-statistic= 9.598,   p-value=0.003</w:t>
            </w:r>
          </w:p>
        </w:tc>
      </w:tr>
      <w:tr w:rsidR="00DF2D81" w14:paraId="58DDC216" w14:textId="77777777" w:rsidTr="00A73353">
        <w:trPr>
          <w:jc w:val="center"/>
        </w:trPr>
        <w:tc>
          <w:tcPr>
            <w:tcW w:w="1282" w:type="dxa"/>
            <w:vMerge/>
          </w:tcPr>
          <w:p w14:paraId="72ADBE96" w14:textId="77777777" w:rsidR="00DF2D81" w:rsidRPr="001833E1" w:rsidRDefault="00DF2D81" w:rsidP="0085241C">
            <w:pPr>
              <w:jc w:val="center"/>
              <w:rPr>
                <w:rFonts w:ascii="Times New Roman" w:hAnsi="Times New Roman" w:cs="Times New Roman"/>
                <w:color w:val="000000"/>
                <w:sz w:val="17"/>
                <w:szCs w:val="17"/>
              </w:rPr>
            </w:pPr>
          </w:p>
        </w:tc>
        <w:tc>
          <w:tcPr>
            <w:tcW w:w="2257" w:type="dxa"/>
          </w:tcPr>
          <w:p w14:paraId="0E756A25" w14:textId="77777777" w:rsidR="00DF2D81" w:rsidRPr="001833E1" w:rsidRDefault="00DF2D81"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Self-Efficacy/General Self-Efficacy Scale (GSES)</w:t>
            </w:r>
          </w:p>
        </w:tc>
        <w:tc>
          <w:tcPr>
            <w:tcW w:w="2552" w:type="dxa"/>
          </w:tcPr>
          <w:p w14:paraId="4975C56A"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10 items, with each item rated on a 4-point Likert scale: 1(Completely Incorrect) to 4 (Completely correct).</w:t>
            </w:r>
          </w:p>
          <w:p w14:paraId="46234149"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The total score is obtained by summing the responses, with higher scores indicating a higher level of general self-efficacy.</w:t>
            </w:r>
          </w:p>
        </w:tc>
        <w:tc>
          <w:tcPr>
            <w:tcW w:w="1701" w:type="dxa"/>
          </w:tcPr>
          <w:p w14:paraId="0FC5645C"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 SD)</w:t>
            </w:r>
          </w:p>
          <w:p w14:paraId="22A7D5B2"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1.97 ± 0.73</w:t>
            </w:r>
          </w:p>
          <w:p w14:paraId="1BBDD0F4" w14:textId="77777777" w:rsidR="00DF2D81" w:rsidRPr="001833E1" w:rsidRDefault="00DF2D81" w:rsidP="0085241C">
            <w:pPr>
              <w:jc w:val="center"/>
              <w:rPr>
                <w:rFonts w:ascii="Times New Roman" w:hAnsi="Times New Roman" w:cs="Times New Roman"/>
                <w:sz w:val="17"/>
                <w:szCs w:val="17"/>
              </w:rPr>
            </w:pPr>
          </w:p>
        </w:tc>
        <w:tc>
          <w:tcPr>
            <w:tcW w:w="2409" w:type="dxa"/>
          </w:tcPr>
          <w:p w14:paraId="5C05D876"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674E0D1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2.24 ± 0.23</w:t>
            </w:r>
          </w:p>
        </w:tc>
        <w:tc>
          <w:tcPr>
            <w:tcW w:w="1418" w:type="dxa"/>
          </w:tcPr>
          <w:p w14:paraId="2C05FBF3"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 SD)</w:t>
            </w:r>
          </w:p>
          <w:p w14:paraId="7C9F5897"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2.02 ± 0.16 </w:t>
            </w:r>
          </w:p>
          <w:p w14:paraId="0816855B" w14:textId="77777777" w:rsidR="00DF2D81" w:rsidRPr="001833E1" w:rsidRDefault="00DF2D81" w:rsidP="0085241C">
            <w:pPr>
              <w:jc w:val="center"/>
              <w:rPr>
                <w:rFonts w:ascii="Times New Roman" w:hAnsi="Times New Roman" w:cs="Times New Roman"/>
                <w:sz w:val="17"/>
                <w:szCs w:val="17"/>
              </w:rPr>
            </w:pPr>
          </w:p>
        </w:tc>
        <w:tc>
          <w:tcPr>
            <w:tcW w:w="2835" w:type="dxa"/>
          </w:tcPr>
          <w:p w14:paraId="6306A822"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(mean± SD)</w:t>
            </w:r>
          </w:p>
          <w:p w14:paraId="116D0369"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2.29 ± 0.18</w:t>
            </w:r>
          </w:p>
        </w:tc>
        <w:tc>
          <w:tcPr>
            <w:tcW w:w="1701" w:type="dxa"/>
          </w:tcPr>
          <w:p w14:paraId="1E288B91"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−0.05 (−0.15, 0.04)</w:t>
            </w:r>
          </w:p>
          <w:p w14:paraId="147F0AE7"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Cohen’s d=0.010</w:t>
            </w:r>
          </w:p>
          <w:p w14:paraId="68D1EF7F" w14:textId="77777777" w:rsidR="00DF2D81" w:rsidRPr="001833E1" w:rsidRDefault="00DF2D81" w:rsidP="0085241C">
            <w:pPr>
              <w:jc w:val="center"/>
              <w:rPr>
                <w:rFonts w:ascii="Times New Roman" w:hAnsi="Times New Roman" w:cs="Times New Roman"/>
                <w:sz w:val="17"/>
                <w:szCs w:val="17"/>
              </w:rPr>
            </w:pPr>
            <w:r w:rsidRPr="001833E1">
              <w:rPr>
                <w:rFonts w:ascii="Times New Roman" w:hAnsi="Times New Roman" w:cs="Times New Roman"/>
                <w:sz w:val="17"/>
                <w:szCs w:val="17"/>
              </w:rPr>
              <w:t>F-statistic= 0.709,   p-value=0.403</w:t>
            </w:r>
          </w:p>
        </w:tc>
      </w:tr>
      <w:tr w:rsidR="00A73353" w14:paraId="3A7F410A" w14:textId="77777777" w:rsidTr="00A73353">
        <w:trPr>
          <w:jc w:val="center"/>
        </w:trPr>
        <w:tc>
          <w:tcPr>
            <w:tcW w:w="1282" w:type="dxa"/>
            <w:vMerge w:val="restart"/>
          </w:tcPr>
          <w:p w14:paraId="2B5EF397" w14:textId="77777777" w:rsidR="00A73353" w:rsidRPr="001833E1" w:rsidRDefault="00A73353" w:rsidP="0085241C">
            <w:pPr>
              <w:jc w:val="center"/>
              <w:rPr>
                <w:rFonts w:ascii="Times New Roman" w:hAnsi="Times New Roman" w:cs="Times New Roman"/>
                <w:sz w:val="17"/>
                <w:szCs w:val="17"/>
              </w:rPr>
            </w:pPr>
          </w:p>
          <w:p w14:paraId="74B3BB53" w14:textId="77777777" w:rsidR="00A73353" w:rsidRPr="001833E1" w:rsidRDefault="00A73353" w:rsidP="0085241C">
            <w:pPr>
              <w:jc w:val="center"/>
              <w:rPr>
                <w:rFonts w:ascii="Times New Roman" w:hAnsi="Times New Roman" w:cs="Times New Roman"/>
                <w:sz w:val="17"/>
                <w:szCs w:val="17"/>
              </w:rPr>
            </w:pPr>
          </w:p>
          <w:p w14:paraId="2E264654" w14:textId="77777777" w:rsidR="00A73353" w:rsidRPr="001833E1" w:rsidRDefault="00A73353" w:rsidP="0085241C">
            <w:pPr>
              <w:jc w:val="center"/>
              <w:rPr>
                <w:rFonts w:ascii="Times New Roman" w:hAnsi="Times New Roman" w:cs="Times New Roman"/>
                <w:sz w:val="17"/>
                <w:szCs w:val="17"/>
              </w:rPr>
            </w:pPr>
          </w:p>
          <w:p w14:paraId="0D64E301" w14:textId="77777777" w:rsidR="00A73353" w:rsidRPr="001833E1" w:rsidRDefault="00A73353" w:rsidP="0085241C">
            <w:pPr>
              <w:jc w:val="center"/>
              <w:rPr>
                <w:rFonts w:ascii="Times New Roman" w:hAnsi="Times New Roman" w:cs="Times New Roman"/>
                <w:sz w:val="17"/>
                <w:szCs w:val="17"/>
              </w:rPr>
            </w:pPr>
          </w:p>
          <w:p w14:paraId="726552B6" w14:textId="77777777" w:rsidR="00A73353" w:rsidRPr="001833E1" w:rsidRDefault="00A73353" w:rsidP="0085241C">
            <w:pPr>
              <w:jc w:val="center"/>
              <w:rPr>
                <w:rFonts w:ascii="Times New Roman" w:hAnsi="Times New Roman" w:cs="Times New Roman"/>
                <w:sz w:val="17"/>
                <w:szCs w:val="17"/>
              </w:rPr>
            </w:pPr>
          </w:p>
          <w:p w14:paraId="20A61BEC" w14:textId="77777777" w:rsidR="00A73353" w:rsidRPr="001833E1" w:rsidRDefault="00A73353" w:rsidP="0085241C">
            <w:pPr>
              <w:jc w:val="center"/>
              <w:rPr>
                <w:rFonts w:ascii="Times New Roman" w:hAnsi="Times New Roman" w:cs="Times New Roman"/>
                <w:sz w:val="17"/>
                <w:szCs w:val="17"/>
              </w:rPr>
            </w:pPr>
          </w:p>
          <w:p w14:paraId="0B98992F" w14:textId="77777777" w:rsidR="00A73353" w:rsidRPr="001833E1" w:rsidRDefault="00A73353" w:rsidP="0085241C">
            <w:pPr>
              <w:jc w:val="center"/>
              <w:rPr>
                <w:rFonts w:ascii="Times New Roman" w:hAnsi="Times New Roman" w:cs="Times New Roman"/>
                <w:sz w:val="17"/>
                <w:szCs w:val="17"/>
              </w:rPr>
            </w:pPr>
          </w:p>
          <w:p w14:paraId="4E6BB5DC" w14:textId="1F89FC16"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sz w:val="17"/>
                <w:szCs w:val="17"/>
              </w:rPr>
              <w:t>Wang (2024) / Healthcare</w:t>
            </w:r>
          </w:p>
        </w:tc>
        <w:tc>
          <w:tcPr>
            <w:tcW w:w="2257" w:type="dxa"/>
          </w:tcPr>
          <w:p w14:paraId="7558DE5F" w14:textId="3C591806"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Depression, Anxiety and Stress/21-Item Depression, Anxiety, and Stress Scale (DASS-21)</w:t>
            </w:r>
          </w:p>
        </w:tc>
        <w:tc>
          <w:tcPr>
            <w:tcW w:w="2552" w:type="dxa"/>
          </w:tcPr>
          <w:p w14:paraId="6D57D539" w14:textId="0AED4158"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Each subscale (Depression, Anxiety, Stress) ranges from 0 to 21 (7 items × maximum score of 3) and total scores multiplied by 2/ 0-42</w:t>
            </w:r>
          </w:p>
        </w:tc>
        <w:tc>
          <w:tcPr>
            <w:tcW w:w="1701" w:type="dxa"/>
          </w:tcPr>
          <w:p w14:paraId="77A04E06"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 SD</w:t>
            </w:r>
          </w:p>
          <w:p w14:paraId="5BDE34BD"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Depression: </w:t>
            </w:r>
            <w:r w:rsidRPr="001833E1">
              <w:rPr>
                <w:rFonts w:ascii="Times New Roman" w:hAnsi="Times New Roman" w:cs="Times New Roman"/>
                <w:color w:val="000000"/>
                <w:sz w:val="17"/>
                <w:szCs w:val="17"/>
              </w:rPr>
              <w:t>8.17 ± 7.68</w:t>
            </w:r>
          </w:p>
          <w:p w14:paraId="769A1A89"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Anxiety: </w:t>
            </w:r>
            <w:r w:rsidRPr="001833E1">
              <w:rPr>
                <w:rFonts w:ascii="Times New Roman" w:hAnsi="Times New Roman" w:cs="Times New Roman"/>
                <w:color w:val="000000"/>
                <w:sz w:val="17"/>
                <w:szCs w:val="17"/>
              </w:rPr>
              <w:t>6.61 ± 7.79</w:t>
            </w:r>
          </w:p>
          <w:p w14:paraId="10F8FED8" w14:textId="77777777" w:rsidR="00A73353" w:rsidRPr="001833E1" w:rsidRDefault="00A73353" w:rsidP="0085241C">
            <w:pPr>
              <w:jc w:val="center"/>
              <w:rPr>
                <w:rFonts w:ascii="Times New Roman" w:hAnsi="Times New Roman" w:cs="Times New Roman"/>
                <w:b/>
                <w:bCs/>
                <w:color w:val="000000"/>
                <w:sz w:val="17"/>
                <w:szCs w:val="17"/>
              </w:rPr>
            </w:pPr>
            <w:r w:rsidRPr="001833E1">
              <w:rPr>
                <w:rFonts w:ascii="Times New Roman" w:hAnsi="Times New Roman" w:cs="Times New Roman"/>
                <w:b/>
                <w:bCs/>
                <w:color w:val="000000"/>
                <w:sz w:val="17"/>
                <w:szCs w:val="17"/>
              </w:rPr>
              <w:t xml:space="preserve">Stress: </w:t>
            </w:r>
            <w:r w:rsidRPr="001833E1">
              <w:rPr>
                <w:rFonts w:ascii="Times New Roman" w:hAnsi="Times New Roman" w:cs="Times New Roman"/>
                <w:color w:val="000000"/>
                <w:sz w:val="17"/>
                <w:szCs w:val="17"/>
              </w:rPr>
              <w:t>11.67 ± 10.57</w:t>
            </w:r>
          </w:p>
          <w:p w14:paraId="3B556EB9" w14:textId="77777777" w:rsidR="00A73353" w:rsidRPr="001833E1" w:rsidRDefault="00A73353" w:rsidP="0085241C">
            <w:pPr>
              <w:jc w:val="center"/>
              <w:rPr>
                <w:rFonts w:ascii="Times New Roman" w:hAnsi="Times New Roman" w:cs="Times New Roman"/>
                <w:b/>
                <w:bCs/>
                <w:color w:val="000000"/>
                <w:sz w:val="17"/>
                <w:szCs w:val="17"/>
              </w:rPr>
            </w:pPr>
          </w:p>
          <w:p w14:paraId="73A27D2D" w14:textId="57858945"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 </w:t>
            </w:r>
          </w:p>
        </w:tc>
        <w:tc>
          <w:tcPr>
            <w:tcW w:w="2409" w:type="dxa"/>
          </w:tcPr>
          <w:p w14:paraId="6AA240F7"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mean ± SD </w:t>
            </w:r>
          </w:p>
          <w:p w14:paraId="6DA33971" w14:textId="77777777" w:rsidR="00A73353" w:rsidRPr="001833E1" w:rsidRDefault="00A73353" w:rsidP="0085241C">
            <w:pPr>
              <w:jc w:val="center"/>
              <w:rPr>
                <w:rFonts w:ascii="Times New Roman" w:hAnsi="Times New Roman" w:cs="Times New Roman"/>
                <w:b/>
                <w:bCs/>
                <w:color w:val="000000"/>
                <w:sz w:val="17"/>
                <w:szCs w:val="17"/>
              </w:rPr>
            </w:pPr>
            <w:r w:rsidRPr="001833E1">
              <w:rPr>
                <w:rFonts w:ascii="Times New Roman" w:hAnsi="Times New Roman" w:cs="Times New Roman"/>
                <w:b/>
                <w:bCs/>
                <w:color w:val="000000"/>
                <w:sz w:val="17"/>
                <w:szCs w:val="17"/>
              </w:rPr>
              <w:t>T1: N=43,  T2: N=42 T3: N=38,</w:t>
            </w:r>
          </w:p>
          <w:p w14:paraId="29DF8B9A" w14:textId="77777777" w:rsidR="00A73353" w:rsidRPr="001833E1" w:rsidRDefault="00A73353" w:rsidP="0085241C">
            <w:pPr>
              <w:rPr>
                <w:rFonts w:ascii="Times New Roman" w:hAnsi="Times New Roman" w:cs="Times New Roman"/>
                <w:b/>
                <w:bCs/>
                <w:color w:val="000000"/>
                <w:sz w:val="17"/>
                <w:szCs w:val="17"/>
              </w:rPr>
            </w:pPr>
            <w:r w:rsidRPr="001833E1">
              <w:rPr>
                <w:rFonts w:ascii="Times New Roman" w:hAnsi="Times New Roman" w:cs="Times New Roman"/>
                <w:b/>
                <w:bCs/>
                <w:color w:val="000000"/>
                <w:sz w:val="17"/>
                <w:szCs w:val="17"/>
              </w:rPr>
              <w:t xml:space="preserve">Depression- T1: </w:t>
            </w:r>
            <w:r w:rsidRPr="001833E1">
              <w:rPr>
                <w:rFonts w:ascii="Times New Roman" w:hAnsi="Times New Roman" w:cs="Times New Roman"/>
                <w:color w:val="000000"/>
                <w:sz w:val="17"/>
                <w:szCs w:val="17"/>
              </w:rPr>
              <w:t>6.06 ± 6.18</w:t>
            </w:r>
          </w:p>
          <w:p w14:paraId="7FFB6DFB"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4</w:t>
            </w:r>
            <w:r w:rsidRPr="001833E1">
              <w:rPr>
                <w:rFonts w:ascii="Times New Roman" w:hAnsi="Times New Roman" w:cs="Times New Roman"/>
                <w:b/>
                <w:bCs/>
                <w:color w:val="000000"/>
                <w:sz w:val="17"/>
                <w:szCs w:val="17"/>
              </w:rPr>
              <w:t>.</w:t>
            </w:r>
            <w:r w:rsidRPr="001833E1">
              <w:rPr>
                <w:rFonts w:ascii="Times New Roman" w:hAnsi="Times New Roman" w:cs="Times New Roman"/>
                <w:color w:val="000000"/>
                <w:sz w:val="17"/>
                <w:szCs w:val="17"/>
              </w:rPr>
              <w:t>61 ± 5.29</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4.39 ± 6.41</w:t>
            </w:r>
          </w:p>
          <w:p w14:paraId="6BB72A9F"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Anxiety- T1: </w:t>
            </w:r>
            <w:r w:rsidRPr="001833E1">
              <w:rPr>
                <w:rFonts w:ascii="Times New Roman" w:hAnsi="Times New Roman" w:cs="Times New Roman"/>
                <w:color w:val="000000"/>
                <w:sz w:val="17"/>
                <w:szCs w:val="17"/>
              </w:rPr>
              <w:t>3.89 ± 5.01</w:t>
            </w:r>
          </w:p>
          <w:p w14:paraId="6CEAFA17"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3.33 ± 5.19,</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4.50 ± 5.90</w:t>
            </w:r>
          </w:p>
          <w:p w14:paraId="0D892697"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Stress- T1: </w:t>
            </w:r>
            <w:r w:rsidRPr="001833E1">
              <w:rPr>
                <w:rFonts w:ascii="Times New Roman" w:hAnsi="Times New Roman" w:cs="Times New Roman"/>
                <w:color w:val="000000"/>
                <w:sz w:val="17"/>
                <w:szCs w:val="17"/>
              </w:rPr>
              <w:t xml:space="preserve">8.11 ± 8.4 </w:t>
            </w:r>
          </w:p>
          <w:p w14:paraId="79362EBE" w14:textId="619A276D"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6.67 ± 8.55,</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5.78 ± 7.00</w:t>
            </w:r>
          </w:p>
        </w:tc>
        <w:tc>
          <w:tcPr>
            <w:tcW w:w="1418" w:type="dxa"/>
          </w:tcPr>
          <w:p w14:paraId="51569D1F"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 SD</w:t>
            </w:r>
          </w:p>
          <w:p w14:paraId="02D69E0F"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Depression: </w:t>
            </w:r>
            <w:r w:rsidRPr="001833E1">
              <w:rPr>
                <w:rFonts w:ascii="Times New Roman" w:hAnsi="Times New Roman" w:cs="Times New Roman"/>
                <w:color w:val="000000"/>
                <w:sz w:val="17"/>
                <w:szCs w:val="17"/>
              </w:rPr>
              <w:t>8.30 ± 8.61</w:t>
            </w:r>
          </w:p>
          <w:p w14:paraId="7E7A5939"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color w:val="000000"/>
                <w:sz w:val="17"/>
                <w:szCs w:val="17"/>
              </w:rPr>
              <w:t xml:space="preserve">Anxiety: </w:t>
            </w:r>
            <w:r w:rsidRPr="001833E1">
              <w:rPr>
                <w:rFonts w:ascii="Times New Roman" w:hAnsi="Times New Roman" w:cs="Times New Roman"/>
                <w:sz w:val="17"/>
                <w:szCs w:val="17"/>
              </w:rPr>
              <w:t>6.00 ± 7.19</w:t>
            </w:r>
          </w:p>
          <w:p w14:paraId="36BDCD41" w14:textId="77777777" w:rsidR="00A73353" w:rsidRPr="001833E1" w:rsidRDefault="00A73353" w:rsidP="0085241C">
            <w:pPr>
              <w:jc w:val="center"/>
              <w:rPr>
                <w:rFonts w:ascii="Times New Roman" w:hAnsi="Times New Roman" w:cs="Times New Roman"/>
                <w:b/>
                <w:bCs/>
                <w:color w:val="000000"/>
                <w:sz w:val="17"/>
                <w:szCs w:val="17"/>
              </w:rPr>
            </w:pPr>
            <w:r w:rsidRPr="001833E1">
              <w:rPr>
                <w:rFonts w:ascii="Times New Roman" w:hAnsi="Times New Roman" w:cs="Times New Roman"/>
                <w:b/>
                <w:bCs/>
                <w:color w:val="000000"/>
                <w:sz w:val="17"/>
                <w:szCs w:val="17"/>
              </w:rPr>
              <w:t xml:space="preserve">Stress: </w:t>
            </w:r>
            <w:r w:rsidRPr="001833E1">
              <w:rPr>
                <w:rFonts w:ascii="Times New Roman" w:hAnsi="Times New Roman" w:cs="Times New Roman"/>
                <w:color w:val="000000"/>
                <w:sz w:val="17"/>
                <w:szCs w:val="17"/>
              </w:rPr>
              <w:t>10.90 ± 9.36</w:t>
            </w:r>
          </w:p>
          <w:p w14:paraId="158A9C1F" w14:textId="5451632D" w:rsidR="00A73353" w:rsidRPr="001833E1" w:rsidRDefault="00A73353" w:rsidP="0085241C">
            <w:pPr>
              <w:jc w:val="center"/>
              <w:rPr>
                <w:rFonts w:ascii="Times New Roman" w:hAnsi="Times New Roman" w:cs="Times New Roman"/>
                <w:sz w:val="17"/>
                <w:szCs w:val="17"/>
              </w:rPr>
            </w:pPr>
          </w:p>
        </w:tc>
        <w:tc>
          <w:tcPr>
            <w:tcW w:w="2835" w:type="dxa"/>
          </w:tcPr>
          <w:p w14:paraId="5C07B935"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mean ± SD </w:t>
            </w:r>
          </w:p>
          <w:p w14:paraId="2F5906FD" w14:textId="77777777" w:rsidR="00A73353" w:rsidRPr="001833E1" w:rsidRDefault="00A73353" w:rsidP="0085241C">
            <w:pPr>
              <w:jc w:val="center"/>
              <w:rPr>
                <w:rFonts w:ascii="Times New Roman" w:hAnsi="Times New Roman" w:cs="Times New Roman"/>
                <w:b/>
                <w:bCs/>
                <w:color w:val="000000"/>
                <w:sz w:val="17"/>
                <w:szCs w:val="17"/>
              </w:rPr>
            </w:pPr>
            <w:r w:rsidRPr="001833E1">
              <w:rPr>
                <w:rFonts w:ascii="Times New Roman" w:hAnsi="Times New Roman" w:cs="Times New Roman"/>
                <w:b/>
                <w:bCs/>
                <w:color w:val="000000"/>
                <w:sz w:val="17"/>
                <w:szCs w:val="17"/>
              </w:rPr>
              <w:t>T1: N=46, T2: N=46, T3: N=42</w:t>
            </w:r>
          </w:p>
          <w:p w14:paraId="056DDE7F" w14:textId="77777777" w:rsidR="00A73353" w:rsidRPr="001833E1" w:rsidRDefault="00A73353" w:rsidP="0085241C">
            <w:pPr>
              <w:rPr>
                <w:rFonts w:ascii="Times New Roman" w:hAnsi="Times New Roman" w:cs="Times New Roman"/>
                <w:b/>
                <w:bCs/>
                <w:color w:val="000000"/>
                <w:sz w:val="17"/>
                <w:szCs w:val="17"/>
              </w:rPr>
            </w:pPr>
            <w:r w:rsidRPr="001833E1">
              <w:rPr>
                <w:rFonts w:ascii="Times New Roman" w:hAnsi="Times New Roman" w:cs="Times New Roman"/>
                <w:b/>
                <w:bCs/>
                <w:color w:val="000000"/>
                <w:sz w:val="17"/>
                <w:szCs w:val="17"/>
              </w:rPr>
              <w:t xml:space="preserve">Depression- T1: </w:t>
            </w:r>
            <w:r w:rsidRPr="001833E1">
              <w:rPr>
                <w:rFonts w:ascii="Times New Roman" w:hAnsi="Times New Roman" w:cs="Times New Roman"/>
                <w:color w:val="000000"/>
                <w:sz w:val="17"/>
                <w:szCs w:val="17"/>
              </w:rPr>
              <w:t>5.90 ± 7.30</w:t>
            </w:r>
            <w:r w:rsidRPr="001833E1">
              <w:rPr>
                <w:rFonts w:ascii="Times New Roman" w:hAnsi="Times New Roman" w:cs="Times New Roman"/>
                <w:b/>
                <w:bCs/>
                <w:color w:val="000000"/>
                <w:sz w:val="17"/>
                <w:szCs w:val="17"/>
              </w:rPr>
              <w:t xml:space="preserve">, </w:t>
            </w:r>
          </w:p>
          <w:p w14:paraId="62FD65A8"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7</w:t>
            </w:r>
            <w:r w:rsidRPr="001833E1">
              <w:rPr>
                <w:rFonts w:ascii="Times New Roman" w:hAnsi="Times New Roman" w:cs="Times New Roman"/>
                <w:b/>
                <w:bCs/>
                <w:color w:val="000000"/>
                <w:sz w:val="17"/>
                <w:szCs w:val="17"/>
              </w:rPr>
              <w:t>.</w:t>
            </w:r>
            <w:r w:rsidRPr="001833E1">
              <w:rPr>
                <w:rFonts w:ascii="Times New Roman" w:hAnsi="Times New Roman" w:cs="Times New Roman"/>
                <w:color w:val="000000"/>
                <w:sz w:val="17"/>
                <w:szCs w:val="17"/>
              </w:rPr>
              <w:t>50 ± 11.78</w:t>
            </w:r>
            <w:r w:rsidRPr="001833E1">
              <w:rPr>
                <w:rFonts w:ascii="Times New Roman" w:hAnsi="Times New Roman" w:cs="Times New Roman"/>
                <w:b/>
                <w:bCs/>
                <w:color w:val="000000"/>
                <w:sz w:val="17"/>
                <w:szCs w:val="17"/>
              </w:rPr>
              <w:t>,  T3</w:t>
            </w:r>
            <w:r w:rsidRPr="001833E1">
              <w:rPr>
                <w:rFonts w:ascii="Times New Roman" w:hAnsi="Times New Roman" w:cs="Times New Roman"/>
                <w:color w:val="000000"/>
                <w:sz w:val="17"/>
                <w:szCs w:val="17"/>
              </w:rPr>
              <w:t>: 8.60 ± 10.18</w:t>
            </w:r>
          </w:p>
          <w:p w14:paraId="2E31CEBA" w14:textId="77777777" w:rsidR="00A73353" w:rsidRPr="001833E1" w:rsidRDefault="00A73353" w:rsidP="0085241C">
            <w:pPr>
              <w:rPr>
                <w:rFonts w:ascii="Times New Roman" w:hAnsi="Times New Roman" w:cs="Times New Roman"/>
                <w:b/>
                <w:bCs/>
                <w:color w:val="000000"/>
                <w:sz w:val="17"/>
                <w:szCs w:val="17"/>
              </w:rPr>
            </w:pPr>
            <w:r w:rsidRPr="001833E1">
              <w:rPr>
                <w:rFonts w:ascii="Times New Roman" w:hAnsi="Times New Roman" w:cs="Times New Roman"/>
                <w:b/>
                <w:bCs/>
                <w:color w:val="000000"/>
                <w:sz w:val="17"/>
                <w:szCs w:val="17"/>
              </w:rPr>
              <w:t>Anxiety- T1: 4.</w:t>
            </w:r>
            <w:r w:rsidRPr="001833E1">
              <w:rPr>
                <w:rFonts w:ascii="Times New Roman" w:hAnsi="Times New Roman" w:cs="Times New Roman"/>
                <w:color w:val="000000"/>
                <w:sz w:val="17"/>
                <w:szCs w:val="17"/>
              </w:rPr>
              <w:t>25 ± 5.55</w:t>
            </w:r>
            <w:r w:rsidRPr="001833E1">
              <w:rPr>
                <w:rFonts w:ascii="Times New Roman" w:hAnsi="Times New Roman" w:cs="Times New Roman"/>
                <w:b/>
                <w:bCs/>
                <w:color w:val="000000"/>
                <w:sz w:val="17"/>
                <w:szCs w:val="17"/>
              </w:rPr>
              <w:t xml:space="preserve">, </w:t>
            </w:r>
          </w:p>
          <w:p w14:paraId="47D4703D"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4.90 ± 8.07</w:t>
            </w:r>
            <w:r w:rsidRPr="001833E1">
              <w:rPr>
                <w:rFonts w:ascii="Times New Roman" w:hAnsi="Times New Roman" w:cs="Times New Roman"/>
                <w:b/>
                <w:bCs/>
                <w:color w:val="000000"/>
                <w:sz w:val="17"/>
                <w:szCs w:val="17"/>
              </w:rPr>
              <w:t>,  T3</w:t>
            </w:r>
            <w:r w:rsidRPr="001833E1">
              <w:rPr>
                <w:rFonts w:ascii="Times New Roman" w:hAnsi="Times New Roman" w:cs="Times New Roman"/>
                <w:color w:val="000000"/>
                <w:sz w:val="17"/>
                <w:szCs w:val="17"/>
              </w:rPr>
              <w:t>: 6.20 ± 11.20</w:t>
            </w:r>
          </w:p>
          <w:p w14:paraId="3BE2B69E"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Stress- T1: </w:t>
            </w:r>
            <w:r w:rsidRPr="001833E1">
              <w:rPr>
                <w:rFonts w:ascii="Times New Roman" w:hAnsi="Times New Roman" w:cs="Times New Roman"/>
                <w:color w:val="000000"/>
                <w:sz w:val="17"/>
                <w:szCs w:val="17"/>
              </w:rPr>
              <w:t>6.30 ± 7.89</w:t>
            </w:r>
          </w:p>
          <w:p w14:paraId="62D27CBF" w14:textId="038498CE"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7.20 ± 9.33,</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8.35 ± 11.93</w:t>
            </w:r>
          </w:p>
        </w:tc>
        <w:tc>
          <w:tcPr>
            <w:tcW w:w="1701" w:type="dxa"/>
          </w:tcPr>
          <w:p w14:paraId="7ED2A8EA"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color w:val="000000"/>
                <w:sz w:val="17"/>
                <w:szCs w:val="17"/>
              </w:rPr>
              <w:t>Depression</w:t>
            </w:r>
            <w:r w:rsidRPr="001833E1">
              <w:rPr>
                <w:rFonts w:ascii="Times New Roman" w:hAnsi="Times New Roman" w:cs="Times New Roman"/>
                <w:sz w:val="17"/>
                <w:szCs w:val="17"/>
              </w:rPr>
              <w:t>: F-stat= 2.874, p-value=0.046</w:t>
            </w:r>
          </w:p>
          <w:p w14:paraId="72A71C21"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color w:val="000000"/>
                <w:sz w:val="17"/>
                <w:szCs w:val="17"/>
              </w:rPr>
              <w:t>Anxiety</w:t>
            </w:r>
            <w:r w:rsidRPr="001833E1">
              <w:rPr>
                <w:rFonts w:ascii="Times New Roman" w:hAnsi="Times New Roman" w:cs="Times New Roman"/>
                <w:sz w:val="17"/>
                <w:szCs w:val="17"/>
              </w:rPr>
              <w:t>: F-stat= 1.453, p-value=0.235</w:t>
            </w:r>
          </w:p>
          <w:p w14:paraId="38DABC86" w14:textId="0FEF1966"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color w:val="000000"/>
                <w:sz w:val="17"/>
                <w:szCs w:val="17"/>
              </w:rPr>
              <w:t>Stress</w:t>
            </w:r>
            <w:r w:rsidRPr="001833E1">
              <w:rPr>
                <w:rFonts w:ascii="Times New Roman" w:hAnsi="Times New Roman" w:cs="Times New Roman"/>
                <w:sz w:val="17"/>
                <w:szCs w:val="17"/>
              </w:rPr>
              <w:t>: F-stat= 1.995, p-value=0.123</w:t>
            </w:r>
          </w:p>
        </w:tc>
      </w:tr>
      <w:tr w:rsidR="00A73353" w14:paraId="7D6CAA55" w14:textId="77777777" w:rsidTr="00A73353">
        <w:trPr>
          <w:jc w:val="center"/>
        </w:trPr>
        <w:tc>
          <w:tcPr>
            <w:tcW w:w="1282" w:type="dxa"/>
            <w:vMerge/>
          </w:tcPr>
          <w:p w14:paraId="0E45C849" w14:textId="77777777" w:rsidR="00A73353" w:rsidRPr="001833E1" w:rsidRDefault="00A73353" w:rsidP="0085241C">
            <w:pPr>
              <w:jc w:val="center"/>
              <w:rPr>
                <w:rFonts w:ascii="Times New Roman" w:hAnsi="Times New Roman" w:cs="Times New Roman"/>
                <w:sz w:val="17"/>
                <w:szCs w:val="17"/>
              </w:rPr>
            </w:pPr>
          </w:p>
        </w:tc>
        <w:tc>
          <w:tcPr>
            <w:tcW w:w="2257" w:type="dxa"/>
          </w:tcPr>
          <w:p w14:paraId="26216267" w14:textId="4CCF7843"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Burnout and Secondary traumatic stress (STS) /</w:t>
            </w:r>
            <w:r w:rsidRPr="001833E1">
              <w:rPr>
                <w:rFonts w:ascii="Times New Roman" w:hAnsi="Times New Roman" w:cs="Times New Roman"/>
                <w:sz w:val="17"/>
                <w:szCs w:val="17"/>
              </w:rPr>
              <w:t xml:space="preserve"> </w:t>
            </w:r>
            <w:r w:rsidRPr="001833E1">
              <w:rPr>
                <w:rFonts w:ascii="Times New Roman" w:hAnsi="Times New Roman" w:cs="Times New Roman"/>
                <w:color w:val="000000"/>
                <w:sz w:val="17"/>
                <w:szCs w:val="17"/>
              </w:rPr>
              <w:t>Professional Quality of Life (ProQOL)</w:t>
            </w:r>
          </w:p>
        </w:tc>
        <w:tc>
          <w:tcPr>
            <w:tcW w:w="2552" w:type="dxa"/>
          </w:tcPr>
          <w:p w14:paraId="69C8C0A3" w14:textId="4E458612"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30 items including five subscales with a Likert range 1-5 and taking the total sum of scores /10-50</w:t>
            </w:r>
          </w:p>
        </w:tc>
        <w:tc>
          <w:tcPr>
            <w:tcW w:w="1701" w:type="dxa"/>
          </w:tcPr>
          <w:p w14:paraId="5C35314F"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 SD</w:t>
            </w:r>
          </w:p>
          <w:p w14:paraId="7FB19C8E"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Burnout: </w:t>
            </w:r>
            <w:r w:rsidRPr="001833E1">
              <w:rPr>
                <w:rFonts w:ascii="Times New Roman" w:hAnsi="Times New Roman" w:cs="Times New Roman"/>
                <w:color w:val="000000"/>
                <w:sz w:val="17"/>
                <w:szCs w:val="17"/>
              </w:rPr>
              <w:t>25.55 ± 6.06</w:t>
            </w:r>
          </w:p>
          <w:p w14:paraId="5BCFF343"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STS: </w:t>
            </w:r>
            <w:r w:rsidRPr="001833E1">
              <w:rPr>
                <w:rFonts w:ascii="Times New Roman" w:hAnsi="Times New Roman" w:cs="Times New Roman"/>
                <w:color w:val="000000"/>
                <w:sz w:val="17"/>
                <w:szCs w:val="17"/>
              </w:rPr>
              <w:t>25.74 ± 5.86</w:t>
            </w:r>
          </w:p>
          <w:p w14:paraId="09819C36" w14:textId="77777777" w:rsidR="00A73353" w:rsidRPr="001833E1" w:rsidRDefault="00A73353" w:rsidP="0085241C">
            <w:pPr>
              <w:jc w:val="center"/>
              <w:rPr>
                <w:rFonts w:ascii="Times New Roman" w:hAnsi="Times New Roman" w:cs="Times New Roman"/>
                <w:b/>
                <w:bCs/>
                <w:sz w:val="17"/>
                <w:szCs w:val="17"/>
              </w:rPr>
            </w:pPr>
          </w:p>
        </w:tc>
        <w:tc>
          <w:tcPr>
            <w:tcW w:w="2409" w:type="dxa"/>
          </w:tcPr>
          <w:p w14:paraId="53B43EF6"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mean ± SD </w:t>
            </w:r>
          </w:p>
          <w:p w14:paraId="44E0333E"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Burnout- T1: </w:t>
            </w:r>
            <w:r w:rsidRPr="001833E1">
              <w:rPr>
                <w:rFonts w:ascii="Times New Roman" w:hAnsi="Times New Roman" w:cs="Times New Roman"/>
                <w:color w:val="000000"/>
                <w:sz w:val="17"/>
                <w:szCs w:val="17"/>
              </w:rPr>
              <w:t xml:space="preserve">23.61 ± 5.34 </w:t>
            </w: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22.57 ± 5.69,</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22.67 ± 5.17</w:t>
            </w:r>
          </w:p>
          <w:p w14:paraId="681A9D20"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STS- T1: </w:t>
            </w:r>
            <w:r w:rsidRPr="001833E1">
              <w:rPr>
                <w:rFonts w:ascii="Times New Roman" w:hAnsi="Times New Roman" w:cs="Times New Roman"/>
                <w:color w:val="000000"/>
                <w:sz w:val="17"/>
                <w:szCs w:val="17"/>
              </w:rPr>
              <w:t xml:space="preserve">24.00 ± 5.67 </w:t>
            </w: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23.59 ± 5.38,</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25.65 ± 5.41</w:t>
            </w:r>
          </w:p>
          <w:p w14:paraId="4C527E36" w14:textId="77777777" w:rsidR="00A73353" w:rsidRPr="001833E1" w:rsidRDefault="00A73353" w:rsidP="0085241C">
            <w:pPr>
              <w:jc w:val="center"/>
              <w:rPr>
                <w:rFonts w:ascii="Times New Roman" w:hAnsi="Times New Roman" w:cs="Times New Roman"/>
                <w:b/>
                <w:bCs/>
                <w:sz w:val="17"/>
                <w:szCs w:val="17"/>
              </w:rPr>
            </w:pPr>
          </w:p>
        </w:tc>
        <w:tc>
          <w:tcPr>
            <w:tcW w:w="1418" w:type="dxa"/>
          </w:tcPr>
          <w:p w14:paraId="600AB907"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mean ± SD </w:t>
            </w:r>
          </w:p>
          <w:p w14:paraId="16692AAC"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Burnout: </w:t>
            </w:r>
            <w:r w:rsidRPr="001833E1">
              <w:rPr>
                <w:rFonts w:ascii="Times New Roman" w:hAnsi="Times New Roman" w:cs="Times New Roman"/>
                <w:color w:val="000000"/>
                <w:sz w:val="17"/>
                <w:szCs w:val="17"/>
              </w:rPr>
              <w:t>8.17 ± 7.68</w:t>
            </w:r>
          </w:p>
          <w:p w14:paraId="5B96B5E4"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STS: </w:t>
            </w:r>
            <w:r w:rsidRPr="001833E1">
              <w:rPr>
                <w:rFonts w:ascii="Times New Roman" w:hAnsi="Times New Roman" w:cs="Times New Roman"/>
                <w:color w:val="000000"/>
                <w:sz w:val="17"/>
                <w:szCs w:val="17"/>
              </w:rPr>
              <w:t>6.61 ± 7.79</w:t>
            </w:r>
          </w:p>
          <w:p w14:paraId="638A1254" w14:textId="77777777" w:rsidR="00A73353" w:rsidRPr="001833E1" w:rsidRDefault="00A73353" w:rsidP="0085241C">
            <w:pPr>
              <w:jc w:val="center"/>
              <w:rPr>
                <w:rFonts w:ascii="Times New Roman" w:hAnsi="Times New Roman" w:cs="Times New Roman"/>
                <w:b/>
                <w:bCs/>
                <w:sz w:val="17"/>
                <w:szCs w:val="17"/>
              </w:rPr>
            </w:pPr>
          </w:p>
        </w:tc>
        <w:tc>
          <w:tcPr>
            <w:tcW w:w="2835" w:type="dxa"/>
          </w:tcPr>
          <w:p w14:paraId="3FCCC884"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mean ± SD </w:t>
            </w:r>
          </w:p>
          <w:p w14:paraId="2E353DE1"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Burnout- T1: </w:t>
            </w:r>
            <w:r w:rsidRPr="001833E1">
              <w:rPr>
                <w:rFonts w:ascii="Times New Roman" w:hAnsi="Times New Roman" w:cs="Times New Roman"/>
                <w:color w:val="000000"/>
                <w:sz w:val="17"/>
                <w:szCs w:val="17"/>
              </w:rPr>
              <w:t>23.66 ± 5.08</w:t>
            </w:r>
          </w:p>
          <w:p w14:paraId="4B93B6FB"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23.06 ± 5.22,</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23.51 ± 5.47</w:t>
            </w:r>
          </w:p>
          <w:p w14:paraId="7CDF97A4"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STS- T1: </w:t>
            </w:r>
            <w:r w:rsidRPr="001833E1">
              <w:rPr>
                <w:rFonts w:ascii="Times New Roman" w:hAnsi="Times New Roman" w:cs="Times New Roman"/>
                <w:color w:val="000000"/>
                <w:sz w:val="17"/>
                <w:szCs w:val="17"/>
              </w:rPr>
              <w:t>24.31 ± 6.57</w:t>
            </w:r>
          </w:p>
          <w:p w14:paraId="28C97454" w14:textId="77777777" w:rsidR="00A73353" w:rsidRPr="001833E1" w:rsidRDefault="00A73353" w:rsidP="0085241C">
            <w:pPr>
              <w:rPr>
                <w:rFonts w:ascii="Times New Roman" w:hAnsi="Times New Roman" w:cs="Times New Roman"/>
                <w:color w:val="000000"/>
                <w:sz w:val="17"/>
                <w:szCs w:val="17"/>
              </w:rPr>
            </w:pPr>
            <w:r w:rsidRPr="001833E1">
              <w:rPr>
                <w:rFonts w:ascii="Times New Roman" w:hAnsi="Times New Roman" w:cs="Times New Roman"/>
                <w:b/>
                <w:bCs/>
                <w:color w:val="000000"/>
                <w:sz w:val="17"/>
                <w:szCs w:val="17"/>
              </w:rPr>
              <w:t xml:space="preserve">T2: </w:t>
            </w:r>
            <w:r w:rsidRPr="001833E1">
              <w:rPr>
                <w:rFonts w:ascii="Times New Roman" w:hAnsi="Times New Roman" w:cs="Times New Roman"/>
                <w:color w:val="000000"/>
                <w:sz w:val="17"/>
                <w:szCs w:val="17"/>
              </w:rPr>
              <w:t>24.19 ± 5.97,</w:t>
            </w:r>
            <w:r w:rsidRPr="001833E1">
              <w:rPr>
                <w:rFonts w:ascii="Times New Roman" w:hAnsi="Times New Roman" w:cs="Times New Roman"/>
                <w:b/>
                <w:bCs/>
                <w:color w:val="000000"/>
                <w:sz w:val="17"/>
                <w:szCs w:val="17"/>
              </w:rPr>
              <w:t xml:space="preserve"> T3: </w:t>
            </w:r>
            <w:r w:rsidRPr="001833E1">
              <w:rPr>
                <w:rFonts w:ascii="Times New Roman" w:hAnsi="Times New Roman" w:cs="Times New Roman"/>
                <w:color w:val="000000"/>
                <w:sz w:val="17"/>
                <w:szCs w:val="17"/>
              </w:rPr>
              <w:t>25.08 ± 5.11</w:t>
            </w:r>
          </w:p>
          <w:p w14:paraId="42EE1255" w14:textId="77777777" w:rsidR="00A73353" w:rsidRPr="001833E1" w:rsidRDefault="00A73353" w:rsidP="0085241C">
            <w:pPr>
              <w:jc w:val="center"/>
              <w:rPr>
                <w:rFonts w:ascii="Times New Roman" w:hAnsi="Times New Roman" w:cs="Times New Roman"/>
                <w:b/>
                <w:bCs/>
                <w:sz w:val="17"/>
                <w:szCs w:val="17"/>
              </w:rPr>
            </w:pPr>
          </w:p>
        </w:tc>
        <w:tc>
          <w:tcPr>
            <w:tcW w:w="1701" w:type="dxa"/>
          </w:tcPr>
          <w:p w14:paraId="538076D5"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color w:val="000000"/>
                <w:sz w:val="17"/>
                <w:szCs w:val="17"/>
              </w:rPr>
              <w:t>Burnout</w:t>
            </w:r>
            <w:r w:rsidRPr="001833E1">
              <w:rPr>
                <w:rFonts w:ascii="Times New Roman" w:hAnsi="Times New Roman" w:cs="Times New Roman"/>
                <w:sz w:val="17"/>
                <w:szCs w:val="17"/>
              </w:rPr>
              <w:t>: F-stat= 3.729, p-value=0.018</w:t>
            </w:r>
          </w:p>
          <w:p w14:paraId="025BABB0"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color w:val="000000"/>
                <w:sz w:val="17"/>
                <w:szCs w:val="17"/>
              </w:rPr>
              <w:t>STS</w:t>
            </w:r>
            <w:r w:rsidRPr="001833E1">
              <w:rPr>
                <w:rFonts w:ascii="Times New Roman" w:hAnsi="Times New Roman" w:cs="Times New Roman"/>
                <w:sz w:val="17"/>
                <w:szCs w:val="17"/>
              </w:rPr>
              <w:t>: F-stat= 2.282, p-value=0.080</w:t>
            </w:r>
          </w:p>
          <w:p w14:paraId="42421D59" w14:textId="77777777" w:rsidR="00A73353" w:rsidRPr="001833E1" w:rsidRDefault="00A73353" w:rsidP="0085241C">
            <w:pPr>
              <w:jc w:val="center"/>
              <w:rPr>
                <w:rFonts w:ascii="Times New Roman" w:hAnsi="Times New Roman" w:cs="Times New Roman"/>
                <w:b/>
                <w:bCs/>
                <w:color w:val="000000"/>
                <w:sz w:val="17"/>
                <w:szCs w:val="17"/>
              </w:rPr>
            </w:pPr>
          </w:p>
        </w:tc>
      </w:tr>
    </w:tbl>
    <w:p w14:paraId="75C22C4F" w14:textId="77777777" w:rsidR="00A73353" w:rsidRPr="00DF2D81" w:rsidRDefault="00A73353" w:rsidP="00A73353">
      <w:pPr>
        <w:spacing w:after="0" w:line="240" w:lineRule="auto"/>
        <w:rPr>
          <w:rFonts w:ascii="Times New Roman" w:hAnsi="Times New Roman" w:cs="Times New Roman"/>
          <w:sz w:val="22"/>
          <w:szCs w:val="22"/>
        </w:rPr>
      </w:pPr>
      <w:r w:rsidRPr="00AC3E2C">
        <w:rPr>
          <w:rFonts w:ascii="Times New Roman" w:hAnsi="Times New Roman" w:cs="Times New Roman"/>
          <w:b/>
          <w:bCs/>
          <w:sz w:val="22"/>
          <w:szCs w:val="22"/>
        </w:rPr>
        <w:lastRenderedPageBreak/>
        <w:t>Table C3</w:t>
      </w:r>
      <w:r>
        <w:rPr>
          <w:rFonts w:ascii="Times New Roman" w:hAnsi="Times New Roman" w:cs="Times New Roman"/>
          <w:b/>
          <w:bCs/>
          <w:sz w:val="22"/>
          <w:szCs w:val="22"/>
        </w:rPr>
        <w:t xml:space="preserve"> (Cont</w:t>
      </w:r>
      <w:r w:rsidRPr="00AC3E2C">
        <w:rPr>
          <w:rFonts w:ascii="Times New Roman" w:hAnsi="Times New Roman" w:cs="Times New Roman"/>
          <w:b/>
          <w:bCs/>
          <w:sz w:val="22"/>
          <w:szCs w:val="22"/>
        </w:rPr>
        <w:t>.</w:t>
      </w:r>
      <w:r>
        <w:rPr>
          <w:rFonts w:ascii="Times New Roman" w:hAnsi="Times New Roman" w:cs="Times New Roman"/>
          <w:b/>
          <w:bCs/>
          <w:sz w:val="22"/>
          <w:szCs w:val="22"/>
        </w:rPr>
        <w:t>)</w:t>
      </w:r>
      <w:r w:rsidRPr="00AC3E2C">
        <w:rPr>
          <w:rFonts w:ascii="Times New Roman" w:hAnsi="Times New Roman" w:cs="Times New Roman"/>
          <w:sz w:val="22"/>
          <w:szCs w:val="22"/>
        </w:rPr>
        <w:t xml:space="preserve"> Detailed Results of the effectiveness of health promotion interventions</w:t>
      </w:r>
    </w:p>
    <w:tbl>
      <w:tblPr>
        <w:tblStyle w:val="TableGrid"/>
        <w:tblW w:w="16166" w:type="dxa"/>
        <w:jc w:val="center"/>
        <w:tblLayout w:type="fixed"/>
        <w:tblLook w:val="04A0" w:firstRow="1" w:lastRow="0" w:firstColumn="1" w:lastColumn="0" w:noHBand="0" w:noVBand="1"/>
      </w:tblPr>
      <w:tblGrid>
        <w:gridCol w:w="1271"/>
        <w:gridCol w:w="2126"/>
        <w:gridCol w:w="3124"/>
        <w:gridCol w:w="1860"/>
        <w:gridCol w:w="1984"/>
        <w:gridCol w:w="1418"/>
        <w:gridCol w:w="1395"/>
        <w:gridCol w:w="2988"/>
      </w:tblGrid>
      <w:tr w:rsidR="00A73353" w14:paraId="50B7CE07" w14:textId="77777777" w:rsidTr="0085241C">
        <w:trPr>
          <w:trHeight w:val="165"/>
          <w:jc w:val="center"/>
        </w:trPr>
        <w:tc>
          <w:tcPr>
            <w:tcW w:w="1271" w:type="dxa"/>
          </w:tcPr>
          <w:p w14:paraId="19A7FD84" w14:textId="2D2FA4EB"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Study/Sector</w:t>
            </w:r>
          </w:p>
        </w:tc>
        <w:tc>
          <w:tcPr>
            <w:tcW w:w="2126" w:type="dxa"/>
          </w:tcPr>
          <w:p w14:paraId="5CB574C3"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Outcome/Measurement</w:t>
            </w:r>
          </w:p>
        </w:tc>
        <w:tc>
          <w:tcPr>
            <w:tcW w:w="3124" w:type="dxa"/>
          </w:tcPr>
          <w:p w14:paraId="384D4571"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Scale/Range</w:t>
            </w:r>
          </w:p>
        </w:tc>
        <w:tc>
          <w:tcPr>
            <w:tcW w:w="1860" w:type="dxa"/>
          </w:tcPr>
          <w:p w14:paraId="19D46DF4" w14:textId="3BFB506B"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Pre-intervention Intervention Group</w:t>
            </w:r>
          </w:p>
        </w:tc>
        <w:tc>
          <w:tcPr>
            <w:tcW w:w="1984" w:type="dxa"/>
          </w:tcPr>
          <w:p w14:paraId="058AF4F3" w14:textId="75FE733A"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Post-intervention  Intervention Group</w:t>
            </w:r>
          </w:p>
        </w:tc>
        <w:tc>
          <w:tcPr>
            <w:tcW w:w="1418" w:type="dxa"/>
          </w:tcPr>
          <w:p w14:paraId="3FF4D8A9" w14:textId="57F81AFD"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Pre-intervention  Control Group</w:t>
            </w:r>
          </w:p>
        </w:tc>
        <w:tc>
          <w:tcPr>
            <w:tcW w:w="1395" w:type="dxa"/>
          </w:tcPr>
          <w:p w14:paraId="2F289DAB" w14:textId="39413E2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Post-intervention Control Group</w:t>
            </w:r>
          </w:p>
        </w:tc>
        <w:tc>
          <w:tcPr>
            <w:tcW w:w="2988" w:type="dxa"/>
          </w:tcPr>
          <w:p w14:paraId="44356D88"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Measure of effect </w:t>
            </w:r>
          </w:p>
        </w:tc>
      </w:tr>
      <w:tr w:rsidR="00A73353" w14:paraId="0B8ECA32" w14:textId="77777777" w:rsidTr="0085241C">
        <w:trPr>
          <w:jc w:val="center"/>
        </w:trPr>
        <w:tc>
          <w:tcPr>
            <w:tcW w:w="1271" w:type="dxa"/>
            <w:vMerge w:val="restart"/>
          </w:tcPr>
          <w:p w14:paraId="27ACF54C" w14:textId="77777777" w:rsidR="00A73353" w:rsidRPr="001833E1" w:rsidRDefault="00A73353" w:rsidP="0085241C">
            <w:pPr>
              <w:jc w:val="center"/>
              <w:rPr>
                <w:rFonts w:ascii="Times New Roman" w:hAnsi="Times New Roman" w:cs="Times New Roman"/>
                <w:sz w:val="17"/>
                <w:szCs w:val="17"/>
              </w:rPr>
            </w:pPr>
          </w:p>
          <w:p w14:paraId="2E5FB6AF" w14:textId="77777777" w:rsidR="00A73353" w:rsidRPr="001833E1" w:rsidRDefault="00A73353" w:rsidP="0085241C">
            <w:pPr>
              <w:jc w:val="center"/>
              <w:rPr>
                <w:rFonts w:ascii="Times New Roman" w:hAnsi="Times New Roman" w:cs="Times New Roman"/>
                <w:sz w:val="17"/>
                <w:szCs w:val="17"/>
              </w:rPr>
            </w:pPr>
          </w:p>
          <w:p w14:paraId="1FC476C8" w14:textId="77777777" w:rsidR="00A73353" w:rsidRPr="001833E1" w:rsidRDefault="00A73353" w:rsidP="0085241C">
            <w:pPr>
              <w:jc w:val="center"/>
              <w:rPr>
                <w:rFonts w:ascii="Times New Roman" w:hAnsi="Times New Roman" w:cs="Times New Roman"/>
                <w:sz w:val="17"/>
                <w:szCs w:val="17"/>
              </w:rPr>
            </w:pPr>
          </w:p>
          <w:p w14:paraId="550EB0CF" w14:textId="77777777" w:rsidR="00A73353" w:rsidRPr="001833E1" w:rsidRDefault="00A73353" w:rsidP="0085241C">
            <w:pPr>
              <w:jc w:val="center"/>
              <w:rPr>
                <w:rFonts w:ascii="Times New Roman" w:hAnsi="Times New Roman" w:cs="Times New Roman"/>
                <w:sz w:val="17"/>
                <w:szCs w:val="17"/>
              </w:rPr>
            </w:pPr>
          </w:p>
          <w:p w14:paraId="6D59E6C2" w14:textId="77777777" w:rsidR="00A73353" w:rsidRPr="001833E1" w:rsidRDefault="00A73353" w:rsidP="0085241C">
            <w:pPr>
              <w:jc w:val="center"/>
              <w:rPr>
                <w:rFonts w:ascii="Times New Roman" w:hAnsi="Times New Roman" w:cs="Times New Roman"/>
                <w:sz w:val="17"/>
                <w:szCs w:val="17"/>
              </w:rPr>
            </w:pPr>
          </w:p>
          <w:p w14:paraId="0CAA2319" w14:textId="77777777" w:rsidR="00A73353" w:rsidRPr="001833E1" w:rsidRDefault="00A73353" w:rsidP="0085241C">
            <w:pPr>
              <w:jc w:val="center"/>
              <w:rPr>
                <w:rFonts w:ascii="Times New Roman" w:hAnsi="Times New Roman" w:cs="Times New Roman"/>
                <w:sz w:val="17"/>
                <w:szCs w:val="17"/>
              </w:rPr>
            </w:pPr>
          </w:p>
          <w:p w14:paraId="09F5D5D3" w14:textId="77777777" w:rsidR="00A73353" w:rsidRPr="001833E1" w:rsidRDefault="00A73353" w:rsidP="0085241C">
            <w:pPr>
              <w:jc w:val="center"/>
              <w:rPr>
                <w:rFonts w:ascii="Times New Roman" w:hAnsi="Times New Roman" w:cs="Times New Roman"/>
                <w:sz w:val="17"/>
                <w:szCs w:val="17"/>
              </w:rPr>
            </w:pPr>
          </w:p>
          <w:p w14:paraId="4B34F84C" w14:textId="77777777" w:rsidR="00A73353" w:rsidRPr="001833E1" w:rsidRDefault="00A73353" w:rsidP="0085241C">
            <w:pPr>
              <w:jc w:val="center"/>
              <w:rPr>
                <w:rFonts w:ascii="Times New Roman" w:hAnsi="Times New Roman" w:cs="Times New Roman"/>
                <w:sz w:val="17"/>
                <w:szCs w:val="17"/>
              </w:rPr>
            </w:pPr>
          </w:p>
          <w:p w14:paraId="3A22000A" w14:textId="77777777" w:rsidR="00A73353" w:rsidRPr="001833E1" w:rsidRDefault="00A73353" w:rsidP="0085241C">
            <w:pPr>
              <w:jc w:val="center"/>
              <w:rPr>
                <w:rFonts w:ascii="Times New Roman" w:hAnsi="Times New Roman" w:cs="Times New Roman"/>
                <w:sz w:val="17"/>
                <w:szCs w:val="17"/>
              </w:rPr>
            </w:pPr>
          </w:p>
          <w:p w14:paraId="4CED2345" w14:textId="77777777" w:rsidR="00A73353" w:rsidRPr="001833E1" w:rsidRDefault="00A73353" w:rsidP="0085241C">
            <w:pPr>
              <w:jc w:val="center"/>
              <w:rPr>
                <w:rFonts w:ascii="Times New Roman" w:hAnsi="Times New Roman" w:cs="Times New Roman"/>
                <w:sz w:val="17"/>
                <w:szCs w:val="17"/>
              </w:rPr>
            </w:pPr>
          </w:p>
          <w:p w14:paraId="7A6FF931" w14:textId="77777777" w:rsidR="00A73353" w:rsidRPr="001833E1" w:rsidRDefault="00A73353" w:rsidP="0085241C">
            <w:pPr>
              <w:jc w:val="center"/>
              <w:rPr>
                <w:rFonts w:ascii="Times New Roman" w:hAnsi="Times New Roman" w:cs="Times New Roman"/>
                <w:sz w:val="17"/>
                <w:szCs w:val="17"/>
              </w:rPr>
            </w:pPr>
          </w:p>
          <w:p w14:paraId="079FCF60" w14:textId="77777777" w:rsidR="00A73353" w:rsidRPr="001833E1" w:rsidRDefault="00A73353" w:rsidP="0085241C">
            <w:pPr>
              <w:jc w:val="center"/>
              <w:rPr>
                <w:rFonts w:ascii="Times New Roman" w:hAnsi="Times New Roman" w:cs="Times New Roman"/>
                <w:sz w:val="17"/>
                <w:szCs w:val="17"/>
              </w:rPr>
            </w:pPr>
          </w:p>
          <w:p w14:paraId="64451F10" w14:textId="77777777" w:rsidR="00A73353" w:rsidRPr="001833E1" w:rsidRDefault="00A73353" w:rsidP="0085241C">
            <w:pPr>
              <w:jc w:val="center"/>
              <w:rPr>
                <w:rFonts w:ascii="Times New Roman" w:hAnsi="Times New Roman" w:cs="Times New Roman"/>
                <w:sz w:val="17"/>
                <w:szCs w:val="17"/>
              </w:rPr>
            </w:pPr>
          </w:p>
          <w:p w14:paraId="16E72A32" w14:textId="77777777" w:rsidR="00A73353" w:rsidRPr="001833E1" w:rsidRDefault="00A73353" w:rsidP="0085241C">
            <w:pPr>
              <w:jc w:val="center"/>
              <w:rPr>
                <w:rFonts w:ascii="Times New Roman" w:hAnsi="Times New Roman" w:cs="Times New Roman"/>
                <w:sz w:val="17"/>
                <w:szCs w:val="17"/>
              </w:rPr>
            </w:pPr>
          </w:p>
          <w:p w14:paraId="6D87FDA2" w14:textId="77777777" w:rsidR="00A73353" w:rsidRPr="001833E1" w:rsidRDefault="00A73353" w:rsidP="0085241C">
            <w:pPr>
              <w:jc w:val="center"/>
              <w:rPr>
                <w:rFonts w:ascii="Times New Roman" w:hAnsi="Times New Roman" w:cs="Times New Roman"/>
                <w:sz w:val="17"/>
                <w:szCs w:val="17"/>
              </w:rPr>
            </w:pPr>
          </w:p>
          <w:p w14:paraId="27D504DE" w14:textId="77777777" w:rsidR="00A73353" w:rsidRPr="001833E1" w:rsidRDefault="00A73353" w:rsidP="0085241C">
            <w:pPr>
              <w:jc w:val="center"/>
              <w:rPr>
                <w:rFonts w:ascii="Times New Roman" w:hAnsi="Times New Roman" w:cs="Times New Roman"/>
                <w:sz w:val="17"/>
                <w:szCs w:val="17"/>
              </w:rPr>
            </w:pPr>
          </w:p>
          <w:p w14:paraId="575DD00A" w14:textId="77777777" w:rsidR="00A73353" w:rsidRPr="001833E1" w:rsidRDefault="00A73353" w:rsidP="0085241C">
            <w:pPr>
              <w:jc w:val="center"/>
              <w:rPr>
                <w:rFonts w:ascii="Times New Roman" w:hAnsi="Times New Roman" w:cs="Times New Roman"/>
                <w:sz w:val="17"/>
                <w:szCs w:val="17"/>
              </w:rPr>
            </w:pPr>
          </w:p>
          <w:p w14:paraId="1FE848E9" w14:textId="77777777" w:rsidR="00A73353" w:rsidRPr="001833E1" w:rsidRDefault="00A73353" w:rsidP="0085241C">
            <w:pPr>
              <w:jc w:val="center"/>
              <w:rPr>
                <w:rFonts w:ascii="Times New Roman" w:hAnsi="Times New Roman" w:cs="Times New Roman"/>
                <w:sz w:val="17"/>
                <w:szCs w:val="17"/>
              </w:rPr>
            </w:pPr>
          </w:p>
          <w:p w14:paraId="515CEDC9" w14:textId="77777777" w:rsidR="00A73353" w:rsidRPr="001833E1" w:rsidRDefault="00A73353" w:rsidP="0085241C">
            <w:pPr>
              <w:jc w:val="center"/>
              <w:rPr>
                <w:rFonts w:ascii="Times New Roman" w:hAnsi="Times New Roman" w:cs="Times New Roman"/>
                <w:sz w:val="17"/>
                <w:szCs w:val="17"/>
              </w:rPr>
            </w:pPr>
          </w:p>
          <w:p w14:paraId="29276681" w14:textId="77777777" w:rsidR="00A73353" w:rsidRPr="001833E1" w:rsidRDefault="00A73353" w:rsidP="0085241C">
            <w:pPr>
              <w:jc w:val="center"/>
              <w:rPr>
                <w:rFonts w:ascii="Times New Roman" w:hAnsi="Times New Roman" w:cs="Times New Roman"/>
                <w:sz w:val="17"/>
                <w:szCs w:val="17"/>
              </w:rPr>
            </w:pPr>
          </w:p>
          <w:p w14:paraId="3854CBD4" w14:textId="77777777" w:rsidR="00A73353" w:rsidRPr="001833E1" w:rsidRDefault="00A73353" w:rsidP="0085241C">
            <w:pPr>
              <w:jc w:val="center"/>
              <w:rPr>
                <w:rFonts w:ascii="Times New Roman" w:hAnsi="Times New Roman" w:cs="Times New Roman"/>
                <w:sz w:val="17"/>
                <w:szCs w:val="17"/>
              </w:rPr>
            </w:pPr>
          </w:p>
          <w:p w14:paraId="3667B14B" w14:textId="67941E21"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Falk (2022)/ TICTM</w:t>
            </w:r>
          </w:p>
        </w:tc>
        <w:tc>
          <w:tcPr>
            <w:tcW w:w="2126" w:type="dxa"/>
          </w:tcPr>
          <w:p w14:paraId="4309606A"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Mood-</w:t>
            </w:r>
            <w:r w:rsidRPr="001833E1">
              <w:rPr>
                <w:rFonts w:ascii="Times New Roman" w:hAnsi="Times New Roman" w:cs="Times New Roman"/>
                <w:sz w:val="17"/>
                <w:szCs w:val="17"/>
              </w:rPr>
              <w:t xml:space="preserve"> </w:t>
            </w:r>
            <w:r w:rsidRPr="001833E1">
              <w:rPr>
                <w:rFonts w:ascii="Times New Roman" w:hAnsi="Times New Roman" w:cs="Times New Roman"/>
                <w:color w:val="000000"/>
                <w:sz w:val="17"/>
                <w:szCs w:val="17"/>
              </w:rPr>
              <w:t>Positive</w:t>
            </w:r>
          </w:p>
          <w:p w14:paraId="59C49800"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and Negative Affect Schedule (PANAS)/</w:t>
            </w:r>
            <w:r w:rsidRPr="001833E1">
              <w:rPr>
                <w:rFonts w:ascii="Times New Roman" w:hAnsi="Times New Roman" w:cs="Times New Roman"/>
                <w:sz w:val="17"/>
                <w:szCs w:val="17"/>
              </w:rPr>
              <w:t xml:space="preserve"> </w:t>
            </w:r>
            <w:r w:rsidRPr="001833E1">
              <w:rPr>
                <w:rFonts w:ascii="Times New Roman" w:hAnsi="Times New Roman" w:cs="Times New Roman"/>
                <w:color w:val="000000"/>
                <w:sz w:val="17"/>
                <w:szCs w:val="17"/>
              </w:rPr>
              <w:t>Positive Affect reflects the extent to which a person feels enthusiastic, active, and alert.</w:t>
            </w:r>
          </w:p>
          <w:p w14:paraId="66081B81"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 xml:space="preserve">Negative Affect reflects a general dimension of subjective distress and unpleasurable engagement </w:t>
            </w:r>
          </w:p>
        </w:tc>
        <w:tc>
          <w:tcPr>
            <w:tcW w:w="3124" w:type="dxa"/>
          </w:tcPr>
          <w:p w14:paraId="60140618"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PANAS consists of 20 items, with 10 items each for PA and NA. Respondents rate the extent to which they have experienced each particular emotion in a specific timeframe (e.g., the past week) on a scale from 1 to 5, where: 1 = Very slightly or not at all and 5= Extremely/ Ranges from 10 to 50.</w:t>
            </w:r>
          </w:p>
        </w:tc>
        <w:tc>
          <w:tcPr>
            <w:tcW w:w="1860" w:type="dxa"/>
          </w:tcPr>
          <w:p w14:paraId="3D89B40F"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Mean (SD) Positive Effect </w:t>
            </w:r>
          </w:p>
          <w:p w14:paraId="66CD7066"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31.9 (9.0)</w:t>
            </w:r>
          </w:p>
          <w:p w14:paraId="725DE7C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32.0 (8.4)</w:t>
            </w:r>
          </w:p>
          <w:p w14:paraId="179268C9"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27.7 (6.4)</w:t>
            </w:r>
          </w:p>
          <w:p w14:paraId="66CA9B3E"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Negative Effect </w:t>
            </w:r>
          </w:p>
          <w:p w14:paraId="05B28A85"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17.3 (4.4)</w:t>
            </w:r>
          </w:p>
          <w:p w14:paraId="2D78C07F"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20.6 (6.4)</w:t>
            </w:r>
          </w:p>
          <w:p w14:paraId="498DF312" w14:textId="7FD03A83"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19.3 (6.8)</w:t>
            </w:r>
          </w:p>
        </w:tc>
        <w:tc>
          <w:tcPr>
            <w:tcW w:w="1984" w:type="dxa"/>
          </w:tcPr>
          <w:p w14:paraId="65B2DDA4"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Mean (SD) Positive Effect </w:t>
            </w:r>
          </w:p>
          <w:p w14:paraId="19EDD032"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34.7 (9.7)</w:t>
            </w:r>
          </w:p>
          <w:p w14:paraId="5358CC0E"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36.8 (7.1)</w:t>
            </w:r>
          </w:p>
          <w:p w14:paraId="10991047"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36.6 (7.0)</w:t>
            </w:r>
          </w:p>
          <w:p w14:paraId="5B122971"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Negative Effect </w:t>
            </w:r>
          </w:p>
          <w:p w14:paraId="62CCAFF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18.1 (6.2)</w:t>
            </w:r>
          </w:p>
          <w:p w14:paraId="618851E1"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17.9 (5.5)</w:t>
            </w:r>
          </w:p>
          <w:p w14:paraId="45B9FDD4"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16.8 (5.1)</w:t>
            </w:r>
          </w:p>
        </w:tc>
        <w:tc>
          <w:tcPr>
            <w:tcW w:w="1418" w:type="dxa"/>
          </w:tcPr>
          <w:p w14:paraId="6B7C902B"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(SD)</w:t>
            </w:r>
          </w:p>
          <w:p w14:paraId="24B3B277"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Positive Effect </w:t>
            </w:r>
          </w:p>
          <w:p w14:paraId="1CD247FD"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33.6 (6.6)</w:t>
            </w:r>
          </w:p>
          <w:p w14:paraId="4A2076B2" w14:textId="77777777" w:rsidR="00A73353" w:rsidRPr="001833E1" w:rsidRDefault="00A73353" w:rsidP="0085241C">
            <w:pPr>
              <w:jc w:val="center"/>
              <w:rPr>
                <w:rFonts w:ascii="Times New Roman" w:hAnsi="Times New Roman" w:cs="Times New Roman"/>
                <w:sz w:val="17"/>
                <w:szCs w:val="17"/>
              </w:rPr>
            </w:pPr>
          </w:p>
          <w:p w14:paraId="5A7676EF"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Negative Effect </w:t>
            </w:r>
          </w:p>
          <w:p w14:paraId="0DBD9AB9"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19.2 (7.1)</w:t>
            </w:r>
          </w:p>
        </w:tc>
        <w:tc>
          <w:tcPr>
            <w:tcW w:w="1395" w:type="dxa"/>
          </w:tcPr>
          <w:p w14:paraId="3DE57443"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Mean (SD)</w:t>
            </w:r>
          </w:p>
          <w:p w14:paraId="26AA0C01"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Positive Effect </w:t>
            </w:r>
          </w:p>
          <w:p w14:paraId="649B37C9"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35.7 (8.1)</w:t>
            </w:r>
          </w:p>
          <w:p w14:paraId="31B8076B" w14:textId="77777777" w:rsidR="00A73353" w:rsidRPr="001833E1" w:rsidRDefault="00A73353" w:rsidP="0085241C">
            <w:pPr>
              <w:jc w:val="center"/>
              <w:rPr>
                <w:rFonts w:ascii="Times New Roman" w:hAnsi="Times New Roman" w:cs="Times New Roman"/>
                <w:sz w:val="17"/>
                <w:szCs w:val="17"/>
              </w:rPr>
            </w:pPr>
          </w:p>
          <w:p w14:paraId="7C014ED6"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Negative Effect </w:t>
            </w:r>
          </w:p>
          <w:p w14:paraId="593A6612"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17.7 (5.4)</w:t>
            </w:r>
          </w:p>
          <w:p w14:paraId="306AA3F8" w14:textId="77777777" w:rsidR="00A73353" w:rsidRPr="001833E1" w:rsidRDefault="00A73353" w:rsidP="0085241C">
            <w:pPr>
              <w:jc w:val="center"/>
              <w:rPr>
                <w:rFonts w:ascii="Times New Roman" w:hAnsi="Times New Roman" w:cs="Times New Roman"/>
                <w:sz w:val="17"/>
                <w:szCs w:val="17"/>
              </w:rPr>
            </w:pPr>
          </w:p>
        </w:tc>
        <w:tc>
          <w:tcPr>
            <w:tcW w:w="2988" w:type="dxa"/>
          </w:tcPr>
          <w:p w14:paraId="06213C5C"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Cohen’s d </w:t>
            </w:r>
          </w:p>
          <w:p w14:paraId="4415520A"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b/>
                <w:bCs/>
                <w:sz w:val="17"/>
                <w:szCs w:val="17"/>
              </w:rPr>
              <w:t xml:space="preserve">Positive Effect </w:t>
            </w:r>
          </w:p>
          <w:p w14:paraId="00F92174"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0.135</w:t>
            </w:r>
          </w:p>
          <w:p w14:paraId="70850E1E"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Program Only: </w:t>
            </w:r>
            <w:r w:rsidRPr="001833E1">
              <w:rPr>
                <w:rFonts w:ascii="Times New Roman" w:hAnsi="Times New Roman" w:cs="Times New Roman"/>
                <w:b/>
                <w:bCs/>
                <w:sz w:val="17"/>
                <w:szCs w:val="17"/>
              </w:rPr>
              <w:t>0.566</w:t>
            </w:r>
          </w:p>
          <w:p w14:paraId="3B7B90D5" w14:textId="77777777" w:rsidR="00A73353" w:rsidRPr="001833E1" w:rsidRDefault="00A73353" w:rsidP="0085241C">
            <w:pPr>
              <w:jc w:val="center"/>
              <w:rPr>
                <w:rFonts w:ascii="Times New Roman" w:hAnsi="Times New Roman" w:cs="Times New Roman"/>
                <w:b/>
                <w:bCs/>
                <w:sz w:val="17"/>
                <w:szCs w:val="17"/>
              </w:rPr>
            </w:pPr>
            <w:r w:rsidRPr="001833E1">
              <w:rPr>
                <w:rFonts w:ascii="Times New Roman" w:hAnsi="Times New Roman" w:cs="Times New Roman"/>
                <w:sz w:val="17"/>
                <w:szCs w:val="17"/>
              </w:rPr>
              <w:t>Desk+Program</w:t>
            </w:r>
            <w:r w:rsidRPr="001833E1">
              <w:rPr>
                <w:rFonts w:ascii="Times New Roman" w:hAnsi="Times New Roman" w:cs="Times New Roman"/>
                <w:b/>
                <w:bCs/>
                <w:sz w:val="17"/>
                <w:szCs w:val="17"/>
              </w:rPr>
              <w:t xml:space="preserve">: 1.106 Negative Effect </w:t>
            </w:r>
          </w:p>
          <w:p w14:paraId="0E700B08"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0.434</w:t>
            </w:r>
          </w:p>
          <w:p w14:paraId="7B63E89A"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-0.124</w:t>
            </w:r>
          </w:p>
          <w:p w14:paraId="42DF4CB6"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sz w:val="17"/>
                <w:szCs w:val="17"/>
              </w:rPr>
              <w:t xml:space="preserve">Desk+Program: </w:t>
            </w:r>
            <w:r w:rsidRPr="001833E1">
              <w:rPr>
                <w:rFonts w:ascii="Times New Roman" w:eastAsia="Calibri" w:hAnsi="Times New Roman" w:cs="Times New Roman"/>
                <w:sz w:val="17"/>
                <w:szCs w:val="17"/>
              </w:rPr>
              <w:t>-</w:t>
            </w:r>
            <w:r w:rsidRPr="001833E1">
              <w:rPr>
                <w:rFonts w:ascii="Times New Roman" w:hAnsi="Times New Roman" w:cs="Times New Roman"/>
                <w:sz w:val="17"/>
                <w:szCs w:val="17"/>
              </w:rPr>
              <w:t>0.266</w:t>
            </w:r>
          </w:p>
        </w:tc>
      </w:tr>
      <w:tr w:rsidR="00A73353" w14:paraId="4BF6A778" w14:textId="77777777" w:rsidTr="0085241C">
        <w:trPr>
          <w:jc w:val="center"/>
        </w:trPr>
        <w:tc>
          <w:tcPr>
            <w:tcW w:w="1271" w:type="dxa"/>
            <w:vMerge/>
          </w:tcPr>
          <w:p w14:paraId="7FEF9F1A" w14:textId="77777777" w:rsidR="00A73353" w:rsidRPr="001833E1" w:rsidRDefault="00A73353" w:rsidP="0085241C">
            <w:pPr>
              <w:jc w:val="center"/>
              <w:rPr>
                <w:rFonts w:ascii="Times New Roman" w:hAnsi="Times New Roman" w:cs="Times New Roman"/>
                <w:sz w:val="17"/>
                <w:szCs w:val="17"/>
              </w:rPr>
            </w:pPr>
          </w:p>
        </w:tc>
        <w:tc>
          <w:tcPr>
            <w:tcW w:w="2126" w:type="dxa"/>
          </w:tcPr>
          <w:p w14:paraId="26B79877"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sz w:val="17"/>
                <w:szCs w:val="17"/>
              </w:rPr>
              <w:t>Stress/Perceived Stress Scale (PSS)</w:t>
            </w:r>
          </w:p>
        </w:tc>
        <w:tc>
          <w:tcPr>
            <w:tcW w:w="3124" w:type="dxa"/>
          </w:tcPr>
          <w:p w14:paraId="6C60D5F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Four-item version of the PSS. Respondents rate how often they have felt or thought a certain way over the past month on a scale from 0 to 4, where 0=Never to 4 = Very often/ Ranges from 0 to 16.</w:t>
            </w:r>
          </w:p>
        </w:tc>
        <w:tc>
          <w:tcPr>
            <w:tcW w:w="1860" w:type="dxa"/>
          </w:tcPr>
          <w:p w14:paraId="0239F517"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9.2 (2.7)</w:t>
            </w:r>
          </w:p>
          <w:p w14:paraId="047C2077"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9.7 (2.5)</w:t>
            </w:r>
          </w:p>
          <w:p w14:paraId="28F6360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9.4 (2.9)</w:t>
            </w:r>
          </w:p>
          <w:p w14:paraId="08843967" w14:textId="77777777" w:rsidR="00A73353" w:rsidRPr="001833E1" w:rsidRDefault="00A73353" w:rsidP="0085241C">
            <w:pPr>
              <w:jc w:val="center"/>
              <w:rPr>
                <w:rFonts w:ascii="Times New Roman" w:hAnsi="Times New Roman" w:cs="Times New Roman"/>
                <w:sz w:val="17"/>
                <w:szCs w:val="17"/>
              </w:rPr>
            </w:pPr>
          </w:p>
        </w:tc>
        <w:tc>
          <w:tcPr>
            <w:tcW w:w="1984" w:type="dxa"/>
          </w:tcPr>
          <w:p w14:paraId="539AE0D9"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8.8 (2.3)</w:t>
            </w:r>
          </w:p>
          <w:p w14:paraId="77B0BE68"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8.4 (3.0)</w:t>
            </w:r>
          </w:p>
          <w:p w14:paraId="52858E92"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8.3 (2.6)</w:t>
            </w:r>
          </w:p>
        </w:tc>
        <w:tc>
          <w:tcPr>
            <w:tcW w:w="1418" w:type="dxa"/>
          </w:tcPr>
          <w:p w14:paraId="76AD074D"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8.4 (2.7)</w:t>
            </w:r>
          </w:p>
        </w:tc>
        <w:tc>
          <w:tcPr>
            <w:tcW w:w="1395" w:type="dxa"/>
          </w:tcPr>
          <w:p w14:paraId="66FE133A"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7.6 (2.6)</w:t>
            </w:r>
          </w:p>
        </w:tc>
        <w:tc>
          <w:tcPr>
            <w:tcW w:w="2988" w:type="dxa"/>
          </w:tcPr>
          <w:p w14:paraId="3C347475"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sz w:val="17"/>
                <w:szCs w:val="17"/>
              </w:rPr>
              <w:t>Cohen’s d</w:t>
            </w:r>
            <w:r w:rsidRPr="001833E1">
              <w:rPr>
                <w:rFonts w:ascii="Times New Roman" w:hAnsi="Times New Roman" w:cs="Times New Roman"/>
                <w:sz w:val="17"/>
                <w:szCs w:val="17"/>
              </w:rPr>
              <w:t xml:space="preserve"> </w:t>
            </w:r>
          </w:p>
          <w:p w14:paraId="436484EB"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0.156</w:t>
            </w:r>
          </w:p>
          <w:p w14:paraId="024C121A"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-0.177</w:t>
            </w:r>
          </w:p>
          <w:p w14:paraId="3B5F240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-0.147</w:t>
            </w:r>
          </w:p>
        </w:tc>
      </w:tr>
      <w:tr w:rsidR="00A73353" w14:paraId="5C4B1D15" w14:textId="77777777" w:rsidTr="0085241C">
        <w:trPr>
          <w:jc w:val="center"/>
        </w:trPr>
        <w:tc>
          <w:tcPr>
            <w:tcW w:w="1271" w:type="dxa"/>
            <w:vMerge/>
          </w:tcPr>
          <w:p w14:paraId="50837F88" w14:textId="77777777" w:rsidR="00A73353" w:rsidRPr="001833E1" w:rsidRDefault="00A73353" w:rsidP="0085241C">
            <w:pPr>
              <w:jc w:val="center"/>
              <w:rPr>
                <w:rFonts w:ascii="Times New Roman" w:hAnsi="Times New Roman" w:cs="Times New Roman"/>
                <w:sz w:val="17"/>
                <w:szCs w:val="17"/>
              </w:rPr>
            </w:pPr>
          </w:p>
        </w:tc>
        <w:tc>
          <w:tcPr>
            <w:tcW w:w="2126" w:type="dxa"/>
          </w:tcPr>
          <w:p w14:paraId="5FC0758C"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Fatigue Duration-</w:t>
            </w:r>
            <w:r w:rsidRPr="001833E1">
              <w:rPr>
                <w:rFonts w:ascii="Times New Roman" w:hAnsi="Times New Roman" w:cs="Times New Roman"/>
                <w:sz w:val="17"/>
                <w:szCs w:val="17"/>
              </w:rPr>
              <w:t xml:space="preserve"> </w:t>
            </w:r>
            <w:r w:rsidRPr="001833E1">
              <w:rPr>
                <w:rFonts w:ascii="Times New Roman" w:hAnsi="Times New Roman" w:cs="Times New Roman"/>
                <w:color w:val="000000"/>
                <w:sz w:val="17"/>
                <w:szCs w:val="17"/>
              </w:rPr>
              <w:t>Measures how long the respondent has felt fatigued/Fatigue Symptom Inventory (FSI)</w:t>
            </w:r>
          </w:p>
        </w:tc>
        <w:tc>
          <w:tcPr>
            <w:tcW w:w="3124" w:type="dxa"/>
          </w:tcPr>
          <w:p w14:paraId="756A6056"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Respondents rate their fatigue on a scale from 0 to 10 for each item, where higher scores indicate longer duration/ 2 questions for fatigue duration are averaged to yield a total score for each dimension</w:t>
            </w:r>
          </w:p>
        </w:tc>
        <w:tc>
          <w:tcPr>
            <w:tcW w:w="1860" w:type="dxa"/>
          </w:tcPr>
          <w:p w14:paraId="2232B9E5"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4.2 (1.6)</w:t>
            </w:r>
          </w:p>
          <w:p w14:paraId="0F123CE4"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4.1 (1.8)</w:t>
            </w:r>
          </w:p>
          <w:p w14:paraId="49B6C13B"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5.3 (1.7)</w:t>
            </w:r>
          </w:p>
        </w:tc>
        <w:tc>
          <w:tcPr>
            <w:tcW w:w="1984" w:type="dxa"/>
          </w:tcPr>
          <w:p w14:paraId="031FDC70"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4.0 (1.6)</w:t>
            </w:r>
          </w:p>
          <w:p w14:paraId="78586CA8"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4.0 (1.9)</w:t>
            </w:r>
          </w:p>
          <w:p w14:paraId="734D5D2B"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4.0 (2.4)</w:t>
            </w:r>
          </w:p>
        </w:tc>
        <w:tc>
          <w:tcPr>
            <w:tcW w:w="1418" w:type="dxa"/>
          </w:tcPr>
          <w:p w14:paraId="5D3E38D4"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4.5 (2.0) </w:t>
            </w:r>
          </w:p>
        </w:tc>
        <w:tc>
          <w:tcPr>
            <w:tcW w:w="1395" w:type="dxa"/>
          </w:tcPr>
          <w:p w14:paraId="3716FF66"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4.0 (2.0)</w:t>
            </w:r>
          </w:p>
        </w:tc>
        <w:tc>
          <w:tcPr>
            <w:tcW w:w="2988" w:type="dxa"/>
          </w:tcPr>
          <w:p w14:paraId="0850B27E"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sz w:val="17"/>
                <w:szCs w:val="17"/>
              </w:rPr>
              <w:t>Cohen’s d</w:t>
            </w:r>
            <w:r w:rsidRPr="001833E1">
              <w:rPr>
                <w:rFonts w:ascii="Times New Roman" w:hAnsi="Times New Roman" w:cs="Times New Roman"/>
                <w:sz w:val="17"/>
                <w:szCs w:val="17"/>
              </w:rPr>
              <w:t xml:space="preserve"> </w:t>
            </w:r>
          </w:p>
          <w:p w14:paraId="1ADC355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0.134</w:t>
            </w:r>
          </w:p>
          <w:p w14:paraId="0CF7DCFF"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0.182</w:t>
            </w:r>
          </w:p>
          <w:p w14:paraId="1BE5DC8F"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Desk+Program: </w:t>
            </w:r>
            <w:r w:rsidRPr="001833E1">
              <w:rPr>
                <w:rFonts w:ascii="Times New Roman" w:hAnsi="Times New Roman" w:cs="Times New Roman"/>
                <w:b/>
                <w:bCs/>
                <w:sz w:val="17"/>
                <w:szCs w:val="17"/>
              </w:rPr>
              <w:t>-0.533</w:t>
            </w:r>
          </w:p>
        </w:tc>
      </w:tr>
      <w:tr w:rsidR="00A73353" w14:paraId="00C5985D" w14:textId="77777777" w:rsidTr="0085241C">
        <w:trPr>
          <w:jc w:val="center"/>
        </w:trPr>
        <w:tc>
          <w:tcPr>
            <w:tcW w:w="1271" w:type="dxa"/>
            <w:vMerge/>
          </w:tcPr>
          <w:p w14:paraId="48A7A53D" w14:textId="77777777" w:rsidR="00A73353" w:rsidRPr="001833E1" w:rsidRDefault="00A73353" w:rsidP="0085241C">
            <w:pPr>
              <w:jc w:val="center"/>
              <w:rPr>
                <w:rFonts w:ascii="Times New Roman" w:hAnsi="Times New Roman" w:cs="Times New Roman"/>
                <w:sz w:val="17"/>
                <w:szCs w:val="17"/>
              </w:rPr>
            </w:pPr>
          </w:p>
        </w:tc>
        <w:tc>
          <w:tcPr>
            <w:tcW w:w="2126" w:type="dxa"/>
          </w:tcPr>
          <w:p w14:paraId="627B039A"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Fatigue Interference-Assesses the extent to which fatigue interferes with daily activities/Fatigue Symptom Inventory (FSI)</w:t>
            </w:r>
          </w:p>
        </w:tc>
        <w:tc>
          <w:tcPr>
            <w:tcW w:w="3124" w:type="dxa"/>
          </w:tcPr>
          <w:p w14:paraId="2446211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Respondents rate their fatigue on a scale from 0 to 10 for each item, where higher scores indicate greater interference / 7 questions are averaged to yield a total score for each dimension</w:t>
            </w:r>
          </w:p>
        </w:tc>
        <w:tc>
          <w:tcPr>
            <w:tcW w:w="1860" w:type="dxa"/>
          </w:tcPr>
          <w:p w14:paraId="55460E5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2.4 (1.7)</w:t>
            </w:r>
          </w:p>
          <w:p w14:paraId="7BA1C82B"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2.7 (2.0)</w:t>
            </w:r>
          </w:p>
          <w:p w14:paraId="08891748"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2.9 (2.3)</w:t>
            </w:r>
          </w:p>
        </w:tc>
        <w:tc>
          <w:tcPr>
            <w:tcW w:w="1984" w:type="dxa"/>
          </w:tcPr>
          <w:p w14:paraId="0E4EC9CD"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2.0 (1.8)</w:t>
            </w:r>
          </w:p>
          <w:p w14:paraId="7FA06A20"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1.7 (1.7)</w:t>
            </w:r>
          </w:p>
          <w:p w14:paraId="481457B8"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1.9 (1.9)</w:t>
            </w:r>
          </w:p>
        </w:tc>
        <w:tc>
          <w:tcPr>
            <w:tcW w:w="1418" w:type="dxa"/>
          </w:tcPr>
          <w:p w14:paraId="7CB8A5C3"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2.3 (1.8) </w:t>
            </w:r>
          </w:p>
        </w:tc>
        <w:tc>
          <w:tcPr>
            <w:tcW w:w="1395" w:type="dxa"/>
          </w:tcPr>
          <w:p w14:paraId="52BC2565"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2.1 (1.9)</w:t>
            </w:r>
          </w:p>
        </w:tc>
        <w:tc>
          <w:tcPr>
            <w:tcW w:w="2988" w:type="dxa"/>
          </w:tcPr>
          <w:p w14:paraId="16F381C4"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sz w:val="17"/>
                <w:szCs w:val="17"/>
              </w:rPr>
              <w:t>Cohen’s d</w:t>
            </w:r>
            <w:r w:rsidRPr="001833E1">
              <w:rPr>
                <w:rFonts w:ascii="Times New Roman" w:hAnsi="Times New Roman" w:cs="Times New Roman"/>
                <w:sz w:val="17"/>
                <w:szCs w:val="17"/>
              </w:rPr>
              <w:t xml:space="preserve"> </w:t>
            </w:r>
          </w:p>
          <w:p w14:paraId="16C5E92A"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Desk Only: </w:t>
            </w:r>
            <w:r w:rsidRPr="001833E1">
              <w:rPr>
                <w:rFonts w:ascii="Times New Roman" w:eastAsia="Calibri" w:hAnsi="Times New Roman" w:cs="Times New Roman"/>
                <w:sz w:val="17"/>
                <w:szCs w:val="17"/>
              </w:rPr>
              <w:t>-</w:t>
            </w:r>
            <w:r w:rsidRPr="001833E1">
              <w:rPr>
                <w:rFonts w:ascii="Times New Roman" w:hAnsi="Times New Roman" w:cs="Times New Roman"/>
                <w:sz w:val="17"/>
                <w:szCs w:val="17"/>
              </w:rPr>
              <w:t>0.076</w:t>
            </w:r>
          </w:p>
          <w:p w14:paraId="418EA322"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-0.484</w:t>
            </w:r>
          </w:p>
          <w:p w14:paraId="18153602"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Desk+Program: </w:t>
            </w:r>
            <w:r w:rsidRPr="001833E1">
              <w:rPr>
                <w:rFonts w:ascii="Times New Roman" w:hAnsi="Times New Roman" w:cs="Times New Roman"/>
                <w:b/>
                <w:bCs/>
                <w:sz w:val="17"/>
                <w:szCs w:val="17"/>
              </w:rPr>
              <w:t>-0.688</w:t>
            </w:r>
          </w:p>
        </w:tc>
      </w:tr>
      <w:tr w:rsidR="00A73353" w14:paraId="53418376" w14:textId="77777777" w:rsidTr="0085241C">
        <w:trPr>
          <w:jc w:val="center"/>
        </w:trPr>
        <w:tc>
          <w:tcPr>
            <w:tcW w:w="1271" w:type="dxa"/>
            <w:vMerge/>
          </w:tcPr>
          <w:p w14:paraId="3772CCA7" w14:textId="77777777" w:rsidR="00A73353" w:rsidRPr="001833E1" w:rsidRDefault="00A73353" w:rsidP="0085241C">
            <w:pPr>
              <w:jc w:val="center"/>
              <w:rPr>
                <w:rFonts w:ascii="Times New Roman" w:hAnsi="Times New Roman" w:cs="Times New Roman"/>
                <w:sz w:val="17"/>
                <w:szCs w:val="17"/>
              </w:rPr>
            </w:pPr>
          </w:p>
        </w:tc>
        <w:tc>
          <w:tcPr>
            <w:tcW w:w="2126" w:type="dxa"/>
          </w:tcPr>
          <w:p w14:paraId="4A21E43B"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Fatigue Severity-Measures the intensity of the fatigue experienced by the respondent/Fatigue Symptom Inventory (FSI)</w:t>
            </w:r>
          </w:p>
        </w:tc>
        <w:tc>
          <w:tcPr>
            <w:tcW w:w="3124" w:type="dxa"/>
          </w:tcPr>
          <w:p w14:paraId="113D8E44"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Respondents rate their fatigue on a scale from 0 to 10 for each item, where higher scores indicate more severe fatigue / 4 questions are averaged to yield a total score for each dimension </w:t>
            </w:r>
          </w:p>
        </w:tc>
        <w:tc>
          <w:tcPr>
            <w:tcW w:w="1860" w:type="dxa"/>
          </w:tcPr>
          <w:p w14:paraId="48C281B7"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3.6 (2.0)</w:t>
            </w:r>
          </w:p>
          <w:p w14:paraId="68F71E4C"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3.2 (1.6)</w:t>
            </w:r>
          </w:p>
          <w:p w14:paraId="6B524696"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3.8 (1.7)</w:t>
            </w:r>
          </w:p>
        </w:tc>
        <w:tc>
          <w:tcPr>
            <w:tcW w:w="1984" w:type="dxa"/>
          </w:tcPr>
          <w:p w14:paraId="4E6AE7CB"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3.5 (1.7)</w:t>
            </w:r>
          </w:p>
          <w:p w14:paraId="764B47F6"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Program Only: 3.5 (2.2)</w:t>
            </w:r>
          </w:p>
          <w:p w14:paraId="411493D1"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2.9 (2.3)</w:t>
            </w:r>
          </w:p>
        </w:tc>
        <w:tc>
          <w:tcPr>
            <w:tcW w:w="1418" w:type="dxa"/>
          </w:tcPr>
          <w:p w14:paraId="7C43DD88"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4.1 (2.0) </w:t>
            </w:r>
          </w:p>
        </w:tc>
        <w:tc>
          <w:tcPr>
            <w:tcW w:w="1395" w:type="dxa"/>
          </w:tcPr>
          <w:p w14:paraId="5296A211"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3.5 (2.3)</w:t>
            </w:r>
          </w:p>
        </w:tc>
        <w:tc>
          <w:tcPr>
            <w:tcW w:w="2988" w:type="dxa"/>
          </w:tcPr>
          <w:p w14:paraId="77D44329"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b/>
                <w:bCs/>
                <w:sz w:val="17"/>
                <w:szCs w:val="17"/>
              </w:rPr>
              <w:t>Cohen’s d</w:t>
            </w:r>
            <w:r w:rsidRPr="001833E1">
              <w:rPr>
                <w:rFonts w:ascii="Times New Roman" w:hAnsi="Times New Roman" w:cs="Times New Roman"/>
                <w:sz w:val="17"/>
                <w:szCs w:val="17"/>
              </w:rPr>
              <w:t xml:space="preserve"> </w:t>
            </w:r>
          </w:p>
          <w:p w14:paraId="252165B2"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 Only: 0.228</w:t>
            </w:r>
          </w:p>
          <w:p w14:paraId="0D47236D"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Program Only: </w:t>
            </w:r>
            <w:r w:rsidRPr="001833E1">
              <w:rPr>
                <w:rFonts w:ascii="Times New Roman" w:hAnsi="Times New Roman" w:cs="Times New Roman"/>
                <w:b/>
                <w:bCs/>
                <w:sz w:val="17"/>
                <w:szCs w:val="17"/>
              </w:rPr>
              <w:t>0.577</w:t>
            </w:r>
          </w:p>
          <w:p w14:paraId="7D26C431"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Desk+Program: -0.191</w:t>
            </w:r>
          </w:p>
        </w:tc>
      </w:tr>
      <w:tr w:rsidR="00A73353" w14:paraId="2353E8F7" w14:textId="77777777" w:rsidTr="0085241C">
        <w:trPr>
          <w:jc w:val="center"/>
        </w:trPr>
        <w:tc>
          <w:tcPr>
            <w:tcW w:w="1271" w:type="dxa"/>
          </w:tcPr>
          <w:p w14:paraId="135D22DB" w14:textId="78609102"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Cedstrand (2022)/ Construction</w:t>
            </w:r>
          </w:p>
        </w:tc>
        <w:tc>
          <w:tcPr>
            <w:tcW w:w="2126" w:type="dxa"/>
          </w:tcPr>
          <w:p w14:paraId="770EEEFE" w14:textId="77777777" w:rsidR="00A73353" w:rsidRPr="001833E1" w:rsidRDefault="00A73353" w:rsidP="0085241C">
            <w:pPr>
              <w:jc w:val="center"/>
              <w:rPr>
                <w:rFonts w:ascii="Times New Roman" w:hAnsi="Times New Roman" w:cs="Times New Roman"/>
                <w:color w:val="000000"/>
                <w:sz w:val="17"/>
                <w:szCs w:val="17"/>
              </w:rPr>
            </w:pPr>
            <w:r w:rsidRPr="001833E1">
              <w:rPr>
                <w:rFonts w:ascii="Times New Roman" w:hAnsi="Times New Roman" w:cs="Times New Roman"/>
                <w:color w:val="000000"/>
                <w:sz w:val="17"/>
                <w:szCs w:val="17"/>
              </w:rPr>
              <w:t>Stress/Copenhagen Psychosocial Questionnaire (COPSOQ)</w:t>
            </w:r>
          </w:p>
        </w:tc>
        <w:tc>
          <w:tcPr>
            <w:tcW w:w="3124" w:type="dxa"/>
          </w:tcPr>
          <w:p w14:paraId="12F37266"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0-100</w:t>
            </w:r>
          </w:p>
        </w:tc>
        <w:tc>
          <w:tcPr>
            <w:tcW w:w="1860" w:type="dxa"/>
          </w:tcPr>
          <w:p w14:paraId="46A339D6"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34.8 (18.5)</w:t>
            </w:r>
          </w:p>
        </w:tc>
        <w:tc>
          <w:tcPr>
            <w:tcW w:w="1984" w:type="dxa"/>
          </w:tcPr>
          <w:p w14:paraId="7EEE9F87"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12 Months: 36.2 (23.4)</w:t>
            </w:r>
          </w:p>
          <w:p w14:paraId="236B079D"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24 Months: 39.8 (22.1)</w:t>
            </w:r>
          </w:p>
        </w:tc>
        <w:tc>
          <w:tcPr>
            <w:tcW w:w="1418" w:type="dxa"/>
          </w:tcPr>
          <w:p w14:paraId="66ED63AB"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29.5 (17,8)</w:t>
            </w:r>
          </w:p>
        </w:tc>
        <w:tc>
          <w:tcPr>
            <w:tcW w:w="1395" w:type="dxa"/>
          </w:tcPr>
          <w:p w14:paraId="3C15942D"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 xml:space="preserve">12 Months: 31.5 (22.1) </w:t>
            </w:r>
          </w:p>
          <w:p w14:paraId="22E26242" w14:textId="77777777" w:rsidR="00A73353" w:rsidRPr="001833E1" w:rsidRDefault="00A73353" w:rsidP="0085241C">
            <w:pPr>
              <w:jc w:val="center"/>
              <w:rPr>
                <w:rFonts w:ascii="Times New Roman" w:hAnsi="Times New Roman" w:cs="Times New Roman"/>
                <w:sz w:val="17"/>
                <w:szCs w:val="17"/>
              </w:rPr>
            </w:pPr>
            <w:r w:rsidRPr="001833E1">
              <w:rPr>
                <w:rFonts w:ascii="Times New Roman" w:hAnsi="Times New Roman" w:cs="Times New Roman"/>
                <w:sz w:val="17"/>
                <w:szCs w:val="17"/>
              </w:rPr>
              <w:t>24 Months: 35.6 (19.7)</w:t>
            </w:r>
          </w:p>
        </w:tc>
        <w:tc>
          <w:tcPr>
            <w:tcW w:w="2988" w:type="dxa"/>
          </w:tcPr>
          <w:p w14:paraId="6350B468" w14:textId="77777777" w:rsidR="0085241C" w:rsidRPr="001833E1" w:rsidRDefault="00A73353" w:rsidP="0085241C">
            <w:pPr>
              <w:rPr>
                <w:rFonts w:ascii="Times New Roman" w:hAnsi="Times New Roman" w:cs="Times New Roman"/>
                <w:sz w:val="17"/>
                <w:szCs w:val="17"/>
              </w:rPr>
            </w:pPr>
            <w:r w:rsidRPr="001833E1">
              <w:rPr>
                <w:rFonts w:ascii="Times New Roman" w:hAnsi="Times New Roman" w:cs="Times New Roman"/>
                <w:sz w:val="17"/>
                <w:szCs w:val="17"/>
              </w:rPr>
              <w:t xml:space="preserve">12 Months: </w:t>
            </w:r>
            <w:r w:rsidRPr="001833E1">
              <w:rPr>
                <w:rFonts w:ascii="Times New Roman" w:hAnsi="Times New Roman" w:cs="Times New Roman"/>
                <w:sz w:val="17"/>
                <w:szCs w:val="17"/>
                <w:lang w:val="el-GR"/>
              </w:rPr>
              <w:t>β</w:t>
            </w:r>
            <w:r w:rsidRPr="001833E1">
              <w:rPr>
                <w:rFonts w:ascii="Times New Roman" w:hAnsi="Times New Roman" w:cs="Times New Roman"/>
                <w:sz w:val="17"/>
                <w:szCs w:val="17"/>
              </w:rPr>
              <w:t>=−7.04,</w:t>
            </w:r>
            <w:r w:rsidR="0085241C" w:rsidRPr="001833E1">
              <w:rPr>
                <w:rFonts w:ascii="Times New Roman" w:hAnsi="Times New Roman" w:cs="Times New Roman"/>
                <w:sz w:val="17"/>
                <w:szCs w:val="17"/>
              </w:rPr>
              <w:t xml:space="preserve"> </w:t>
            </w:r>
            <w:r w:rsidRPr="001833E1">
              <w:rPr>
                <w:rFonts w:ascii="Times New Roman" w:hAnsi="Times New Roman" w:cs="Times New Roman"/>
                <w:sz w:val="17"/>
                <w:szCs w:val="17"/>
              </w:rPr>
              <w:t>CI=−12.7–(-1.37)  p-value=0.015</w:t>
            </w:r>
            <w:r w:rsidR="0085241C" w:rsidRPr="001833E1">
              <w:rPr>
                <w:rFonts w:ascii="Times New Roman" w:hAnsi="Times New Roman" w:cs="Times New Roman"/>
                <w:sz w:val="17"/>
                <w:szCs w:val="17"/>
              </w:rPr>
              <w:t xml:space="preserve"> </w:t>
            </w:r>
          </w:p>
          <w:p w14:paraId="73B5DFB4" w14:textId="3F4C0B0C" w:rsidR="00A73353" w:rsidRPr="001833E1" w:rsidRDefault="00A73353" w:rsidP="0085241C">
            <w:pPr>
              <w:rPr>
                <w:rFonts w:ascii="Times New Roman" w:hAnsi="Times New Roman" w:cs="Times New Roman"/>
                <w:sz w:val="17"/>
                <w:szCs w:val="17"/>
              </w:rPr>
            </w:pPr>
            <w:r w:rsidRPr="001833E1">
              <w:rPr>
                <w:rFonts w:ascii="Times New Roman" w:hAnsi="Times New Roman" w:cs="Times New Roman"/>
                <w:sz w:val="17"/>
                <w:szCs w:val="17"/>
              </w:rPr>
              <w:t xml:space="preserve">24 Months: </w:t>
            </w:r>
            <w:r w:rsidRPr="001833E1">
              <w:rPr>
                <w:rFonts w:ascii="Times New Roman" w:hAnsi="Times New Roman" w:cs="Times New Roman"/>
                <w:sz w:val="17"/>
                <w:szCs w:val="17"/>
                <w:lang w:val="el-GR"/>
              </w:rPr>
              <w:t>β</w:t>
            </w:r>
            <w:r w:rsidRPr="001833E1">
              <w:rPr>
                <w:rFonts w:ascii="Times New Roman" w:hAnsi="Times New Roman" w:cs="Times New Roman"/>
                <w:sz w:val="17"/>
                <w:szCs w:val="17"/>
              </w:rPr>
              <w:t>=−4.17,  CI=−0.290-8.6  p-value=0.067</w:t>
            </w:r>
          </w:p>
        </w:tc>
      </w:tr>
    </w:tbl>
    <w:p w14:paraId="2ACB7FA7" w14:textId="77777777" w:rsidR="002F57BB" w:rsidRDefault="002F57BB" w:rsidP="00A73353">
      <w:pPr>
        <w:sectPr w:rsidR="002F57BB" w:rsidSect="004109B0">
          <w:pgSz w:w="16838" w:h="11906" w:orient="landscape"/>
          <w:pgMar w:top="1134" w:right="1134" w:bottom="1134" w:left="1134" w:header="709" w:footer="709" w:gutter="0"/>
          <w:cols w:space="708"/>
          <w:docGrid w:linePitch="360"/>
        </w:sectPr>
      </w:pPr>
    </w:p>
    <w:p w14:paraId="2420A454" w14:textId="7BEF313D" w:rsidR="002F57BB" w:rsidRPr="007F59BA" w:rsidRDefault="002F57BB" w:rsidP="002F57BB">
      <w:pPr>
        <w:rPr>
          <w:rFonts w:ascii="Times New Roman" w:hAnsi="Times New Roman"/>
          <w:b/>
          <w:bCs/>
          <w:lang w:val="en-US"/>
        </w:rPr>
      </w:pPr>
      <w:r w:rsidRPr="002F57BB">
        <w:rPr>
          <w:rFonts w:ascii="Times New Roman" w:hAnsi="Times New Roman"/>
          <w:b/>
          <w:bCs/>
          <w:lang w:val="en-US"/>
        </w:rPr>
        <w:lastRenderedPageBreak/>
        <w:t>C</w:t>
      </w:r>
      <w:r w:rsidR="00770CAA">
        <w:rPr>
          <w:rFonts w:ascii="Times New Roman" w:hAnsi="Times New Roman"/>
          <w:b/>
          <w:bCs/>
          <w:lang w:val="en-US"/>
        </w:rPr>
        <w:t>4</w:t>
      </w:r>
      <w:r w:rsidRPr="002F57BB">
        <w:rPr>
          <w:rFonts w:ascii="Times New Roman" w:hAnsi="Times New Roman"/>
          <w:b/>
          <w:bCs/>
          <w:lang w:val="en-US"/>
        </w:rPr>
        <w:t xml:space="preserve">. </w:t>
      </w:r>
      <w:r w:rsidRPr="007F59BA">
        <w:rPr>
          <w:rFonts w:ascii="Times New Roman" w:hAnsi="Times New Roman"/>
          <w:b/>
          <w:bCs/>
          <w:lang w:val="en-US"/>
        </w:rPr>
        <w:t>Level of evidence by type of intervention</w:t>
      </w:r>
      <w:r>
        <w:rPr>
          <w:rFonts w:ascii="Times New Roman" w:hAnsi="Times New Roman"/>
          <w:b/>
          <w:bCs/>
          <w:lang w:val="en-US"/>
        </w:rPr>
        <w:t>-</w:t>
      </w:r>
      <w:r w:rsidRPr="002F57BB">
        <w:rPr>
          <w:rFonts w:ascii="Times New Roman" w:hAnsi="Times New Roman"/>
          <w:b/>
          <w:bCs/>
          <w:lang w:val="en-US"/>
        </w:rPr>
        <w:t xml:space="preserve"> Detailed Descriptions</w:t>
      </w:r>
      <w:r w:rsidRPr="007F59BA">
        <w:rPr>
          <w:rFonts w:ascii="Times New Roman" w:hAnsi="Times New Roman"/>
          <w:b/>
          <w:bCs/>
          <w:lang w:val="en-US"/>
        </w:rPr>
        <w:t xml:space="preserve">   </w:t>
      </w:r>
    </w:p>
    <w:p w14:paraId="7924B07E" w14:textId="77777777" w:rsidR="00770CAA" w:rsidRPr="007F59BA" w:rsidRDefault="00770CAA" w:rsidP="00770CAA">
      <w:pPr>
        <w:spacing w:after="0" w:line="480" w:lineRule="auto"/>
        <w:jc w:val="both"/>
        <w:rPr>
          <w:rFonts w:ascii="Times New Roman" w:hAnsi="Times New Roman"/>
          <w:b/>
          <w:bCs/>
          <w:lang w:val="en-US"/>
        </w:rPr>
      </w:pPr>
      <w:r w:rsidRPr="007F59BA">
        <w:rPr>
          <w:rFonts w:ascii="Times New Roman" w:hAnsi="Times New Roman"/>
          <w:b/>
          <w:bCs/>
          <w:lang w:val="en-US"/>
        </w:rPr>
        <w:t>Intervention Type: Job and task modifications</w:t>
      </w:r>
    </w:p>
    <w:p w14:paraId="56048287" w14:textId="77777777" w:rsidR="00022D98" w:rsidRDefault="00770CAA" w:rsidP="00022D98">
      <w:pPr>
        <w:spacing w:after="0" w:line="480" w:lineRule="auto"/>
        <w:ind w:firstLine="284"/>
        <w:jc w:val="both"/>
        <w:rPr>
          <w:rFonts w:ascii="Times New Roman" w:hAnsi="Times New Roman"/>
          <w:lang w:val="en-US"/>
        </w:rPr>
      </w:pPr>
      <w:r w:rsidRPr="007F59BA">
        <w:rPr>
          <w:rFonts w:ascii="Times New Roman" w:hAnsi="Times New Roman"/>
          <w:lang w:val="en-US"/>
        </w:rPr>
        <w:t xml:space="preserve">This category includes interventions that involve changing how tasks are structured or allocated within the workplace, and resulting from </w:t>
      </w:r>
      <w:proofErr w:type="spellStart"/>
      <w:r w:rsidRPr="007F59BA">
        <w:rPr>
          <w:rFonts w:ascii="Times New Roman" w:hAnsi="Times New Roman"/>
          <w:lang w:val="en-US"/>
        </w:rPr>
        <w:t>organisational</w:t>
      </w:r>
      <w:proofErr w:type="spellEnd"/>
      <w:r w:rsidRPr="007F59BA">
        <w:rPr>
          <w:rFonts w:ascii="Times New Roman" w:hAnsi="Times New Roman"/>
          <w:lang w:val="en-US"/>
        </w:rPr>
        <w:t xml:space="preserve">, administrative, and/or technical changes or increased professional competence. For instance, the study by Guimaraes (2013) focused on optimizing work systems for live-line electricians by reorganizing tasks to consider circadian rhythms, heat effects, and fatigue. These changes aimed to reduce physical and mental workload, thereby improving employee well-being. Across the different contexts, the research evidence points towards the fact that job and task modifications are beneficial in most ways in achieving the goal of stress reduction and enhancing employees’ well-being. </w:t>
      </w:r>
      <w:r w:rsidR="00022D98">
        <w:rPr>
          <w:rFonts w:ascii="Times New Roman" w:hAnsi="Times New Roman"/>
          <w:lang w:val="en-US"/>
        </w:rPr>
        <w:t xml:space="preserve"> </w:t>
      </w:r>
    </w:p>
    <w:p w14:paraId="6753B195" w14:textId="77777777" w:rsidR="00692A2E" w:rsidRPr="007F59BA" w:rsidRDefault="00770CAA" w:rsidP="00692A2E">
      <w:pPr>
        <w:spacing w:after="0" w:line="480" w:lineRule="auto"/>
        <w:ind w:firstLine="284"/>
        <w:jc w:val="both"/>
        <w:rPr>
          <w:rFonts w:ascii="Times New Roman" w:hAnsi="Times New Roman"/>
          <w:lang w:val="en-US"/>
        </w:rPr>
      </w:pPr>
      <w:r w:rsidRPr="007F59BA">
        <w:rPr>
          <w:rFonts w:ascii="Times New Roman" w:hAnsi="Times New Roman"/>
          <w:lang w:val="en-US"/>
        </w:rPr>
        <w:t>Another study (Saffari et al., 2021) evaluated a skill-based educational program designed to improve job-related competencies among Intensive Care Unit (ICU) nurses. The results indicated that the program was effective in reducing stress and anxiety in the short term (up to 15 months), though the effects diminished over time, suggesting the need for continuous training to maintain benefits. Redhead et al. (2011) implemented an intervention which aimed to modify tasks and enhance the professional competence of the staff. The results were mixed, showing that while qualified staff benefited from reduced stress and improved job satisfaction, the intervention was less effective for unqualified staff, highlighting the importance of tailoring interventions to the specific competencies of the participants. On the other hand, White and Winstanley (2010) and Deneckere et al. (2013) found that team-oriented and job task modifications in healthcare settings aiming to improve collaboration and reduce stress were found positive.</w:t>
      </w:r>
      <w:r w:rsidR="00692A2E">
        <w:rPr>
          <w:rFonts w:ascii="Times New Roman" w:hAnsi="Times New Roman"/>
          <w:lang w:val="en-US"/>
        </w:rPr>
        <w:t xml:space="preserve"> </w:t>
      </w:r>
      <w:r w:rsidR="00692A2E" w:rsidRPr="007F59BA">
        <w:rPr>
          <w:rFonts w:ascii="Times New Roman" w:hAnsi="Times New Roman"/>
          <w:lang w:val="en-US"/>
        </w:rPr>
        <w:t xml:space="preserve">The study by Micek et al. (2022) found significant improvements in physician well-being, </w:t>
      </w:r>
      <w:proofErr w:type="gramStart"/>
      <w:r w:rsidR="00692A2E" w:rsidRPr="007F59BA">
        <w:rPr>
          <w:rFonts w:ascii="Times New Roman" w:hAnsi="Times New Roman"/>
          <w:lang w:val="en-US"/>
        </w:rPr>
        <w:t>and in particular, reducing</w:t>
      </w:r>
      <w:proofErr w:type="gramEnd"/>
      <w:r w:rsidR="00692A2E" w:rsidRPr="007F59BA">
        <w:rPr>
          <w:rFonts w:ascii="Times New Roman" w:hAnsi="Times New Roman"/>
          <w:lang w:val="en-US"/>
        </w:rPr>
        <w:t xml:space="preserve"> burnout, and the amount of time physicians spent on EHR tasks. This suggests that modifying the physical work environment by incorporating remote scribes can positively affect physician well-being and efficiency.</w:t>
      </w:r>
    </w:p>
    <w:p w14:paraId="31EBB806" w14:textId="10D093C6" w:rsidR="00770CAA" w:rsidRPr="007F59BA" w:rsidRDefault="00770CAA" w:rsidP="00022D98">
      <w:pPr>
        <w:spacing w:after="0" w:line="480" w:lineRule="auto"/>
        <w:ind w:firstLine="284"/>
        <w:jc w:val="both"/>
        <w:rPr>
          <w:rFonts w:ascii="Times New Roman" w:hAnsi="Times New Roman"/>
          <w:lang w:val="en-US"/>
        </w:rPr>
      </w:pPr>
    </w:p>
    <w:p w14:paraId="3AFF8B5B" w14:textId="77777777" w:rsidR="00770CAA" w:rsidRDefault="00770CAA" w:rsidP="00770CAA">
      <w:pPr>
        <w:spacing w:after="0" w:line="480" w:lineRule="auto"/>
        <w:jc w:val="both"/>
        <w:rPr>
          <w:rFonts w:ascii="Times New Roman" w:hAnsi="Times New Roman"/>
          <w:lang w:val="en-US"/>
        </w:rPr>
      </w:pPr>
    </w:p>
    <w:p w14:paraId="7891FF57" w14:textId="77777777" w:rsidR="00770CAA" w:rsidRPr="007F59BA" w:rsidRDefault="00770CAA" w:rsidP="00770CAA">
      <w:pPr>
        <w:spacing w:after="0" w:line="480" w:lineRule="auto"/>
        <w:jc w:val="both"/>
        <w:rPr>
          <w:rFonts w:ascii="Times New Roman" w:hAnsi="Times New Roman"/>
          <w:b/>
          <w:bCs/>
          <w:lang w:val="en-US"/>
        </w:rPr>
      </w:pPr>
      <w:r w:rsidRPr="007F59BA">
        <w:rPr>
          <w:rFonts w:ascii="Times New Roman" w:hAnsi="Times New Roman"/>
          <w:b/>
          <w:bCs/>
          <w:lang w:val="en-US"/>
        </w:rPr>
        <w:lastRenderedPageBreak/>
        <w:t>Intervention Type: Flexible Work and Scheduling Changes</w:t>
      </w:r>
    </w:p>
    <w:p w14:paraId="6E6DFD9E" w14:textId="03A9D8F4" w:rsidR="00835EF1" w:rsidRDefault="00835EF1" w:rsidP="00835EF1">
      <w:pPr>
        <w:spacing w:after="0" w:line="480" w:lineRule="auto"/>
        <w:ind w:firstLine="284"/>
        <w:jc w:val="both"/>
        <w:rPr>
          <w:rFonts w:ascii="Times New Roman" w:hAnsi="Times New Roman"/>
          <w:lang w:val="en-US"/>
        </w:rPr>
      </w:pPr>
      <w:r w:rsidRPr="00835EF1">
        <w:rPr>
          <w:rFonts w:ascii="Times New Roman" w:hAnsi="Times New Roman"/>
          <w:lang w:val="en-US"/>
        </w:rPr>
        <w:t xml:space="preserve">The study by Ali et al. (2011) focused on the impact of flexible scheduling in intensive care units, particularly reducing continuous work hours and providing more rest periods for physicians.  It was evident that there were significant changes in burnout status and a decrease in the amount of distress among the physicians. Possible implications of flexible scheduling for job satisfaction, relaxation, and stress level were also examined in this work. Likewise, Garland et al. (2012) tested the implications of a flexible workplace schedule for health care workers. Positive changes are detected concerning the work-life balance and the alleviation of numerous problems connected to job overload. It also pointed out certain instances of an increase in role ambiguity, thus suggesting that while using flexibility at work can lower employee burnout rates and increase </w:t>
      </w:r>
      <w:proofErr w:type="spellStart"/>
      <w:r w:rsidRPr="00835EF1">
        <w:rPr>
          <w:rFonts w:ascii="Times New Roman" w:hAnsi="Times New Roman"/>
          <w:lang w:val="en-US"/>
        </w:rPr>
        <w:t>organisational</w:t>
      </w:r>
      <w:proofErr w:type="spellEnd"/>
      <w:r w:rsidRPr="00835EF1">
        <w:rPr>
          <w:rFonts w:ascii="Times New Roman" w:hAnsi="Times New Roman"/>
          <w:lang w:val="en-US"/>
        </w:rPr>
        <w:t xml:space="preserve"> satisfaction, new </w:t>
      </w:r>
      <w:proofErr w:type="gramStart"/>
      <w:r w:rsidRPr="00835EF1">
        <w:rPr>
          <w:rFonts w:ascii="Times New Roman" w:hAnsi="Times New Roman"/>
          <w:lang w:val="en-US"/>
        </w:rPr>
        <w:t>role indeterminacy</w:t>
      </w:r>
      <w:proofErr w:type="gramEnd"/>
      <w:r w:rsidRPr="00835EF1">
        <w:rPr>
          <w:rFonts w:ascii="Times New Roman" w:hAnsi="Times New Roman"/>
          <w:lang w:val="en-US"/>
        </w:rPr>
        <w:t xml:space="preserve"> sources appear. </w:t>
      </w:r>
    </w:p>
    <w:p w14:paraId="06AD296F" w14:textId="6D1F8CEB" w:rsidR="00770CAA" w:rsidRDefault="00835EF1" w:rsidP="00835EF1">
      <w:pPr>
        <w:spacing w:after="0" w:line="480" w:lineRule="auto"/>
        <w:ind w:firstLine="284"/>
        <w:jc w:val="both"/>
        <w:rPr>
          <w:rFonts w:ascii="Times New Roman" w:hAnsi="Times New Roman"/>
          <w:lang w:val="en-US"/>
        </w:rPr>
      </w:pPr>
      <w:r w:rsidRPr="00835EF1">
        <w:rPr>
          <w:rFonts w:ascii="Times New Roman" w:hAnsi="Times New Roman"/>
          <w:lang w:val="en-US"/>
        </w:rPr>
        <w:t>However, both studies were of moderate methodological quality, and results were not entirely consistent across all mental health outcomes. While flexibility appears promising in reducing burnout and improving work–life balance, the strength of evidence is moderate, and findings cannot yet be considered conclusive. Further high-quality trials are needed to confirm sustained effects and rule out potential drawbacks, such as increased role ambiguity.</w:t>
      </w:r>
    </w:p>
    <w:p w14:paraId="4807669C" w14:textId="77777777" w:rsidR="00835EF1" w:rsidRPr="007F59BA" w:rsidRDefault="00835EF1" w:rsidP="00835EF1">
      <w:pPr>
        <w:spacing w:after="0" w:line="480" w:lineRule="auto"/>
        <w:jc w:val="both"/>
        <w:rPr>
          <w:rFonts w:ascii="Times New Roman" w:hAnsi="Times New Roman"/>
          <w:b/>
          <w:bCs/>
          <w:lang w:val="en-US"/>
        </w:rPr>
      </w:pPr>
    </w:p>
    <w:p w14:paraId="3C1B406C" w14:textId="77777777" w:rsidR="00770CAA" w:rsidRPr="007F59BA" w:rsidRDefault="00770CAA" w:rsidP="00770CAA">
      <w:pPr>
        <w:spacing w:after="0" w:line="480" w:lineRule="auto"/>
        <w:jc w:val="both"/>
        <w:rPr>
          <w:rFonts w:ascii="Times New Roman" w:hAnsi="Times New Roman"/>
          <w:b/>
          <w:bCs/>
          <w:lang w:val="en-US"/>
        </w:rPr>
      </w:pPr>
      <w:r w:rsidRPr="007F59BA">
        <w:rPr>
          <w:rFonts w:ascii="Times New Roman" w:hAnsi="Times New Roman"/>
          <w:b/>
          <w:bCs/>
          <w:lang w:val="en-US"/>
        </w:rPr>
        <w:t>Intervention Type: Changes in the physical work environment</w:t>
      </w:r>
    </w:p>
    <w:p w14:paraId="560F1AE3" w14:textId="77777777" w:rsidR="008B5184" w:rsidRDefault="008B5184" w:rsidP="008B5184">
      <w:pPr>
        <w:spacing w:after="0" w:line="480" w:lineRule="auto"/>
        <w:ind w:firstLine="284"/>
        <w:jc w:val="both"/>
        <w:rPr>
          <w:rFonts w:ascii="Times New Roman" w:hAnsi="Times New Roman"/>
          <w:lang w:val="en-US"/>
        </w:rPr>
      </w:pPr>
      <w:r w:rsidRPr="008B5184">
        <w:rPr>
          <w:rFonts w:ascii="Times New Roman" w:hAnsi="Times New Roman"/>
          <w:lang w:val="en-US"/>
        </w:rPr>
        <w:t xml:space="preserve">The study by Falk et al. (2022) in TICTM settings demonstrated moderate to large effect sizes on positive effect and reductions in fatigue following the provision of height-adjustable desks combined with online </w:t>
      </w:r>
      <w:proofErr w:type="spellStart"/>
      <w:r w:rsidRPr="008B5184">
        <w:rPr>
          <w:rFonts w:ascii="Times New Roman" w:hAnsi="Times New Roman"/>
          <w:lang w:val="en-US"/>
        </w:rPr>
        <w:t>behavioural</w:t>
      </w:r>
      <w:proofErr w:type="spellEnd"/>
      <w:r w:rsidRPr="008B5184">
        <w:rPr>
          <w:rFonts w:ascii="Times New Roman" w:hAnsi="Times New Roman"/>
          <w:lang w:val="en-US"/>
        </w:rPr>
        <w:t xml:space="preserve"> modules. However, statistical significance values were not reported, making it difficult to determine the robustness of these findings</w:t>
      </w:r>
      <w:r>
        <w:rPr>
          <w:rFonts w:ascii="Times New Roman" w:hAnsi="Times New Roman"/>
          <w:lang w:val="en-US"/>
        </w:rPr>
        <w:t xml:space="preserve"> and making the results exploratory. </w:t>
      </w:r>
    </w:p>
    <w:p w14:paraId="54C64F6D" w14:textId="27DFF6E3" w:rsidR="008B5184" w:rsidRPr="008B5184" w:rsidRDefault="008B5184" w:rsidP="008B5184">
      <w:pPr>
        <w:spacing w:after="0" w:line="480" w:lineRule="auto"/>
        <w:ind w:firstLine="284"/>
        <w:jc w:val="both"/>
        <w:rPr>
          <w:rFonts w:ascii="Times New Roman" w:hAnsi="Times New Roman"/>
          <w:lang w:val="en-US"/>
        </w:rPr>
      </w:pPr>
      <w:r w:rsidRPr="008B5184">
        <w:rPr>
          <w:rFonts w:ascii="Times New Roman" w:hAnsi="Times New Roman"/>
          <w:lang w:val="en-US"/>
        </w:rPr>
        <w:t xml:space="preserve">Earlier studies in healthcare settings (Cordoza et al., 2018; Emani et al., 2020; van </w:t>
      </w:r>
      <w:proofErr w:type="spellStart"/>
      <w:r w:rsidRPr="008B5184">
        <w:rPr>
          <w:rFonts w:ascii="Times New Roman" w:hAnsi="Times New Roman"/>
          <w:lang w:val="en-US"/>
        </w:rPr>
        <w:t>Woerkom</w:t>
      </w:r>
      <w:proofErr w:type="spellEnd"/>
      <w:r w:rsidRPr="008B5184">
        <w:rPr>
          <w:rFonts w:ascii="Times New Roman" w:hAnsi="Times New Roman"/>
          <w:lang w:val="en-US"/>
        </w:rPr>
        <w:t>, 2021) also showed beneficial effects of environmental modification</w:t>
      </w:r>
      <w:r>
        <w:rPr>
          <w:rFonts w:ascii="Times New Roman" w:hAnsi="Times New Roman"/>
          <w:lang w:val="en-US"/>
        </w:rPr>
        <w:t xml:space="preserve">, such as </w:t>
      </w:r>
      <w:r w:rsidRPr="008B5184">
        <w:rPr>
          <w:rFonts w:ascii="Times New Roman" w:hAnsi="Times New Roman"/>
          <w:lang w:val="en-US"/>
        </w:rPr>
        <w:t>noise reduction</w:t>
      </w:r>
      <w:r>
        <w:rPr>
          <w:rFonts w:ascii="Times New Roman" w:hAnsi="Times New Roman"/>
          <w:lang w:val="en-US"/>
        </w:rPr>
        <w:t xml:space="preserve"> and</w:t>
      </w:r>
      <w:r w:rsidRPr="008B5184">
        <w:rPr>
          <w:rFonts w:ascii="Times New Roman" w:hAnsi="Times New Roman"/>
          <w:lang w:val="en-US"/>
        </w:rPr>
        <w:t xml:space="preserve"> ergonomic adjustments</w:t>
      </w:r>
      <w:r>
        <w:rPr>
          <w:rFonts w:ascii="Times New Roman" w:hAnsi="Times New Roman"/>
          <w:lang w:val="en-US"/>
        </w:rPr>
        <w:t>,</w:t>
      </w:r>
      <w:r w:rsidRPr="008B5184">
        <w:rPr>
          <w:rFonts w:ascii="Times New Roman" w:hAnsi="Times New Roman"/>
          <w:lang w:val="en-US"/>
        </w:rPr>
        <w:t xml:space="preserve"> on employee well-being. Yet, these studies were mostly small-scale and of moderate methodological quality.</w:t>
      </w:r>
      <w:r>
        <w:rPr>
          <w:rFonts w:ascii="Times New Roman" w:hAnsi="Times New Roman"/>
          <w:lang w:val="en-US"/>
        </w:rPr>
        <w:t xml:space="preserve"> </w:t>
      </w:r>
      <w:r w:rsidRPr="008B5184">
        <w:rPr>
          <w:rFonts w:ascii="Times New Roman" w:hAnsi="Times New Roman"/>
          <w:lang w:val="en-US"/>
        </w:rPr>
        <w:t xml:space="preserve">Overall, while physical environment changes show potential in </w:t>
      </w:r>
      <w:r w:rsidRPr="008B5184">
        <w:rPr>
          <w:rFonts w:ascii="Times New Roman" w:hAnsi="Times New Roman"/>
          <w:lang w:val="en-US"/>
        </w:rPr>
        <w:lastRenderedPageBreak/>
        <w:t>improving mental well-being and reducing stress, the strength of evidence remains moderate, and further large-scale, high-quality trials are needed to confirm these findings.</w:t>
      </w:r>
    </w:p>
    <w:p w14:paraId="33A469C1" w14:textId="77777777" w:rsidR="008B5184" w:rsidRPr="007F59BA" w:rsidRDefault="008B5184" w:rsidP="00770CAA">
      <w:pPr>
        <w:spacing w:after="0" w:line="480" w:lineRule="auto"/>
        <w:jc w:val="both"/>
        <w:rPr>
          <w:rFonts w:ascii="Times New Roman" w:hAnsi="Times New Roman"/>
          <w:lang w:val="en-US"/>
        </w:rPr>
      </w:pPr>
    </w:p>
    <w:p w14:paraId="52F808D0" w14:textId="77777777" w:rsidR="00770CAA" w:rsidRPr="007F59BA" w:rsidRDefault="00770CAA" w:rsidP="00770CAA">
      <w:pPr>
        <w:spacing w:after="0" w:line="480" w:lineRule="auto"/>
        <w:jc w:val="both"/>
        <w:rPr>
          <w:rFonts w:ascii="Times New Roman" w:hAnsi="Times New Roman"/>
          <w:b/>
          <w:bCs/>
        </w:rPr>
      </w:pPr>
      <w:r w:rsidRPr="007F59BA">
        <w:rPr>
          <w:rFonts w:ascii="Times New Roman" w:hAnsi="Times New Roman"/>
          <w:b/>
          <w:bCs/>
          <w:lang w:val="en-US"/>
        </w:rPr>
        <w:t xml:space="preserve">Intervention Type: </w:t>
      </w:r>
      <w:r w:rsidRPr="007F59BA">
        <w:rPr>
          <w:rFonts w:ascii="Times New Roman" w:hAnsi="Times New Roman"/>
          <w:b/>
          <w:bCs/>
        </w:rPr>
        <w:t>Participatory and enabling workplace change interventions</w:t>
      </w:r>
    </w:p>
    <w:p w14:paraId="1076E3BD" w14:textId="4F0DC303" w:rsidR="00770CAA" w:rsidRPr="007F59BA" w:rsidRDefault="006E1CE0" w:rsidP="00770CAA">
      <w:pPr>
        <w:spacing w:after="0" w:line="480" w:lineRule="auto"/>
        <w:ind w:firstLine="284"/>
        <w:jc w:val="both"/>
        <w:rPr>
          <w:rFonts w:ascii="Times New Roman" w:hAnsi="Times New Roman"/>
        </w:rPr>
      </w:pPr>
      <w:r>
        <w:rPr>
          <w:rFonts w:ascii="Times New Roman" w:hAnsi="Times New Roman"/>
          <w:lang w:val="en-US"/>
        </w:rPr>
        <w:t>T</w:t>
      </w:r>
      <w:r w:rsidR="00770CAA" w:rsidRPr="007F59BA">
        <w:rPr>
          <w:rFonts w:ascii="Times New Roman" w:hAnsi="Times New Roman"/>
          <w:lang w:val="en-US"/>
        </w:rPr>
        <w:t xml:space="preserve">he study by </w:t>
      </w:r>
      <w:proofErr w:type="spellStart"/>
      <w:r w:rsidR="00770CAA" w:rsidRPr="007F59BA">
        <w:rPr>
          <w:rFonts w:ascii="Times New Roman" w:hAnsi="Times New Roman"/>
          <w:lang w:val="en-US"/>
        </w:rPr>
        <w:t>Cedstrand</w:t>
      </w:r>
      <w:proofErr w:type="spellEnd"/>
      <w:r w:rsidR="00770CAA" w:rsidRPr="007F59BA">
        <w:rPr>
          <w:rFonts w:ascii="Times New Roman" w:hAnsi="Times New Roman"/>
          <w:lang w:val="en-US"/>
        </w:rPr>
        <w:t xml:space="preserve"> et al. (2022) </w:t>
      </w:r>
      <w:r w:rsidR="00770CAA">
        <w:rPr>
          <w:rFonts w:ascii="Times New Roman" w:hAnsi="Times New Roman"/>
          <w:lang w:val="en-US"/>
        </w:rPr>
        <w:t>showed</w:t>
      </w:r>
      <w:r w:rsidR="00770CAA" w:rsidRPr="007F59BA">
        <w:rPr>
          <w:rFonts w:ascii="Times New Roman" w:hAnsi="Times New Roman"/>
          <w:lang w:val="en-US"/>
        </w:rPr>
        <w:t xml:space="preserve"> that encouraging employees to be involved in decision-making processes related to workplace changes may significantly improve their sense of control and engagement, leading to better job satisfaction and performance. </w:t>
      </w:r>
      <w:r w:rsidRPr="007F59BA">
        <w:rPr>
          <w:rFonts w:ascii="Times New Roman" w:hAnsi="Times New Roman"/>
        </w:rPr>
        <w:t xml:space="preserve">In addition, Wang et al. (2024) examined team behaviours in organizational context with a specific emphasis on better communication and collaboration among teams that may enhance teamwork. </w:t>
      </w:r>
      <w:r w:rsidR="00770CAA" w:rsidRPr="007F59BA">
        <w:rPr>
          <w:rFonts w:ascii="Times New Roman" w:hAnsi="Times New Roman"/>
          <w:lang w:val="en-US"/>
        </w:rPr>
        <w:t xml:space="preserve">Also, the results derived from the studies by </w:t>
      </w:r>
      <w:r w:rsidRPr="007F59BA">
        <w:rPr>
          <w:rFonts w:ascii="Times New Roman" w:hAnsi="Times New Roman"/>
          <w:lang w:val="en-US"/>
        </w:rPr>
        <w:t>Bourbonnais et al. (2011)</w:t>
      </w:r>
      <w:r>
        <w:rPr>
          <w:rFonts w:ascii="Times New Roman" w:hAnsi="Times New Roman"/>
          <w:lang w:val="en-US"/>
        </w:rPr>
        <w:t xml:space="preserve">, </w:t>
      </w:r>
      <w:proofErr w:type="spellStart"/>
      <w:r w:rsidR="00770CAA" w:rsidRPr="007F59BA">
        <w:rPr>
          <w:rFonts w:ascii="Times New Roman" w:hAnsi="Times New Roman"/>
          <w:lang w:val="en-US"/>
        </w:rPr>
        <w:t>Havermans</w:t>
      </w:r>
      <w:proofErr w:type="spellEnd"/>
      <w:r w:rsidR="00770CAA" w:rsidRPr="007F59BA">
        <w:rPr>
          <w:rFonts w:ascii="Times New Roman" w:hAnsi="Times New Roman"/>
          <w:lang w:val="en-US"/>
        </w:rPr>
        <w:t xml:space="preserve"> et al. (2018), </w:t>
      </w:r>
      <w:r>
        <w:rPr>
          <w:rFonts w:ascii="Times New Roman" w:hAnsi="Times New Roman"/>
          <w:lang w:val="en-US"/>
        </w:rPr>
        <w:t xml:space="preserve">and </w:t>
      </w:r>
      <w:proofErr w:type="spellStart"/>
      <w:r w:rsidR="00770CAA" w:rsidRPr="007F59BA">
        <w:rPr>
          <w:rFonts w:ascii="Times New Roman" w:hAnsi="Times New Roman"/>
          <w:lang w:val="en-US"/>
        </w:rPr>
        <w:t>Kossek</w:t>
      </w:r>
      <w:proofErr w:type="spellEnd"/>
      <w:r w:rsidR="00770CAA" w:rsidRPr="007F59BA">
        <w:rPr>
          <w:rFonts w:ascii="Times New Roman" w:hAnsi="Times New Roman"/>
          <w:lang w:val="en-US"/>
        </w:rPr>
        <w:t xml:space="preserve"> et al. (</w:t>
      </w:r>
      <w:r w:rsidR="00FC79F9">
        <w:rPr>
          <w:rFonts w:ascii="Times New Roman" w:hAnsi="Times New Roman"/>
          <w:lang w:val="en-US"/>
        </w:rPr>
        <w:t>201</w:t>
      </w:r>
      <w:r>
        <w:rPr>
          <w:rFonts w:ascii="Times New Roman" w:hAnsi="Times New Roman"/>
          <w:lang w:val="en-US"/>
        </w:rPr>
        <w:t>9</w:t>
      </w:r>
      <w:r w:rsidR="00770CAA" w:rsidRPr="007F59BA">
        <w:rPr>
          <w:rFonts w:ascii="Times New Roman" w:hAnsi="Times New Roman"/>
          <w:lang w:val="en-US"/>
        </w:rPr>
        <w:t>)</w:t>
      </w:r>
      <w:r>
        <w:rPr>
          <w:rFonts w:ascii="Times New Roman" w:hAnsi="Times New Roman"/>
          <w:lang w:val="en-US"/>
        </w:rPr>
        <w:t xml:space="preserve"> </w:t>
      </w:r>
      <w:r w:rsidR="00770CAA" w:rsidRPr="007F59BA">
        <w:rPr>
          <w:rFonts w:ascii="Times New Roman" w:hAnsi="Times New Roman"/>
          <w:lang w:val="en-US"/>
        </w:rPr>
        <w:t>demonstrate that interventions involving employees in the development and implementation of stress-reduction strategies lead to significant reductions in job-related stress and improvements in mental health. On the other hand, West et al. (2014) and Uchiyama et al. (2013) found either insignificant effects or mixed results.</w:t>
      </w:r>
    </w:p>
    <w:p w14:paraId="3C0B8AC6" w14:textId="77777777" w:rsidR="00770CAA" w:rsidRPr="007F59BA" w:rsidRDefault="00770CAA" w:rsidP="00770CAA">
      <w:pPr>
        <w:spacing w:after="0" w:line="480" w:lineRule="auto"/>
        <w:jc w:val="both"/>
        <w:rPr>
          <w:rFonts w:ascii="Times New Roman" w:hAnsi="Times New Roman"/>
          <w:lang w:val="en-US"/>
        </w:rPr>
      </w:pPr>
    </w:p>
    <w:p w14:paraId="21D7A1DA" w14:textId="77777777" w:rsidR="00770CAA" w:rsidRPr="007F59BA" w:rsidRDefault="00770CAA" w:rsidP="00770CAA">
      <w:pPr>
        <w:spacing w:after="0" w:line="480" w:lineRule="auto"/>
        <w:jc w:val="both"/>
        <w:rPr>
          <w:rFonts w:ascii="Times New Roman" w:hAnsi="Times New Roman"/>
          <w:b/>
          <w:bCs/>
          <w:lang w:val="en-US"/>
        </w:rPr>
      </w:pPr>
      <w:r w:rsidRPr="007F59BA">
        <w:rPr>
          <w:rFonts w:ascii="Times New Roman" w:hAnsi="Times New Roman"/>
          <w:b/>
          <w:bCs/>
          <w:lang w:val="en-US"/>
        </w:rPr>
        <w:t>Intervention Type: Relational and team dynamics interventions</w:t>
      </w:r>
    </w:p>
    <w:p w14:paraId="048127AD" w14:textId="77777777" w:rsidR="006E1CE0" w:rsidRDefault="006E1CE0" w:rsidP="006E1CE0">
      <w:pPr>
        <w:spacing w:after="0" w:line="480" w:lineRule="auto"/>
        <w:ind w:firstLine="284"/>
        <w:jc w:val="both"/>
        <w:rPr>
          <w:rFonts w:ascii="Times New Roman" w:hAnsi="Times New Roman"/>
        </w:rPr>
      </w:pPr>
      <w:r w:rsidRPr="007F59BA">
        <w:rPr>
          <w:rFonts w:ascii="Times New Roman" w:hAnsi="Times New Roman"/>
        </w:rPr>
        <w:t xml:space="preserve">Regarding this intervention type, Shan et al. (2024) found a positive effect of Balint groups on reducing burnout related to personal achievement but did not find significant changes in emotional exhaustion or depersonalization. This suggests that while changes in the way patient work is handled can improve some aspects of burnout, other factors may require different or more prolonged interventions​. </w:t>
      </w:r>
    </w:p>
    <w:p w14:paraId="6868EC74" w14:textId="17CF3DC3" w:rsidR="00770CAA" w:rsidRPr="007F59BA" w:rsidRDefault="00770CAA" w:rsidP="006E1CE0">
      <w:pPr>
        <w:spacing w:after="0" w:line="480" w:lineRule="auto"/>
        <w:ind w:firstLine="284"/>
        <w:jc w:val="both"/>
        <w:rPr>
          <w:rFonts w:ascii="Times New Roman" w:hAnsi="Times New Roman"/>
        </w:rPr>
      </w:pPr>
      <w:r w:rsidRPr="007F59BA">
        <w:rPr>
          <w:rFonts w:ascii="Times New Roman" w:hAnsi="Times New Roman"/>
        </w:rPr>
        <w:t>Kiser et al. (2024) have further provided a study of a well-executed relational intervention with regard to peer coaching that plays a significant role in improving healthcare professionals’ well-being and decreasing burnout rates. Likewise, those studies by Leiter et al. (2011) and Jakobsen et al. (2017) have found that relational interventions aimed at increasing interpersonal communication and support between team members can be effective in preventing or mitigating burnout and reducing job stress.</w:t>
      </w:r>
    </w:p>
    <w:p w14:paraId="1C440A31" w14:textId="77777777" w:rsidR="00770CAA" w:rsidRPr="007F59BA" w:rsidRDefault="00770CAA" w:rsidP="00770CAA">
      <w:pPr>
        <w:spacing w:after="0" w:line="480" w:lineRule="auto"/>
        <w:jc w:val="both"/>
        <w:rPr>
          <w:rFonts w:ascii="Times New Roman" w:hAnsi="Times New Roman"/>
          <w:b/>
          <w:bCs/>
        </w:rPr>
      </w:pPr>
    </w:p>
    <w:p w14:paraId="7947AA6D" w14:textId="77777777" w:rsidR="00770CAA" w:rsidRPr="007F59BA" w:rsidRDefault="00770CAA" w:rsidP="00770CAA">
      <w:pPr>
        <w:spacing w:after="0" w:line="480" w:lineRule="auto"/>
        <w:jc w:val="both"/>
        <w:rPr>
          <w:rFonts w:ascii="Times New Roman" w:hAnsi="Times New Roman"/>
          <w:b/>
          <w:bCs/>
          <w:lang w:val="en-US"/>
        </w:rPr>
      </w:pPr>
      <w:r w:rsidRPr="007F59BA">
        <w:rPr>
          <w:rFonts w:ascii="Times New Roman" w:hAnsi="Times New Roman"/>
          <w:b/>
          <w:bCs/>
          <w:lang w:val="en-US"/>
        </w:rPr>
        <w:t>Intervention Type: Improvement of employees’ mental health through changes in the way (patient) work is done</w:t>
      </w:r>
    </w:p>
    <w:p w14:paraId="468E4CC6" w14:textId="77777777" w:rsidR="00770CAA" w:rsidRPr="007F59BA" w:rsidRDefault="00770CAA" w:rsidP="00770CAA">
      <w:pPr>
        <w:spacing w:after="0" w:line="480" w:lineRule="auto"/>
        <w:ind w:firstLine="284"/>
        <w:jc w:val="both"/>
        <w:rPr>
          <w:rFonts w:ascii="Times New Roman" w:hAnsi="Times New Roman"/>
          <w:lang w:val="en-US"/>
        </w:rPr>
      </w:pPr>
      <w:r w:rsidRPr="007F59BA">
        <w:rPr>
          <w:rFonts w:ascii="Times New Roman" w:hAnsi="Times New Roman"/>
          <w:lang w:val="en-US"/>
        </w:rPr>
        <w:t xml:space="preserve">On the other hand, Tran et al. (2010) did show improvements in job satisfaction, but the anticipated reduction in stress did not materialize as strongly as expected and the impact of their intervention on stress levels was not statistically significant. Likewise, </w:t>
      </w:r>
      <w:proofErr w:type="spellStart"/>
      <w:r w:rsidRPr="007F59BA">
        <w:rPr>
          <w:rFonts w:ascii="Times New Roman" w:hAnsi="Times New Roman"/>
          <w:lang w:val="en-US"/>
        </w:rPr>
        <w:t>Barcons</w:t>
      </w:r>
      <w:proofErr w:type="spellEnd"/>
      <w:r w:rsidRPr="007F59BA">
        <w:rPr>
          <w:rFonts w:ascii="Times New Roman" w:hAnsi="Times New Roman"/>
          <w:lang w:val="en-US"/>
        </w:rPr>
        <w:t xml:space="preserve"> et al. (2019) also found that staff morale and role clarity were enhanced by the changes in structured communication protocols and workflow. However, the changes had no substantial measurable effect on stress or burnout levels.</w:t>
      </w:r>
    </w:p>
    <w:p w14:paraId="42DCA632" w14:textId="77777777" w:rsidR="000319A5" w:rsidRDefault="00770CAA" w:rsidP="000319A5">
      <w:pPr>
        <w:spacing w:after="0" w:line="480" w:lineRule="auto"/>
        <w:ind w:firstLine="284"/>
        <w:jc w:val="both"/>
        <w:rPr>
          <w:rFonts w:ascii="Times New Roman" w:hAnsi="Times New Roman"/>
          <w:lang w:val="en-US"/>
        </w:rPr>
      </w:pPr>
      <w:r w:rsidRPr="007F59BA">
        <w:rPr>
          <w:rFonts w:ascii="Times New Roman" w:hAnsi="Times New Roman"/>
          <w:lang w:val="en-US"/>
        </w:rPr>
        <w:t>Therefore, it can be concluded that the positive outcome of interventions strongly depends on how tailored and suitable the method is for the targeted workers. In addition, using such changes may not be enough to tackle stress and burnout since other measures may be required apart from working or communicating differently. This implies that interventions should be within a framework that is part of a broader strategy and encompasses other forms of support as a way of complementary measures, such as psychological support, training, and ongoing feedback mechanisms.</w:t>
      </w:r>
    </w:p>
    <w:p w14:paraId="377558B7" w14:textId="77777777" w:rsidR="000319A5" w:rsidRDefault="000319A5" w:rsidP="000319A5">
      <w:pPr>
        <w:spacing w:after="0" w:line="480" w:lineRule="auto"/>
        <w:ind w:firstLine="284"/>
        <w:jc w:val="both"/>
        <w:rPr>
          <w:rFonts w:ascii="Times New Roman" w:hAnsi="Times New Roman"/>
          <w:lang w:val="en-US"/>
        </w:rPr>
      </w:pPr>
    </w:p>
    <w:p w14:paraId="72DCE385" w14:textId="77777777" w:rsidR="000319A5" w:rsidRDefault="000319A5" w:rsidP="000319A5">
      <w:pPr>
        <w:spacing w:after="0" w:line="480" w:lineRule="auto"/>
        <w:ind w:firstLine="284"/>
        <w:jc w:val="both"/>
        <w:rPr>
          <w:rFonts w:ascii="Times New Roman" w:hAnsi="Times New Roman"/>
          <w:lang w:val="en-US"/>
        </w:rPr>
      </w:pPr>
      <w:r w:rsidRPr="000319A5">
        <w:rPr>
          <w:rFonts w:ascii="Times New Roman" w:hAnsi="Times New Roman" w:cs="Times New Roman"/>
          <w:b/>
          <w:bCs/>
          <w:lang w:val="en-US"/>
        </w:rPr>
        <w:t>Overall summary across intervention types</w:t>
      </w:r>
    </w:p>
    <w:p w14:paraId="4D9D08A2" w14:textId="38777842" w:rsidR="000319A5" w:rsidRPr="000319A5" w:rsidRDefault="000319A5" w:rsidP="000319A5">
      <w:pPr>
        <w:spacing w:after="0" w:line="480" w:lineRule="auto"/>
        <w:ind w:firstLine="284"/>
        <w:jc w:val="both"/>
        <w:rPr>
          <w:rFonts w:ascii="Times New Roman" w:hAnsi="Times New Roman"/>
          <w:lang w:val="en-US"/>
        </w:rPr>
      </w:pPr>
      <w:r w:rsidRPr="000319A5">
        <w:rPr>
          <w:rFonts w:ascii="Times New Roman" w:hAnsi="Times New Roman" w:cs="Times New Roman"/>
          <w:lang w:val="en-US"/>
        </w:rPr>
        <w:t xml:space="preserve">Evidence from the reviewed studies suggests that workplace interventions can improve employee well-being. However, their effectiveness varies across </w:t>
      </w:r>
      <w:r w:rsidR="00AD4057" w:rsidRPr="000319A5">
        <w:rPr>
          <w:rFonts w:ascii="Times New Roman" w:hAnsi="Times New Roman" w:cs="Times New Roman"/>
          <w:lang w:val="en-US"/>
        </w:rPr>
        <w:t>types</w:t>
      </w:r>
      <w:r w:rsidRPr="000319A5">
        <w:rPr>
          <w:rFonts w:ascii="Times New Roman" w:hAnsi="Times New Roman" w:cs="Times New Roman"/>
          <w:lang w:val="en-US"/>
        </w:rPr>
        <w:t xml:space="preserve"> and context. More specifically, modifications to the physical work environment, such as sit-stand desks, and ergonomic changes and redesigns, show moderate evidence for improving well-being, particularly in TICTM settings where long sitting hours and blurred work–life boundaries are common. Flexible work and scheduling changes can help reduce burnout and improve work–life balance, though evidence remains limited and context-dependent. Psychological interventions, such as Balint groups and peer coaching, show mixed results, as some dimensions of burnout improve, but others do not unless </w:t>
      </w:r>
      <w:proofErr w:type="spellStart"/>
      <w:r w:rsidRPr="000319A5">
        <w:rPr>
          <w:rFonts w:ascii="Times New Roman" w:hAnsi="Times New Roman" w:cs="Times New Roman"/>
          <w:lang w:val="en-US"/>
        </w:rPr>
        <w:t>organisational</w:t>
      </w:r>
      <w:proofErr w:type="spellEnd"/>
      <w:r w:rsidRPr="000319A5">
        <w:rPr>
          <w:rFonts w:ascii="Times New Roman" w:hAnsi="Times New Roman" w:cs="Times New Roman"/>
          <w:lang w:val="en-US"/>
        </w:rPr>
        <w:t xml:space="preserve"> changes (e.g., workload adjustments, support structures) are also implemented. Tailoring </w:t>
      </w:r>
      <w:r w:rsidRPr="000319A5">
        <w:rPr>
          <w:rFonts w:ascii="Times New Roman" w:hAnsi="Times New Roman" w:cs="Times New Roman"/>
          <w:lang w:val="en-US"/>
        </w:rPr>
        <w:lastRenderedPageBreak/>
        <w:t xml:space="preserve">interventions to sector-specific challenges and embedding them within broader </w:t>
      </w:r>
      <w:proofErr w:type="spellStart"/>
      <w:r w:rsidRPr="000319A5">
        <w:rPr>
          <w:rFonts w:ascii="Times New Roman" w:hAnsi="Times New Roman" w:cs="Times New Roman"/>
          <w:lang w:val="en-US"/>
        </w:rPr>
        <w:t>organisational</w:t>
      </w:r>
      <w:proofErr w:type="spellEnd"/>
      <w:r w:rsidRPr="000319A5">
        <w:rPr>
          <w:rFonts w:ascii="Times New Roman" w:hAnsi="Times New Roman" w:cs="Times New Roman"/>
          <w:lang w:val="en-US"/>
        </w:rPr>
        <w:t xml:space="preserve"> strategies appears essential for sustaining mental health benefits.</w:t>
      </w:r>
    </w:p>
    <w:p w14:paraId="529B2ED6" w14:textId="77777777" w:rsidR="000319A5" w:rsidRDefault="000319A5" w:rsidP="000319A5">
      <w:pPr>
        <w:rPr>
          <w:lang w:val="en-US"/>
        </w:rPr>
      </w:pPr>
    </w:p>
    <w:p w14:paraId="7F0AB5B9" w14:textId="77777777" w:rsidR="00022D98" w:rsidRPr="00022D98" w:rsidRDefault="00022D98" w:rsidP="00022D98">
      <w:pPr>
        <w:spacing w:after="0" w:line="480" w:lineRule="auto"/>
        <w:ind w:firstLine="284"/>
        <w:jc w:val="both"/>
        <w:rPr>
          <w:rFonts w:ascii="Times New Roman" w:hAnsi="Times New Roman"/>
          <w:b/>
          <w:bCs/>
          <w:lang w:val="en-US"/>
        </w:rPr>
      </w:pPr>
      <w:r w:rsidRPr="00022D98">
        <w:rPr>
          <w:rFonts w:ascii="Times New Roman" w:hAnsi="Times New Roman"/>
          <w:b/>
          <w:bCs/>
          <w:lang w:val="en-US"/>
        </w:rPr>
        <w:t>References</w:t>
      </w:r>
    </w:p>
    <w:p w14:paraId="58EA7E87" w14:textId="77777777" w:rsidR="00022D98" w:rsidRDefault="00022D98" w:rsidP="00022D98">
      <w:pPr>
        <w:spacing w:after="0" w:line="240" w:lineRule="auto"/>
        <w:ind w:left="284" w:hanging="284"/>
        <w:jc w:val="both"/>
        <w:rPr>
          <w:rFonts w:ascii="Times New Roman" w:hAnsi="Times New Roman"/>
          <w:iCs/>
        </w:rPr>
      </w:pPr>
      <w:r w:rsidRPr="007F59BA">
        <w:rPr>
          <w:rFonts w:ascii="Times New Roman" w:hAnsi="Times New Roman"/>
          <w:lang w:val="en-US"/>
        </w:rPr>
        <w:t xml:space="preserve">Ali, N. A., Wolf, K. M., Hammersley, J., Hoffmann, S. P., O’Brien Jr, J. M., Phillips, G. S., ...&amp; Midwest Critical Care Consortium. (2011). Continuity of care in intensive care units: a cluster-randomized trial of intensivist staffing. </w:t>
      </w:r>
      <w:r w:rsidRPr="007F59BA">
        <w:rPr>
          <w:rFonts w:ascii="Times New Roman" w:hAnsi="Times New Roman"/>
          <w:i/>
          <w:iCs/>
          <w:lang w:val="en-US"/>
        </w:rPr>
        <w:t>American journal of respiratory and critical care medicine</w:t>
      </w:r>
      <w:r w:rsidRPr="007F59BA">
        <w:rPr>
          <w:rFonts w:ascii="Times New Roman" w:hAnsi="Times New Roman"/>
          <w:lang w:val="en-US"/>
        </w:rPr>
        <w:t>, 184(7), 803-808.</w:t>
      </w:r>
    </w:p>
    <w:p w14:paraId="3704F8DB" w14:textId="77777777" w:rsidR="00022D98" w:rsidRPr="002E4CF8" w:rsidRDefault="00022D98" w:rsidP="00022D98">
      <w:pPr>
        <w:spacing w:after="0" w:line="240" w:lineRule="auto"/>
        <w:ind w:left="284" w:hanging="284"/>
        <w:jc w:val="both"/>
        <w:rPr>
          <w:rFonts w:ascii="Times New Roman" w:hAnsi="Times New Roman"/>
          <w:iCs/>
        </w:rPr>
      </w:pPr>
      <w:proofErr w:type="spellStart"/>
      <w:r w:rsidRPr="002E4CF8">
        <w:rPr>
          <w:rFonts w:ascii="Times New Roman" w:hAnsi="Times New Roman"/>
          <w:lang w:val="en-US"/>
        </w:rPr>
        <w:t>Barcons</w:t>
      </w:r>
      <w:proofErr w:type="spellEnd"/>
      <w:r w:rsidRPr="002E4CF8">
        <w:rPr>
          <w:rFonts w:ascii="Times New Roman" w:hAnsi="Times New Roman"/>
          <w:lang w:val="en-US"/>
        </w:rPr>
        <w:t xml:space="preserve">, C., García, B., Sarri, C., Rodríguez, E., Cunillera, O., </w:t>
      </w:r>
      <w:proofErr w:type="spellStart"/>
      <w:r w:rsidRPr="002E4CF8">
        <w:rPr>
          <w:rFonts w:ascii="Times New Roman" w:hAnsi="Times New Roman"/>
          <w:lang w:val="en-US"/>
        </w:rPr>
        <w:t>Parellada</w:t>
      </w:r>
      <w:proofErr w:type="spellEnd"/>
      <w:r w:rsidRPr="002E4CF8">
        <w:rPr>
          <w:rFonts w:ascii="Times New Roman" w:hAnsi="Times New Roman"/>
          <w:lang w:val="en-US"/>
        </w:rPr>
        <w:t xml:space="preserve">, N., Fernández, B., Alvarado, C. E., Barrio, C., Fleta, J. C., Ruiz, D. &amp; </w:t>
      </w:r>
      <w:proofErr w:type="spellStart"/>
      <w:r w:rsidRPr="002E4CF8">
        <w:rPr>
          <w:rFonts w:ascii="Times New Roman" w:hAnsi="Times New Roman"/>
          <w:lang w:val="en-US"/>
        </w:rPr>
        <w:t>Torrúbia</w:t>
      </w:r>
      <w:proofErr w:type="spellEnd"/>
      <w:r w:rsidRPr="002E4CF8">
        <w:rPr>
          <w:rFonts w:ascii="Times New Roman" w:hAnsi="Times New Roman"/>
          <w:lang w:val="en-US"/>
        </w:rPr>
        <w:t xml:space="preserve">, R. (2019). Effectiveness of a multimodal training </w:t>
      </w:r>
      <w:proofErr w:type="spellStart"/>
      <w:r w:rsidRPr="002E4CF8">
        <w:rPr>
          <w:rFonts w:ascii="Times New Roman" w:hAnsi="Times New Roman"/>
          <w:lang w:val="en-US"/>
        </w:rPr>
        <w:t>programme</w:t>
      </w:r>
      <w:proofErr w:type="spellEnd"/>
      <w:r w:rsidRPr="002E4CF8">
        <w:rPr>
          <w:rFonts w:ascii="Times New Roman" w:hAnsi="Times New Roman"/>
          <w:lang w:val="en-US"/>
        </w:rPr>
        <w:t xml:space="preserve"> to improve general practitioners’ burnout, job satisfaction and psychological well-being. </w:t>
      </w:r>
      <w:r w:rsidRPr="002E4CF8">
        <w:rPr>
          <w:rFonts w:ascii="Times New Roman" w:hAnsi="Times New Roman"/>
          <w:i/>
          <w:iCs/>
          <w:lang w:val="en-US"/>
        </w:rPr>
        <w:t>BMC family practice</w:t>
      </w:r>
      <w:r w:rsidRPr="002E4CF8">
        <w:rPr>
          <w:rFonts w:ascii="Times New Roman" w:hAnsi="Times New Roman"/>
          <w:lang w:val="en-US"/>
        </w:rPr>
        <w:t>, 20, 1-12.</w:t>
      </w:r>
    </w:p>
    <w:p w14:paraId="54CBAE0B" w14:textId="19BD927C" w:rsidR="00022D98" w:rsidRDefault="00A17736" w:rsidP="00022D98">
      <w:pPr>
        <w:spacing w:after="0" w:line="240" w:lineRule="auto"/>
        <w:ind w:left="284" w:hanging="284"/>
        <w:jc w:val="both"/>
        <w:rPr>
          <w:rFonts w:ascii="Times New Roman" w:hAnsi="Times New Roman"/>
          <w:iCs/>
        </w:rPr>
      </w:pPr>
      <w:r w:rsidRPr="007F59BA">
        <w:rPr>
          <w:rFonts w:ascii="Times New Roman" w:hAnsi="Times New Roman"/>
          <w:lang w:val="en-US"/>
        </w:rPr>
        <w:t>Bourbonnais</w:t>
      </w:r>
      <w:r w:rsidR="00022D98" w:rsidRPr="007F59BA">
        <w:rPr>
          <w:rFonts w:ascii="Times New Roman" w:hAnsi="Times New Roman"/>
          <w:lang w:val="en-US"/>
        </w:rPr>
        <w:t xml:space="preserve">, R., Brisson, C., &amp; </w:t>
      </w:r>
      <w:proofErr w:type="spellStart"/>
      <w:r w:rsidR="00022D98" w:rsidRPr="007F59BA">
        <w:rPr>
          <w:rFonts w:ascii="Times New Roman" w:hAnsi="Times New Roman"/>
          <w:lang w:val="en-US"/>
        </w:rPr>
        <w:t>Vézina</w:t>
      </w:r>
      <w:proofErr w:type="spellEnd"/>
      <w:r w:rsidR="00022D98" w:rsidRPr="007F59BA">
        <w:rPr>
          <w:rFonts w:ascii="Times New Roman" w:hAnsi="Times New Roman"/>
          <w:lang w:val="en-US"/>
        </w:rPr>
        <w:t xml:space="preserve">, M. (2011). Long-term effects of an intervention on psychosocial work factors among healthcare professionals in a hospital setting. </w:t>
      </w:r>
      <w:r w:rsidR="00022D98" w:rsidRPr="007F59BA">
        <w:rPr>
          <w:rFonts w:ascii="Times New Roman" w:hAnsi="Times New Roman"/>
          <w:i/>
          <w:iCs/>
          <w:lang w:val="en-US"/>
        </w:rPr>
        <w:t>Occupational and Environmental Medicine</w:t>
      </w:r>
      <w:r w:rsidR="00022D98" w:rsidRPr="007F59BA">
        <w:rPr>
          <w:rFonts w:ascii="Times New Roman" w:hAnsi="Times New Roman"/>
          <w:lang w:val="en-US"/>
        </w:rPr>
        <w:t>, 68(7), 479-486.</w:t>
      </w:r>
    </w:p>
    <w:p w14:paraId="24E0B696" w14:textId="77777777" w:rsidR="00022D98" w:rsidRPr="00DB6E78" w:rsidRDefault="00022D98" w:rsidP="00022D98">
      <w:pPr>
        <w:spacing w:after="0" w:line="240" w:lineRule="auto"/>
        <w:ind w:left="284" w:hanging="284"/>
        <w:jc w:val="both"/>
        <w:rPr>
          <w:rFonts w:ascii="Times New Roman" w:hAnsi="Times New Roman"/>
          <w:iCs/>
        </w:rPr>
      </w:pPr>
      <w:bookmarkStart w:id="2" w:name="_Hlk204512144"/>
      <w:r w:rsidRPr="00DB6E78">
        <w:rPr>
          <w:rFonts w:ascii="Times New Roman" w:hAnsi="Times New Roman"/>
          <w:iCs/>
        </w:rPr>
        <w:t xml:space="preserve">Cedstrand, E., Augustsson, H., Alderling, M., Sánchez Martinez, N., Bodin, T., Nyberg, A., &amp; Johansson, G. (2022). Effects of a co-created occupational health intervention on stress and psychosocial working conditions within the construction industry: A controlled trial. </w:t>
      </w:r>
      <w:r w:rsidRPr="00DB6E78">
        <w:rPr>
          <w:rFonts w:ascii="Times New Roman" w:hAnsi="Times New Roman"/>
          <w:i/>
        </w:rPr>
        <w:t>Frontiers in Public Health</w:t>
      </w:r>
      <w:r w:rsidRPr="00DB6E78">
        <w:rPr>
          <w:rFonts w:ascii="Times New Roman" w:hAnsi="Times New Roman"/>
          <w:iCs/>
        </w:rPr>
        <w:t>, 10, 973890.</w:t>
      </w:r>
    </w:p>
    <w:bookmarkEnd w:id="2"/>
    <w:p w14:paraId="5BC9631F" w14:textId="77777777" w:rsidR="00022D98" w:rsidRPr="007F59BA" w:rsidRDefault="00022D98" w:rsidP="00022D98">
      <w:pPr>
        <w:spacing w:after="0" w:line="240" w:lineRule="auto"/>
        <w:ind w:left="284" w:hanging="284"/>
        <w:jc w:val="both"/>
        <w:rPr>
          <w:rFonts w:ascii="Times New Roman" w:hAnsi="Times New Roman"/>
          <w:iCs/>
        </w:rPr>
      </w:pPr>
      <w:r w:rsidRPr="007F59BA">
        <w:rPr>
          <w:rFonts w:ascii="Times New Roman" w:hAnsi="Times New Roman"/>
          <w:lang w:val="en-US"/>
        </w:rPr>
        <w:t xml:space="preserve">Cordoza, M., Ulrich, R. S., </w:t>
      </w:r>
      <w:proofErr w:type="spellStart"/>
      <w:r w:rsidRPr="007F59BA">
        <w:rPr>
          <w:rFonts w:ascii="Times New Roman" w:hAnsi="Times New Roman"/>
          <w:lang w:val="en-US"/>
        </w:rPr>
        <w:t>Manulik</w:t>
      </w:r>
      <w:proofErr w:type="spellEnd"/>
      <w:r w:rsidRPr="007F59BA">
        <w:rPr>
          <w:rFonts w:ascii="Times New Roman" w:hAnsi="Times New Roman"/>
          <w:lang w:val="en-US"/>
        </w:rPr>
        <w:t xml:space="preserve">, B. J., Gardiner, S. K., Fitzpatrick, P. S., Hazen, T. M., Mirka, A. &amp; Perkins, R. S. (2018). Impact of nurses taking daily work breaks in a hospital garden on burnout. </w:t>
      </w:r>
      <w:r w:rsidRPr="007F59BA">
        <w:rPr>
          <w:rFonts w:ascii="Times New Roman" w:hAnsi="Times New Roman"/>
          <w:i/>
          <w:iCs/>
          <w:lang w:val="en-US"/>
        </w:rPr>
        <w:t>American Journal of Critical Care</w:t>
      </w:r>
      <w:r w:rsidRPr="007F59BA">
        <w:rPr>
          <w:rFonts w:ascii="Times New Roman" w:hAnsi="Times New Roman"/>
          <w:lang w:val="en-US"/>
        </w:rPr>
        <w:t>, 27(6), 508-512.</w:t>
      </w:r>
    </w:p>
    <w:p w14:paraId="57EC72CE" w14:textId="77777777" w:rsidR="00022D98" w:rsidRPr="007F59BA" w:rsidRDefault="00022D98" w:rsidP="00022D98">
      <w:pPr>
        <w:spacing w:after="0" w:line="240" w:lineRule="auto"/>
        <w:ind w:left="284" w:hanging="284"/>
        <w:jc w:val="both"/>
        <w:rPr>
          <w:rFonts w:ascii="Times New Roman" w:hAnsi="Times New Roman"/>
          <w:iCs/>
        </w:rPr>
      </w:pPr>
      <w:r w:rsidRPr="007F59BA">
        <w:rPr>
          <w:rFonts w:ascii="Times New Roman" w:hAnsi="Times New Roman"/>
          <w:lang w:val="en-US"/>
        </w:rPr>
        <w:t xml:space="preserve">Deneckere, S., </w:t>
      </w:r>
      <w:proofErr w:type="spellStart"/>
      <w:r w:rsidRPr="007F59BA">
        <w:rPr>
          <w:rFonts w:ascii="Times New Roman" w:hAnsi="Times New Roman"/>
          <w:lang w:val="en-US"/>
        </w:rPr>
        <w:t>Euwema</w:t>
      </w:r>
      <w:proofErr w:type="spellEnd"/>
      <w:r w:rsidRPr="007F59BA">
        <w:rPr>
          <w:rFonts w:ascii="Times New Roman" w:hAnsi="Times New Roman"/>
          <w:lang w:val="en-US"/>
        </w:rPr>
        <w:t xml:space="preserve">, M., Lodewijckx, C., Panella, M., </w:t>
      </w:r>
      <w:proofErr w:type="spellStart"/>
      <w:r w:rsidRPr="007F59BA">
        <w:rPr>
          <w:rFonts w:ascii="Times New Roman" w:hAnsi="Times New Roman"/>
          <w:lang w:val="en-US"/>
        </w:rPr>
        <w:t>Mutsvari</w:t>
      </w:r>
      <w:proofErr w:type="spellEnd"/>
      <w:r w:rsidRPr="007F59BA">
        <w:rPr>
          <w:rFonts w:ascii="Times New Roman" w:hAnsi="Times New Roman"/>
          <w:lang w:val="en-US"/>
        </w:rPr>
        <w:t xml:space="preserve">, T., Sermeus, W., &amp; </w:t>
      </w:r>
      <w:proofErr w:type="spellStart"/>
      <w:r w:rsidRPr="007F59BA">
        <w:rPr>
          <w:rFonts w:ascii="Times New Roman" w:hAnsi="Times New Roman"/>
          <w:lang w:val="en-US"/>
        </w:rPr>
        <w:t>Vanhaecht</w:t>
      </w:r>
      <w:proofErr w:type="spellEnd"/>
      <w:r w:rsidRPr="007F59BA">
        <w:rPr>
          <w:rFonts w:ascii="Times New Roman" w:hAnsi="Times New Roman"/>
          <w:lang w:val="en-US"/>
        </w:rPr>
        <w:t xml:space="preserve">, K. (2013). Better interprofessional teamwork, higher level of organized care, and lower risk of burnout in acute health care teams using care pathways: a cluster randomized controlled trial. </w:t>
      </w:r>
      <w:r w:rsidRPr="007F59BA">
        <w:rPr>
          <w:rFonts w:ascii="Times New Roman" w:hAnsi="Times New Roman"/>
          <w:i/>
          <w:iCs/>
          <w:lang w:val="en-US"/>
        </w:rPr>
        <w:t>Medical care</w:t>
      </w:r>
      <w:r w:rsidRPr="007F59BA">
        <w:rPr>
          <w:rFonts w:ascii="Times New Roman" w:hAnsi="Times New Roman"/>
          <w:lang w:val="en-US"/>
        </w:rPr>
        <w:t>, 51(1), 99-107.</w:t>
      </w:r>
    </w:p>
    <w:p w14:paraId="24FD1ACF" w14:textId="77777777" w:rsidR="00022D98" w:rsidRDefault="00022D98" w:rsidP="00022D98">
      <w:pPr>
        <w:spacing w:after="0" w:line="240" w:lineRule="auto"/>
        <w:ind w:left="284" w:hanging="284"/>
        <w:jc w:val="both"/>
        <w:rPr>
          <w:rFonts w:ascii="Times New Roman" w:hAnsi="Times New Roman"/>
          <w:iCs/>
        </w:rPr>
      </w:pPr>
      <w:r w:rsidRPr="007F59BA">
        <w:rPr>
          <w:rFonts w:ascii="Times New Roman" w:hAnsi="Times New Roman"/>
          <w:lang w:val="en-US"/>
        </w:rPr>
        <w:t xml:space="preserve">Emani, R., Ghavami, H., Radfar, M., &amp; Reza Khalkhali, H. (2020). Impact of chromotherapy on professional quality of life in intensive care unit nurses: a randomized controlled trial. </w:t>
      </w:r>
      <w:r w:rsidRPr="007F59BA">
        <w:rPr>
          <w:rFonts w:ascii="Times New Roman" w:hAnsi="Times New Roman"/>
          <w:i/>
          <w:iCs/>
          <w:lang w:val="en-US"/>
        </w:rPr>
        <w:t>Fatigue: Biomedicine, Health &amp; Behavior</w:t>
      </w:r>
      <w:r w:rsidRPr="007F59BA">
        <w:rPr>
          <w:rFonts w:ascii="Times New Roman" w:hAnsi="Times New Roman"/>
          <w:lang w:val="en-US"/>
        </w:rPr>
        <w:t>, 8(3), 121-129.</w:t>
      </w:r>
    </w:p>
    <w:p w14:paraId="1CFA461A" w14:textId="77777777" w:rsidR="00022D98" w:rsidRPr="00DB6E78" w:rsidRDefault="00022D98" w:rsidP="00022D98">
      <w:pPr>
        <w:spacing w:after="0" w:line="240" w:lineRule="auto"/>
        <w:ind w:left="284" w:hanging="284"/>
        <w:jc w:val="both"/>
        <w:rPr>
          <w:rFonts w:ascii="Times New Roman" w:hAnsi="Times New Roman"/>
          <w:iCs/>
        </w:rPr>
      </w:pPr>
      <w:r w:rsidRPr="00DB6E78">
        <w:rPr>
          <w:rFonts w:ascii="Times New Roman" w:hAnsi="Times New Roman"/>
          <w:iCs/>
        </w:rPr>
        <w:t xml:space="preserve">Falk, G. E., Mailey, E. L., Okut, H., Rosenkranz, S. K., Rosenkranz, R. R., Montney, J. L., &amp; Ablah, E. (2022). Effects of sedentary behavior interventions on mental well-being and work performance while working from home during the COVID-19 pandemic: A pilot randomized controlled trial. </w:t>
      </w:r>
      <w:r w:rsidRPr="00DB6E78">
        <w:rPr>
          <w:rFonts w:ascii="Times New Roman" w:hAnsi="Times New Roman"/>
          <w:i/>
        </w:rPr>
        <w:t>International Journal of Environmental Research and Public Health</w:t>
      </w:r>
      <w:r w:rsidRPr="00DB6E78">
        <w:rPr>
          <w:rFonts w:ascii="Times New Roman" w:hAnsi="Times New Roman"/>
          <w:iCs/>
        </w:rPr>
        <w:t>, 19(11), 6401.</w:t>
      </w:r>
    </w:p>
    <w:p w14:paraId="48601130" w14:textId="77777777" w:rsidR="00022D98" w:rsidRPr="007F59BA" w:rsidRDefault="00022D98" w:rsidP="00022D98">
      <w:pPr>
        <w:spacing w:after="0" w:line="240" w:lineRule="auto"/>
        <w:ind w:left="284" w:hanging="284"/>
        <w:jc w:val="both"/>
        <w:rPr>
          <w:rFonts w:ascii="Times New Roman" w:hAnsi="Times New Roman"/>
          <w:iCs/>
        </w:rPr>
      </w:pPr>
      <w:r w:rsidRPr="007F59BA">
        <w:rPr>
          <w:rFonts w:ascii="Times New Roman" w:hAnsi="Times New Roman"/>
          <w:lang w:val="en-US"/>
        </w:rPr>
        <w:t xml:space="preserve">Garland, A., Roberts, D., &amp; Graff, L. (2012). Twenty-four–hour intensivist presence: a pilot study of effects on intensive care unit patients, families, doctors, and nurses. </w:t>
      </w:r>
      <w:r w:rsidRPr="007F59BA">
        <w:rPr>
          <w:rFonts w:ascii="Times New Roman" w:hAnsi="Times New Roman"/>
          <w:i/>
          <w:iCs/>
          <w:lang w:val="en-US"/>
        </w:rPr>
        <w:t>American journal of respiratory and critical care medicine</w:t>
      </w:r>
      <w:r w:rsidRPr="007F59BA">
        <w:rPr>
          <w:rFonts w:ascii="Times New Roman" w:hAnsi="Times New Roman"/>
          <w:lang w:val="en-US"/>
        </w:rPr>
        <w:t>, 185(7), 738-743.</w:t>
      </w:r>
    </w:p>
    <w:p w14:paraId="28802BB1" w14:textId="77777777" w:rsidR="00022D98" w:rsidRDefault="00022D98" w:rsidP="00022D98">
      <w:pPr>
        <w:spacing w:after="0" w:line="240" w:lineRule="auto"/>
        <w:ind w:left="284" w:hanging="284"/>
        <w:jc w:val="both"/>
        <w:rPr>
          <w:rFonts w:ascii="Times New Roman" w:hAnsi="Times New Roman"/>
          <w:lang w:val="en-US"/>
        </w:rPr>
      </w:pPr>
      <w:r w:rsidRPr="007F59BA">
        <w:rPr>
          <w:rFonts w:ascii="Times New Roman" w:hAnsi="Times New Roman"/>
          <w:lang w:val="en-US"/>
        </w:rPr>
        <w:t xml:space="preserve">Guimarães, L. B. D. M., Ribeiro, J. L. D., Saurin, T. A., &amp; Homem de Bittencourt Jr, P. I. (2013). Circadian rhythms as a basis for work organization: a study with live line electricians. </w:t>
      </w:r>
      <w:r w:rsidRPr="007F59BA">
        <w:rPr>
          <w:rFonts w:ascii="Times New Roman" w:hAnsi="Times New Roman"/>
          <w:i/>
          <w:iCs/>
          <w:lang w:val="en-US"/>
        </w:rPr>
        <w:t>Human</w:t>
      </w:r>
      <w:r w:rsidRPr="007F59BA">
        <w:rPr>
          <w:rFonts w:ascii="Times New Roman" w:hAnsi="Times New Roman"/>
          <w:lang w:val="en-US"/>
        </w:rPr>
        <w:t xml:space="preserve"> </w:t>
      </w:r>
      <w:r w:rsidRPr="007F59BA">
        <w:rPr>
          <w:rFonts w:ascii="Times New Roman" w:hAnsi="Times New Roman"/>
          <w:i/>
          <w:iCs/>
          <w:lang w:val="en-US"/>
        </w:rPr>
        <w:t>factors</w:t>
      </w:r>
      <w:r w:rsidRPr="007F59BA">
        <w:rPr>
          <w:rFonts w:ascii="Times New Roman" w:hAnsi="Times New Roman"/>
          <w:lang w:val="en-US"/>
        </w:rPr>
        <w:t xml:space="preserve">, 55(1), 204-217. </w:t>
      </w:r>
    </w:p>
    <w:p w14:paraId="5818E331" w14:textId="77777777" w:rsidR="00022D98" w:rsidRPr="0005598B" w:rsidRDefault="00022D98" w:rsidP="00022D98">
      <w:pPr>
        <w:spacing w:after="0" w:line="240" w:lineRule="auto"/>
        <w:ind w:left="284" w:hanging="284"/>
        <w:jc w:val="both"/>
        <w:rPr>
          <w:rFonts w:ascii="Times New Roman" w:hAnsi="Times New Roman"/>
          <w:lang w:val="en-US"/>
        </w:rPr>
      </w:pPr>
      <w:proofErr w:type="spellStart"/>
      <w:r w:rsidRPr="007F59BA">
        <w:rPr>
          <w:rFonts w:ascii="Times New Roman" w:hAnsi="Times New Roman"/>
          <w:lang w:val="en-US"/>
        </w:rPr>
        <w:t>Havermans</w:t>
      </w:r>
      <w:proofErr w:type="spellEnd"/>
      <w:r w:rsidRPr="007F59BA">
        <w:rPr>
          <w:rFonts w:ascii="Times New Roman" w:hAnsi="Times New Roman"/>
          <w:lang w:val="en-US"/>
        </w:rPr>
        <w:t xml:space="preserve">, B. M., Boot, C. R., Brouwers, E. P., Houtman, I. L., </w:t>
      </w:r>
      <w:proofErr w:type="spellStart"/>
      <w:r w:rsidRPr="007F59BA">
        <w:rPr>
          <w:rFonts w:ascii="Times New Roman" w:hAnsi="Times New Roman"/>
          <w:lang w:val="en-US"/>
        </w:rPr>
        <w:t>Heerkens</w:t>
      </w:r>
      <w:proofErr w:type="spellEnd"/>
      <w:r w:rsidRPr="007F59BA">
        <w:rPr>
          <w:rFonts w:ascii="Times New Roman" w:hAnsi="Times New Roman"/>
          <w:lang w:val="en-US"/>
        </w:rPr>
        <w:t>, Y. F., Zijlstra-</w:t>
      </w:r>
      <w:proofErr w:type="spellStart"/>
      <w:r w:rsidRPr="007F59BA">
        <w:rPr>
          <w:rFonts w:ascii="Times New Roman" w:hAnsi="Times New Roman"/>
          <w:lang w:val="en-US"/>
        </w:rPr>
        <w:t>Vlasveld</w:t>
      </w:r>
      <w:proofErr w:type="spellEnd"/>
      <w:r w:rsidRPr="007F59BA">
        <w:rPr>
          <w:rFonts w:ascii="Times New Roman" w:hAnsi="Times New Roman"/>
          <w:lang w:val="en-US"/>
        </w:rPr>
        <w:t xml:space="preserve">, M. C., </w:t>
      </w:r>
      <w:proofErr w:type="spellStart"/>
      <w:r w:rsidRPr="007F59BA">
        <w:rPr>
          <w:rFonts w:ascii="Times New Roman" w:hAnsi="Times New Roman"/>
          <w:lang w:val="en-US"/>
        </w:rPr>
        <w:t>Twisk</w:t>
      </w:r>
      <w:proofErr w:type="spellEnd"/>
      <w:r w:rsidRPr="007F59BA">
        <w:rPr>
          <w:rFonts w:ascii="Times New Roman" w:hAnsi="Times New Roman"/>
          <w:lang w:val="en-US"/>
        </w:rPr>
        <w:t>, J.W.R., Anema, J.R.  &amp; van der Beek, A. J. (2018). Effectiveness of a digital platform-based implementation strategy to prevent work stress in a healthcare organization: a 12-</w:t>
      </w:r>
      <w:proofErr w:type="gramStart"/>
      <w:r w:rsidRPr="007F59BA">
        <w:rPr>
          <w:rFonts w:ascii="Times New Roman" w:hAnsi="Times New Roman"/>
          <w:lang w:val="en-US"/>
        </w:rPr>
        <w:t>month</w:t>
      </w:r>
      <w:proofErr w:type="gramEnd"/>
      <w:r w:rsidRPr="007F59BA">
        <w:rPr>
          <w:rFonts w:ascii="Times New Roman" w:hAnsi="Times New Roman"/>
          <w:lang w:val="en-US"/>
        </w:rPr>
        <w:t xml:space="preserve"> </w:t>
      </w:r>
      <w:proofErr w:type="gramStart"/>
      <w:r w:rsidRPr="007F59BA">
        <w:rPr>
          <w:rFonts w:ascii="Times New Roman" w:hAnsi="Times New Roman"/>
          <w:lang w:val="en-US"/>
        </w:rPr>
        <w:t>follow-up controlled</w:t>
      </w:r>
      <w:proofErr w:type="gramEnd"/>
      <w:r w:rsidRPr="007F59BA">
        <w:rPr>
          <w:rFonts w:ascii="Times New Roman" w:hAnsi="Times New Roman"/>
          <w:lang w:val="en-US"/>
        </w:rPr>
        <w:t xml:space="preserve"> trial. </w:t>
      </w:r>
      <w:r w:rsidRPr="007F59BA">
        <w:rPr>
          <w:rFonts w:ascii="Times New Roman" w:hAnsi="Times New Roman"/>
          <w:i/>
          <w:iCs/>
          <w:lang w:val="en-US"/>
        </w:rPr>
        <w:t>Scandinavian Journal of Work, Environment &amp; Health</w:t>
      </w:r>
      <w:r w:rsidRPr="007F59BA">
        <w:rPr>
          <w:rFonts w:ascii="Times New Roman" w:hAnsi="Times New Roman"/>
          <w:lang w:val="en-US"/>
        </w:rPr>
        <w:t>, 44(6), 613-621.</w:t>
      </w:r>
    </w:p>
    <w:p w14:paraId="4DD0A9FD" w14:textId="77777777" w:rsidR="00022D98" w:rsidRDefault="00022D98" w:rsidP="00022D98">
      <w:pPr>
        <w:pStyle w:val="ListParagraph"/>
        <w:spacing w:line="259" w:lineRule="auto"/>
        <w:ind w:left="284" w:hanging="284"/>
        <w:jc w:val="both"/>
        <w:rPr>
          <w:rFonts w:ascii="Times New Roman" w:hAnsi="Times New Roman"/>
          <w:lang w:val="en-US"/>
        </w:rPr>
      </w:pPr>
      <w:r w:rsidRPr="002E4CF8">
        <w:rPr>
          <w:rFonts w:ascii="Times New Roman" w:hAnsi="Times New Roman"/>
          <w:lang w:val="en-US"/>
        </w:rPr>
        <w:t xml:space="preserve">Jakobsen, M. D., Sundstrup, E., Brandt, M., &amp; Andersen, L. L. (2017). Psychosocial benefits of workplace physical exercise: cluster randomized controlled trial. </w:t>
      </w:r>
      <w:r w:rsidRPr="002E4CF8">
        <w:rPr>
          <w:rFonts w:ascii="Times New Roman" w:hAnsi="Times New Roman"/>
          <w:i/>
          <w:iCs/>
          <w:lang w:val="en-US"/>
        </w:rPr>
        <w:t>BMC public health</w:t>
      </w:r>
      <w:r w:rsidRPr="002E4CF8">
        <w:rPr>
          <w:rFonts w:ascii="Times New Roman" w:hAnsi="Times New Roman"/>
          <w:lang w:val="en-US"/>
        </w:rPr>
        <w:t>, 17, 1-8.</w:t>
      </w:r>
    </w:p>
    <w:p w14:paraId="29B66EEE" w14:textId="77777777" w:rsidR="00FC79F9" w:rsidRDefault="00022D98" w:rsidP="00FC79F9">
      <w:pPr>
        <w:pStyle w:val="ListParagraph"/>
        <w:spacing w:line="259" w:lineRule="auto"/>
        <w:ind w:left="284" w:hanging="284"/>
        <w:jc w:val="both"/>
        <w:rPr>
          <w:rFonts w:ascii="Times New Roman" w:hAnsi="Times New Roman"/>
          <w:iCs/>
        </w:rPr>
      </w:pPr>
      <w:r w:rsidRPr="00DB6E78">
        <w:rPr>
          <w:rFonts w:ascii="Times New Roman" w:hAnsi="Times New Roman"/>
          <w:iCs/>
        </w:rPr>
        <w:lastRenderedPageBreak/>
        <w:t xml:space="preserve">Kiser, S. B., Sterns, J. D., Lai, P. Y., Horick, N. K., &amp; Palamara, K. (2024). Physician coaching by professionally trained peers for Burnout and Well-Being: a Randomized Clinical Trial. </w:t>
      </w:r>
      <w:r w:rsidRPr="00DB6E78">
        <w:rPr>
          <w:rFonts w:ascii="Times New Roman" w:hAnsi="Times New Roman"/>
          <w:i/>
        </w:rPr>
        <w:t>JAMA Network Open</w:t>
      </w:r>
      <w:r w:rsidRPr="00DB6E78">
        <w:rPr>
          <w:rFonts w:ascii="Times New Roman" w:hAnsi="Times New Roman"/>
          <w:iCs/>
        </w:rPr>
        <w:t>, 7(4), e245645-e245645</w:t>
      </w:r>
    </w:p>
    <w:p w14:paraId="136E9839" w14:textId="2FABDA31" w:rsidR="00FC79F9" w:rsidRPr="00FC79F9" w:rsidRDefault="00FC79F9" w:rsidP="00FC79F9">
      <w:pPr>
        <w:pStyle w:val="ListParagraph"/>
        <w:spacing w:line="259" w:lineRule="auto"/>
        <w:ind w:left="284" w:hanging="284"/>
        <w:jc w:val="both"/>
        <w:rPr>
          <w:rFonts w:ascii="Times New Roman" w:hAnsi="Times New Roman"/>
          <w:iCs/>
        </w:rPr>
      </w:pPr>
      <w:r w:rsidRPr="00FC79F9">
        <w:rPr>
          <w:rFonts w:ascii="Times New Roman" w:hAnsi="Times New Roman"/>
          <w:lang w:val="en-US"/>
        </w:rPr>
        <w:t xml:space="preserve">Kossek, E. E., Pichler, S., Bodner, T., &amp; Hammer, L. B. (2011). Workplace social support and work–family conflict: A meta‐analysis clarifying the influence of general and work–family‐specific supervisor and organizational support. </w:t>
      </w:r>
      <w:r w:rsidRPr="00FC79F9">
        <w:rPr>
          <w:rFonts w:ascii="Times New Roman" w:hAnsi="Times New Roman"/>
          <w:i/>
          <w:iCs/>
          <w:lang w:val="en-US"/>
        </w:rPr>
        <w:t>Personnel Psychology</w:t>
      </w:r>
      <w:r w:rsidRPr="00FC79F9">
        <w:rPr>
          <w:rFonts w:ascii="Times New Roman" w:hAnsi="Times New Roman"/>
          <w:lang w:val="en-US"/>
        </w:rPr>
        <w:t>, 64(2), 289</w:t>
      </w:r>
      <w:r>
        <w:rPr>
          <w:rFonts w:ascii="Times New Roman" w:hAnsi="Times New Roman"/>
          <w:lang w:val="en-US"/>
        </w:rPr>
        <w:t>-</w:t>
      </w:r>
      <w:r w:rsidRPr="00FC79F9">
        <w:rPr>
          <w:rFonts w:ascii="Times New Roman" w:hAnsi="Times New Roman"/>
          <w:lang w:val="en-US"/>
        </w:rPr>
        <w:t>313.</w:t>
      </w:r>
    </w:p>
    <w:p w14:paraId="42797BAC" w14:textId="77777777" w:rsidR="00022D98" w:rsidRPr="00212A62" w:rsidRDefault="00022D98" w:rsidP="00022D98">
      <w:pPr>
        <w:pStyle w:val="ListParagraph"/>
        <w:spacing w:line="259" w:lineRule="auto"/>
        <w:ind w:left="284" w:hanging="284"/>
        <w:jc w:val="both"/>
        <w:rPr>
          <w:rFonts w:ascii="Times New Roman" w:hAnsi="Times New Roman"/>
          <w:lang w:val="en-US"/>
        </w:rPr>
      </w:pPr>
      <w:r w:rsidRPr="002E4CF8">
        <w:rPr>
          <w:rFonts w:ascii="Times New Roman" w:hAnsi="Times New Roman"/>
          <w:lang w:val="en-US"/>
        </w:rPr>
        <w:t xml:space="preserve">Leiter, M. P., Laschinger, H. K. S., Day, A., &amp; </w:t>
      </w:r>
      <w:proofErr w:type="spellStart"/>
      <w:r w:rsidRPr="002E4CF8">
        <w:rPr>
          <w:rFonts w:ascii="Times New Roman" w:hAnsi="Times New Roman"/>
          <w:lang w:val="en-US"/>
        </w:rPr>
        <w:t>Oore</w:t>
      </w:r>
      <w:proofErr w:type="spellEnd"/>
      <w:r w:rsidRPr="002E4CF8">
        <w:rPr>
          <w:rFonts w:ascii="Times New Roman" w:hAnsi="Times New Roman"/>
          <w:lang w:val="en-US"/>
        </w:rPr>
        <w:t xml:space="preserve">, D. G. (2011). The impact of civility interventions on employee social behavior, distress, and attitudes. </w:t>
      </w:r>
      <w:r w:rsidRPr="002E4CF8">
        <w:rPr>
          <w:rFonts w:ascii="Times New Roman" w:hAnsi="Times New Roman"/>
          <w:i/>
          <w:iCs/>
          <w:lang w:val="en-US"/>
        </w:rPr>
        <w:t>Journal of applied psychology</w:t>
      </w:r>
      <w:r w:rsidRPr="002E4CF8">
        <w:rPr>
          <w:rFonts w:ascii="Times New Roman" w:hAnsi="Times New Roman"/>
          <w:lang w:val="en-US"/>
        </w:rPr>
        <w:t>, 96(6), 1258.</w:t>
      </w:r>
    </w:p>
    <w:p w14:paraId="498A4A74" w14:textId="77777777" w:rsidR="00022D98" w:rsidRDefault="00022D98" w:rsidP="00022D98">
      <w:pPr>
        <w:pStyle w:val="ListParagraph"/>
        <w:spacing w:line="259" w:lineRule="auto"/>
        <w:ind w:left="284" w:hanging="284"/>
        <w:jc w:val="both"/>
        <w:rPr>
          <w:rFonts w:ascii="Times New Roman" w:hAnsi="Times New Roman"/>
          <w:iCs/>
        </w:rPr>
      </w:pPr>
      <w:r w:rsidRPr="00DB6E78">
        <w:rPr>
          <w:rFonts w:ascii="Times New Roman" w:hAnsi="Times New Roman"/>
          <w:iCs/>
        </w:rPr>
        <w:t xml:space="preserve">Micek, M. A., Arndt, B., Baltus, J. J., Broman, A. T., Galang, J., Dean, S., Anderson, M. &amp; Sinsky, C. (2022). The effect of remote scribes on primary care physicians’ wellness, EHR satisfaction, and EHR use. </w:t>
      </w:r>
      <w:r w:rsidRPr="00DB6E78">
        <w:rPr>
          <w:rFonts w:ascii="Times New Roman" w:hAnsi="Times New Roman"/>
          <w:i/>
        </w:rPr>
        <w:t>Healthcare</w:t>
      </w:r>
      <w:r w:rsidRPr="00DB6E78">
        <w:rPr>
          <w:rFonts w:ascii="Times New Roman" w:hAnsi="Times New Roman"/>
          <w:iCs/>
        </w:rPr>
        <w:t>, 10 (4), 100663.</w:t>
      </w:r>
    </w:p>
    <w:p w14:paraId="59571D3B" w14:textId="77777777" w:rsidR="00022D98" w:rsidRPr="007F59BA" w:rsidRDefault="00022D98" w:rsidP="00022D98">
      <w:pPr>
        <w:pStyle w:val="ListParagraph"/>
        <w:spacing w:line="259" w:lineRule="auto"/>
        <w:ind w:left="284" w:hanging="284"/>
        <w:jc w:val="both"/>
        <w:rPr>
          <w:rFonts w:ascii="Times New Roman" w:hAnsi="Times New Roman"/>
        </w:rPr>
      </w:pPr>
      <w:r w:rsidRPr="007F59BA">
        <w:rPr>
          <w:rFonts w:ascii="Times New Roman" w:hAnsi="Times New Roman"/>
          <w:lang w:val="en-US"/>
        </w:rPr>
        <w:t xml:space="preserve">Redhead, K., Bradshaw, T., </w:t>
      </w:r>
      <w:proofErr w:type="spellStart"/>
      <w:r w:rsidRPr="007F59BA">
        <w:rPr>
          <w:rFonts w:ascii="Times New Roman" w:hAnsi="Times New Roman"/>
          <w:lang w:val="en-US"/>
        </w:rPr>
        <w:t>Braynion</w:t>
      </w:r>
      <w:proofErr w:type="spellEnd"/>
      <w:r w:rsidRPr="007F59BA">
        <w:rPr>
          <w:rFonts w:ascii="Times New Roman" w:hAnsi="Times New Roman"/>
          <w:lang w:val="en-US"/>
        </w:rPr>
        <w:t xml:space="preserve">, P., &amp; Doyle, M. (2011). An evaluation of the outcomes of psychosocial intervention training for qualified and unqualified nursing staff working in a low‐secure mental health unit. </w:t>
      </w:r>
      <w:r w:rsidRPr="007F59BA">
        <w:rPr>
          <w:rFonts w:ascii="Times New Roman" w:hAnsi="Times New Roman"/>
          <w:i/>
          <w:iCs/>
          <w:lang w:val="en-US"/>
        </w:rPr>
        <w:t>Journal of psychiatric and mental health nursing</w:t>
      </w:r>
      <w:r w:rsidRPr="007F59BA">
        <w:rPr>
          <w:rFonts w:ascii="Times New Roman" w:hAnsi="Times New Roman"/>
          <w:lang w:val="en-US"/>
        </w:rPr>
        <w:t>, 18(1), 59-66.</w:t>
      </w:r>
    </w:p>
    <w:p w14:paraId="7E093925" w14:textId="77777777" w:rsidR="00022D98" w:rsidRPr="007F59BA" w:rsidRDefault="00022D98" w:rsidP="00022D98">
      <w:pPr>
        <w:pStyle w:val="ListParagraph"/>
        <w:spacing w:line="259" w:lineRule="auto"/>
        <w:ind w:left="284" w:hanging="284"/>
        <w:jc w:val="both"/>
        <w:rPr>
          <w:rFonts w:ascii="Times New Roman" w:hAnsi="Times New Roman"/>
          <w:lang w:val="en-US"/>
        </w:rPr>
      </w:pPr>
      <w:r w:rsidRPr="004501D4">
        <w:rPr>
          <w:rFonts w:ascii="Times New Roman" w:hAnsi="Times New Roman"/>
        </w:rPr>
        <w:t xml:space="preserve">Saffari, M., Bashar, F. R., Vahedian-Azimi, A., Pourhoseingholi, M. A., Karimi, L., Shamsizadeh, M., Gohari-moghadam, K. &amp; Sahebkar, A. (2021). </w:t>
      </w:r>
      <w:r w:rsidRPr="007F59BA">
        <w:rPr>
          <w:rFonts w:ascii="Times New Roman" w:hAnsi="Times New Roman"/>
          <w:lang w:val="en-US"/>
        </w:rPr>
        <w:t xml:space="preserve">Effect of a Multistage Educational Skill‐Based Program on Nurse’s Stress and Anxiety in the Intensive Care Setting: A Randomized Controlled Trial. </w:t>
      </w:r>
      <w:proofErr w:type="spellStart"/>
      <w:r w:rsidRPr="007F59BA">
        <w:rPr>
          <w:rFonts w:ascii="Times New Roman" w:hAnsi="Times New Roman"/>
          <w:i/>
          <w:iCs/>
          <w:lang w:val="en-US"/>
        </w:rPr>
        <w:t>Behavioural</w:t>
      </w:r>
      <w:proofErr w:type="spellEnd"/>
      <w:r w:rsidRPr="007F59BA">
        <w:rPr>
          <w:rFonts w:ascii="Times New Roman" w:hAnsi="Times New Roman"/>
          <w:i/>
          <w:iCs/>
          <w:lang w:val="en-US"/>
        </w:rPr>
        <w:t xml:space="preserve"> neurology</w:t>
      </w:r>
      <w:r w:rsidRPr="007F59BA">
        <w:rPr>
          <w:rFonts w:ascii="Times New Roman" w:hAnsi="Times New Roman"/>
          <w:lang w:val="en-US"/>
        </w:rPr>
        <w:t>, 2021(1), 8811347.</w:t>
      </w:r>
    </w:p>
    <w:p w14:paraId="42E2430B" w14:textId="77777777" w:rsidR="00022D98" w:rsidRDefault="00022D98" w:rsidP="00022D98">
      <w:pPr>
        <w:pStyle w:val="ListParagraph"/>
        <w:spacing w:line="259" w:lineRule="auto"/>
        <w:ind w:left="284" w:hanging="284"/>
        <w:jc w:val="both"/>
        <w:rPr>
          <w:rFonts w:ascii="Times New Roman" w:hAnsi="Times New Roman"/>
          <w:iCs/>
        </w:rPr>
      </w:pPr>
      <w:r w:rsidRPr="00DB6E78">
        <w:rPr>
          <w:rFonts w:ascii="Times New Roman" w:hAnsi="Times New Roman"/>
          <w:iCs/>
        </w:rPr>
        <w:t xml:space="preserve">Shan, Q., Leonhart, R., Zhijuan, X., Minjie, Z., Xinxin, S., Xinzhu, B., Xiangyan, K. &amp; Fritzsche, K. (2024). Positive effect of Balint group on burnout and self-efficacy of head nurses in China: a randomized controlled trial. </w:t>
      </w:r>
      <w:r w:rsidRPr="00DB6E78">
        <w:rPr>
          <w:rFonts w:ascii="Times New Roman" w:hAnsi="Times New Roman"/>
          <w:i/>
        </w:rPr>
        <w:t>Frontiers in Psychiatry,</w:t>
      </w:r>
      <w:r w:rsidRPr="00DB6E78">
        <w:rPr>
          <w:rFonts w:ascii="Times New Roman" w:hAnsi="Times New Roman"/>
          <w:iCs/>
        </w:rPr>
        <w:t xml:space="preserve"> 14, 1265976.</w:t>
      </w:r>
    </w:p>
    <w:p w14:paraId="7D32C78C" w14:textId="77777777" w:rsidR="00022D98" w:rsidRPr="007F59BA" w:rsidRDefault="00022D98" w:rsidP="00022D98">
      <w:pPr>
        <w:pStyle w:val="ListParagraph"/>
        <w:spacing w:line="259" w:lineRule="auto"/>
        <w:ind w:left="284" w:hanging="284"/>
        <w:jc w:val="both"/>
        <w:rPr>
          <w:rFonts w:ascii="Times New Roman" w:hAnsi="Times New Roman"/>
          <w:lang w:val="en-US"/>
        </w:rPr>
      </w:pPr>
      <w:r w:rsidRPr="007F59BA">
        <w:rPr>
          <w:rFonts w:ascii="Times New Roman" w:hAnsi="Times New Roman"/>
          <w:lang w:val="en-US"/>
        </w:rPr>
        <w:t xml:space="preserve">Tran, D. T., Johnson, M., Fernandez, R., &amp; Jones, S. (2010). A shared care model vs. a patient allocation model of nursing care delivery: Comparing nursing staff satisfaction and stress outcomes. </w:t>
      </w:r>
      <w:r w:rsidRPr="007F59BA">
        <w:rPr>
          <w:rFonts w:ascii="Times New Roman" w:hAnsi="Times New Roman"/>
          <w:i/>
          <w:iCs/>
          <w:lang w:val="en-US"/>
        </w:rPr>
        <w:t>International journal of nursing practice</w:t>
      </w:r>
      <w:r w:rsidRPr="007F59BA">
        <w:rPr>
          <w:rFonts w:ascii="Times New Roman" w:hAnsi="Times New Roman"/>
          <w:lang w:val="en-US"/>
        </w:rPr>
        <w:t>, 16(2), 148-158.</w:t>
      </w:r>
    </w:p>
    <w:p w14:paraId="06706FB8" w14:textId="77777777" w:rsidR="00FC79F9" w:rsidRDefault="00FC79F9" w:rsidP="00FC79F9">
      <w:pPr>
        <w:pStyle w:val="ListParagraph"/>
        <w:spacing w:line="259" w:lineRule="auto"/>
        <w:ind w:left="284" w:hanging="284"/>
        <w:jc w:val="both"/>
        <w:rPr>
          <w:rFonts w:ascii="Times New Roman" w:hAnsi="Times New Roman"/>
          <w:lang w:val="en-US"/>
        </w:rPr>
      </w:pPr>
      <w:r w:rsidRPr="00FC79F9">
        <w:rPr>
          <w:rFonts w:ascii="Times New Roman" w:hAnsi="Times New Roman"/>
          <w:lang w:val="en-US"/>
        </w:rPr>
        <w:t xml:space="preserve">Uchiyama, A., Odagiri, Y., </w:t>
      </w:r>
      <w:proofErr w:type="spellStart"/>
      <w:r w:rsidRPr="00FC79F9">
        <w:rPr>
          <w:rFonts w:ascii="Times New Roman" w:hAnsi="Times New Roman"/>
          <w:lang w:val="en-US"/>
        </w:rPr>
        <w:t>Ohya</w:t>
      </w:r>
      <w:proofErr w:type="spellEnd"/>
      <w:r w:rsidRPr="00FC79F9">
        <w:rPr>
          <w:rFonts w:ascii="Times New Roman" w:hAnsi="Times New Roman"/>
          <w:lang w:val="en-US"/>
        </w:rPr>
        <w:t xml:space="preserve">, Y., Takamiya, T., Inoue, S., </w:t>
      </w:r>
      <w:proofErr w:type="spellStart"/>
      <w:r w:rsidRPr="00FC79F9">
        <w:rPr>
          <w:rFonts w:ascii="Times New Roman" w:hAnsi="Times New Roman"/>
          <w:lang w:val="en-US"/>
        </w:rPr>
        <w:t>Shimomitsu</w:t>
      </w:r>
      <w:proofErr w:type="spellEnd"/>
      <w:r w:rsidRPr="00FC79F9">
        <w:rPr>
          <w:rFonts w:ascii="Times New Roman" w:hAnsi="Times New Roman"/>
          <w:lang w:val="en-US"/>
        </w:rPr>
        <w:t xml:space="preserve">, T., &amp; Miyamoto, Y. (2013). Effect on mental health of a participatory intervention to improve psychosocial work environment: A cluster randomized controlled trial. </w:t>
      </w:r>
      <w:r w:rsidRPr="00FC79F9">
        <w:rPr>
          <w:rFonts w:ascii="Times New Roman" w:hAnsi="Times New Roman"/>
          <w:i/>
          <w:iCs/>
          <w:lang w:val="en-US"/>
        </w:rPr>
        <w:t>Journal of Occupational Health</w:t>
      </w:r>
      <w:r w:rsidRPr="00FC79F9">
        <w:rPr>
          <w:rFonts w:ascii="Times New Roman" w:hAnsi="Times New Roman"/>
          <w:lang w:val="en-US"/>
        </w:rPr>
        <w:t>, 55(3), 173</w:t>
      </w:r>
      <w:r>
        <w:rPr>
          <w:rFonts w:ascii="Times New Roman" w:hAnsi="Times New Roman"/>
          <w:lang w:val="en-US"/>
        </w:rPr>
        <w:t>-</w:t>
      </w:r>
      <w:r w:rsidRPr="00FC79F9">
        <w:rPr>
          <w:rFonts w:ascii="Times New Roman" w:hAnsi="Times New Roman"/>
          <w:lang w:val="en-US"/>
        </w:rPr>
        <w:t>183.</w:t>
      </w:r>
    </w:p>
    <w:p w14:paraId="1B64B1F6" w14:textId="77777777" w:rsidR="00DF5611" w:rsidRDefault="00DF5611" w:rsidP="00DF5611">
      <w:pPr>
        <w:pStyle w:val="ListParagraph"/>
        <w:spacing w:after="0" w:line="240" w:lineRule="auto"/>
        <w:ind w:left="284" w:hanging="284"/>
        <w:rPr>
          <w:rFonts w:ascii="Times New Roman" w:hAnsi="Times New Roman"/>
        </w:rPr>
      </w:pPr>
      <w:r w:rsidRPr="00F94EFE">
        <w:rPr>
          <w:rFonts w:ascii="Times New Roman" w:hAnsi="Times New Roman"/>
        </w:rPr>
        <w:t xml:space="preserve">van Woerkom, M. (2021). A quasi‐experimental study into the effects of naps and therapy glasses on fatigue and well‐being. Journal of Nursing Management, 29(3), 562-571. </w:t>
      </w:r>
    </w:p>
    <w:p w14:paraId="4EF4628A" w14:textId="3C9A6928" w:rsidR="00032EF0" w:rsidRDefault="00032EF0" w:rsidP="00022D98">
      <w:pPr>
        <w:pStyle w:val="ListParagraph"/>
        <w:spacing w:line="259" w:lineRule="auto"/>
        <w:ind w:left="284" w:hanging="284"/>
        <w:jc w:val="both"/>
        <w:rPr>
          <w:rFonts w:ascii="Times New Roman" w:hAnsi="Times New Roman"/>
          <w:lang w:val="en-US"/>
        </w:rPr>
      </w:pPr>
      <w:r w:rsidRPr="00032EF0">
        <w:rPr>
          <w:rFonts w:ascii="Times New Roman" w:hAnsi="Times New Roman"/>
          <w:lang w:val="en-US"/>
        </w:rPr>
        <w:t xml:space="preserve">Wang L, Norman I, Xiao T et al.  (2024) Feasibility and acceptability of a culturally adapted psychological first aid training intervention (Preparing Me) to support the mental health and well-being of front-line healthcare workers in China: a feasibility randomized controlled trial. European Journal of </w:t>
      </w:r>
      <w:proofErr w:type="spellStart"/>
      <w:r w:rsidRPr="00032EF0">
        <w:rPr>
          <w:rFonts w:ascii="Times New Roman" w:hAnsi="Times New Roman"/>
          <w:lang w:val="en-US"/>
        </w:rPr>
        <w:t>Psychotraumatology</w:t>
      </w:r>
      <w:proofErr w:type="spellEnd"/>
      <w:r w:rsidRPr="00032EF0">
        <w:rPr>
          <w:rFonts w:ascii="Times New Roman" w:hAnsi="Times New Roman"/>
          <w:lang w:val="en-US"/>
        </w:rPr>
        <w:t xml:space="preserve"> 15(1):2299195. </w:t>
      </w:r>
    </w:p>
    <w:p w14:paraId="21E7DDC3" w14:textId="309E962F" w:rsidR="00FC79F9" w:rsidRDefault="00FC79F9" w:rsidP="00022D98">
      <w:pPr>
        <w:pStyle w:val="ListParagraph"/>
        <w:spacing w:line="259" w:lineRule="auto"/>
        <w:ind w:left="284" w:hanging="284"/>
        <w:jc w:val="both"/>
        <w:rPr>
          <w:rFonts w:ascii="Times New Roman" w:hAnsi="Times New Roman"/>
          <w:lang w:val="en-US"/>
        </w:rPr>
      </w:pPr>
      <w:r w:rsidRPr="00FC79F9">
        <w:rPr>
          <w:rFonts w:ascii="Times New Roman" w:hAnsi="Times New Roman"/>
          <w:lang w:val="en-US"/>
        </w:rPr>
        <w:t xml:space="preserve">West, C. P., Dyrbye, L. N., Rabatin, J. T., Call, T. G., Davidson, J. H., Multari, A., Romanski, S. A., Hellyer, J. M., Sloan, J. A., &amp; Shanafelt, T. D. (2014). Intervention to promote physician well-being, job satisfaction, and professionalism: A randomized clinical trial. </w:t>
      </w:r>
      <w:r w:rsidRPr="00FC79F9">
        <w:rPr>
          <w:rFonts w:ascii="Times New Roman" w:hAnsi="Times New Roman"/>
          <w:i/>
          <w:iCs/>
          <w:lang w:val="en-US"/>
        </w:rPr>
        <w:t>JAMA Internal Medicine</w:t>
      </w:r>
      <w:r w:rsidRPr="00FC79F9">
        <w:rPr>
          <w:rFonts w:ascii="Times New Roman" w:hAnsi="Times New Roman"/>
          <w:lang w:val="en-US"/>
        </w:rPr>
        <w:t>, 174(4), 527</w:t>
      </w:r>
      <w:r>
        <w:rPr>
          <w:rFonts w:ascii="Times New Roman" w:hAnsi="Times New Roman"/>
          <w:lang w:val="en-US"/>
        </w:rPr>
        <w:t>-</w:t>
      </w:r>
      <w:r w:rsidRPr="00FC79F9">
        <w:rPr>
          <w:rFonts w:ascii="Times New Roman" w:hAnsi="Times New Roman"/>
          <w:lang w:val="en-US"/>
        </w:rPr>
        <w:t xml:space="preserve">533. </w:t>
      </w:r>
    </w:p>
    <w:p w14:paraId="7726035D" w14:textId="77777777" w:rsidR="00FC79F9" w:rsidRDefault="00022D98" w:rsidP="00022D98">
      <w:pPr>
        <w:pStyle w:val="ListParagraph"/>
        <w:spacing w:line="259" w:lineRule="auto"/>
        <w:ind w:left="284" w:hanging="284"/>
        <w:jc w:val="both"/>
        <w:rPr>
          <w:rFonts w:ascii="Times New Roman" w:hAnsi="Times New Roman"/>
          <w:lang w:val="en-US"/>
        </w:rPr>
      </w:pPr>
      <w:r w:rsidRPr="007F59BA">
        <w:rPr>
          <w:rFonts w:ascii="Times New Roman" w:hAnsi="Times New Roman"/>
          <w:lang w:val="en-US"/>
        </w:rPr>
        <w:t xml:space="preserve">White, E., &amp; Winstanley, J. (2010). A </w:t>
      </w:r>
      <w:proofErr w:type="spellStart"/>
      <w:r w:rsidRPr="007F59BA">
        <w:rPr>
          <w:rFonts w:ascii="Times New Roman" w:hAnsi="Times New Roman"/>
          <w:lang w:val="en-US"/>
        </w:rPr>
        <w:t>randomised</w:t>
      </w:r>
      <w:proofErr w:type="spellEnd"/>
      <w:r w:rsidRPr="007F59BA">
        <w:rPr>
          <w:rFonts w:ascii="Times New Roman" w:hAnsi="Times New Roman"/>
          <w:lang w:val="en-US"/>
        </w:rPr>
        <w:t xml:space="preserve"> controlled trial of clinical supervision: selected findings from a novel Australian attempt to establish the evidence base for causal relationships with quality of care and patient outcomes, as an informed contribution to mental health nursing practice development. </w:t>
      </w:r>
      <w:r w:rsidRPr="007F59BA">
        <w:rPr>
          <w:rFonts w:ascii="Times New Roman" w:hAnsi="Times New Roman"/>
          <w:i/>
          <w:iCs/>
          <w:lang w:val="en-US"/>
        </w:rPr>
        <w:t>Journal of Research in Nursing,</w:t>
      </w:r>
      <w:r w:rsidRPr="007F59BA">
        <w:rPr>
          <w:rFonts w:ascii="Times New Roman" w:hAnsi="Times New Roman"/>
          <w:lang w:val="en-US"/>
        </w:rPr>
        <w:t xml:space="preserve"> 15(2), 151-167.</w:t>
      </w:r>
      <w:r w:rsidR="00FC79F9">
        <w:rPr>
          <w:rFonts w:ascii="Times New Roman" w:hAnsi="Times New Roman"/>
          <w:lang w:val="en-US"/>
        </w:rPr>
        <w:t xml:space="preserve"> </w:t>
      </w:r>
    </w:p>
    <w:p w14:paraId="3B27C058" w14:textId="77777777" w:rsidR="00022D98" w:rsidRDefault="00022D98" w:rsidP="00A73353">
      <w:pPr>
        <w:rPr>
          <w:lang w:val="en-US"/>
        </w:rPr>
      </w:pPr>
    </w:p>
    <w:sectPr w:rsidR="00022D98" w:rsidSect="002F57B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101D9" w14:textId="77777777" w:rsidR="00F010BD" w:rsidRDefault="00F010BD" w:rsidP="00A73353">
      <w:pPr>
        <w:spacing w:after="0" w:line="240" w:lineRule="auto"/>
      </w:pPr>
      <w:r>
        <w:separator/>
      </w:r>
    </w:p>
  </w:endnote>
  <w:endnote w:type="continuationSeparator" w:id="0">
    <w:p w14:paraId="18B73EB5" w14:textId="77777777" w:rsidR="00F010BD" w:rsidRDefault="00F010BD" w:rsidP="00A73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582978"/>
      <w:docPartObj>
        <w:docPartGallery w:val="Page Numbers (Bottom of Page)"/>
        <w:docPartUnique/>
      </w:docPartObj>
    </w:sdtPr>
    <w:sdtEndPr>
      <w:rPr>
        <w:noProof/>
      </w:rPr>
    </w:sdtEndPr>
    <w:sdtContent>
      <w:p w14:paraId="53CD4579" w14:textId="59133600" w:rsidR="00A73353" w:rsidRDefault="00A733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B573F9" w14:textId="77777777" w:rsidR="00A73353" w:rsidRDefault="00A73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58BB" w14:textId="77777777" w:rsidR="00F010BD" w:rsidRDefault="00F010BD" w:rsidP="00A73353">
      <w:pPr>
        <w:spacing w:after="0" w:line="240" w:lineRule="auto"/>
      </w:pPr>
      <w:r>
        <w:separator/>
      </w:r>
    </w:p>
  </w:footnote>
  <w:footnote w:type="continuationSeparator" w:id="0">
    <w:p w14:paraId="38B7E22C" w14:textId="77777777" w:rsidR="00F010BD" w:rsidRDefault="00F010BD" w:rsidP="00A73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5F28"/>
    <w:multiLevelType w:val="multilevel"/>
    <w:tmpl w:val="A9F46D8E"/>
    <w:lvl w:ilvl="0">
      <w:start w:val="1"/>
      <w:numFmt w:val="none"/>
      <w:lvlText w:val=""/>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B376098"/>
    <w:multiLevelType w:val="hybridMultilevel"/>
    <w:tmpl w:val="65749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786DC9"/>
    <w:multiLevelType w:val="multilevel"/>
    <w:tmpl w:val="2C5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70256"/>
    <w:multiLevelType w:val="multilevel"/>
    <w:tmpl w:val="989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8B262A"/>
    <w:multiLevelType w:val="hybridMultilevel"/>
    <w:tmpl w:val="E16C6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5A2A46"/>
    <w:multiLevelType w:val="multilevel"/>
    <w:tmpl w:val="7C1824A8"/>
    <w:lvl w:ilvl="0">
      <w:start w:val="1"/>
      <w:numFmt w:val="none"/>
      <w:lvlText w:val=""/>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5EB5638D"/>
    <w:multiLevelType w:val="hybridMultilevel"/>
    <w:tmpl w:val="7DBAD260"/>
    <w:lvl w:ilvl="0" w:tplc="47F88394">
      <w:start w:val="1"/>
      <w:numFmt w:val="bullet"/>
      <w:lvlText w:val=""/>
      <w:lvlJc w:val="left"/>
      <w:pPr>
        <w:ind w:left="644" w:hanging="360"/>
      </w:pPr>
      <w:rPr>
        <w:rFonts w:ascii="Symbol" w:hAnsi="Symbol" w:hint="default"/>
      </w:rPr>
    </w:lvl>
    <w:lvl w:ilvl="1" w:tplc="4274C75C">
      <w:start w:val="1"/>
      <w:numFmt w:val="bullet"/>
      <w:lvlText w:val="o"/>
      <w:lvlJc w:val="left"/>
      <w:pPr>
        <w:ind w:left="1364" w:hanging="360"/>
      </w:pPr>
      <w:rPr>
        <w:rFonts w:ascii="Courier New" w:hAnsi="Courier New" w:hint="default"/>
      </w:rPr>
    </w:lvl>
    <w:lvl w:ilvl="2" w:tplc="A0A8E3A4">
      <w:start w:val="1"/>
      <w:numFmt w:val="bullet"/>
      <w:lvlText w:val=""/>
      <w:lvlJc w:val="left"/>
      <w:pPr>
        <w:ind w:left="2084" w:hanging="360"/>
      </w:pPr>
      <w:rPr>
        <w:rFonts w:ascii="Wingdings" w:hAnsi="Wingdings" w:hint="default"/>
      </w:rPr>
    </w:lvl>
    <w:lvl w:ilvl="3" w:tplc="9490D1F8">
      <w:start w:val="1"/>
      <w:numFmt w:val="bullet"/>
      <w:lvlText w:val=""/>
      <w:lvlJc w:val="left"/>
      <w:pPr>
        <w:ind w:left="2804" w:hanging="360"/>
      </w:pPr>
      <w:rPr>
        <w:rFonts w:ascii="Symbol" w:hAnsi="Symbol" w:hint="default"/>
      </w:rPr>
    </w:lvl>
    <w:lvl w:ilvl="4" w:tplc="C688E1B2">
      <w:start w:val="1"/>
      <w:numFmt w:val="bullet"/>
      <w:lvlText w:val="o"/>
      <w:lvlJc w:val="left"/>
      <w:pPr>
        <w:ind w:left="3524" w:hanging="360"/>
      </w:pPr>
      <w:rPr>
        <w:rFonts w:ascii="Courier New" w:hAnsi="Courier New" w:hint="default"/>
      </w:rPr>
    </w:lvl>
    <w:lvl w:ilvl="5" w:tplc="248A28AA">
      <w:start w:val="1"/>
      <w:numFmt w:val="bullet"/>
      <w:lvlText w:val=""/>
      <w:lvlJc w:val="left"/>
      <w:pPr>
        <w:ind w:left="4244" w:hanging="360"/>
      </w:pPr>
      <w:rPr>
        <w:rFonts w:ascii="Wingdings" w:hAnsi="Wingdings" w:hint="default"/>
      </w:rPr>
    </w:lvl>
    <w:lvl w:ilvl="6" w:tplc="6680A20E">
      <w:start w:val="1"/>
      <w:numFmt w:val="bullet"/>
      <w:lvlText w:val=""/>
      <w:lvlJc w:val="left"/>
      <w:pPr>
        <w:ind w:left="4964" w:hanging="360"/>
      </w:pPr>
      <w:rPr>
        <w:rFonts w:ascii="Symbol" w:hAnsi="Symbol" w:hint="default"/>
      </w:rPr>
    </w:lvl>
    <w:lvl w:ilvl="7" w:tplc="9A981E96">
      <w:start w:val="1"/>
      <w:numFmt w:val="bullet"/>
      <w:lvlText w:val="o"/>
      <w:lvlJc w:val="left"/>
      <w:pPr>
        <w:ind w:left="5684" w:hanging="360"/>
      </w:pPr>
      <w:rPr>
        <w:rFonts w:ascii="Courier New" w:hAnsi="Courier New" w:hint="default"/>
      </w:rPr>
    </w:lvl>
    <w:lvl w:ilvl="8" w:tplc="D9D45C66">
      <w:start w:val="1"/>
      <w:numFmt w:val="bullet"/>
      <w:lvlText w:val=""/>
      <w:lvlJc w:val="left"/>
      <w:pPr>
        <w:ind w:left="6404" w:hanging="360"/>
      </w:pPr>
      <w:rPr>
        <w:rFonts w:ascii="Wingdings" w:hAnsi="Wingdings" w:hint="default"/>
      </w:rPr>
    </w:lvl>
  </w:abstractNum>
  <w:abstractNum w:abstractNumId="7" w15:restartNumberingAfterBreak="0">
    <w:nsid w:val="74897D9E"/>
    <w:multiLevelType w:val="hybridMultilevel"/>
    <w:tmpl w:val="1FB81C9E"/>
    <w:lvl w:ilvl="0" w:tplc="0E1485D8">
      <w:start w:val="1"/>
      <w:numFmt w:val="decimal"/>
      <w:lvlText w:val="%1."/>
      <w:lvlJc w:val="left"/>
      <w:pPr>
        <w:ind w:left="720" w:hanging="360"/>
      </w:pPr>
      <w:rPr>
        <w:rFonts w:ascii="Cambria" w:eastAsiaTheme="minorHAnsi" w:hAnsi="Cambria" w:cs="Arial"/>
      </w:rPr>
    </w:lvl>
    <w:lvl w:ilvl="1" w:tplc="3B8CBAA6">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416779"/>
    <w:multiLevelType w:val="hybridMultilevel"/>
    <w:tmpl w:val="D8F4B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FB67D6"/>
    <w:multiLevelType w:val="hybridMultilevel"/>
    <w:tmpl w:val="49105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9191785">
    <w:abstractNumId w:val="7"/>
  </w:num>
  <w:num w:numId="2" w16cid:durableId="586185159">
    <w:abstractNumId w:val="9"/>
  </w:num>
  <w:num w:numId="3" w16cid:durableId="648173553">
    <w:abstractNumId w:val="6"/>
  </w:num>
  <w:num w:numId="4" w16cid:durableId="162743365">
    <w:abstractNumId w:val="0"/>
  </w:num>
  <w:num w:numId="5" w16cid:durableId="102969215">
    <w:abstractNumId w:val="5"/>
  </w:num>
  <w:num w:numId="6" w16cid:durableId="1336108131">
    <w:abstractNumId w:val="4"/>
  </w:num>
  <w:num w:numId="7" w16cid:durableId="2022271019">
    <w:abstractNumId w:val="8"/>
  </w:num>
  <w:num w:numId="8" w16cid:durableId="945310625">
    <w:abstractNumId w:val="3"/>
  </w:num>
  <w:num w:numId="9" w16cid:durableId="945890502">
    <w:abstractNumId w:val="2"/>
  </w:num>
  <w:num w:numId="10" w16cid:durableId="196743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B59"/>
    <w:rsid w:val="00022D98"/>
    <w:rsid w:val="0002375C"/>
    <w:rsid w:val="000319A5"/>
    <w:rsid w:val="00032EF0"/>
    <w:rsid w:val="00052786"/>
    <w:rsid w:val="00086439"/>
    <w:rsid w:val="0009124C"/>
    <w:rsid w:val="00161F49"/>
    <w:rsid w:val="001833E1"/>
    <w:rsid w:val="001B4BD0"/>
    <w:rsid w:val="001F715E"/>
    <w:rsid w:val="00226E3B"/>
    <w:rsid w:val="00227A03"/>
    <w:rsid w:val="00267922"/>
    <w:rsid w:val="002F57BB"/>
    <w:rsid w:val="003311AD"/>
    <w:rsid w:val="004105A1"/>
    <w:rsid w:val="004109B0"/>
    <w:rsid w:val="004501D4"/>
    <w:rsid w:val="00534FEA"/>
    <w:rsid w:val="00581F55"/>
    <w:rsid w:val="006634CE"/>
    <w:rsid w:val="00692A2E"/>
    <w:rsid w:val="006E1CE0"/>
    <w:rsid w:val="007467E1"/>
    <w:rsid w:val="00770CAA"/>
    <w:rsid w:val="007D00BD"/>
    <w:rsid w:val="007F186D"/>
    <w:rsid w:val="00835EF1"/>
    <w:rsid w:val="0085241C"/>
    <w:rsid w:val="008A7E96"/>
    <w:rsid w:val="008B5184"/>
    <w:rsid w:val="008C1B38"/>
    <w:rsid w:val="0092509B"/>
    <w:rsid w:val="00970B41"/>
    <w:rsid w:val="009F2519"/>
    <w:rsid w:val="00A17736"/>
    <w:rsid w:val="00A53D90"/>
    <w:rsid w:val="00A73353"/>
    <w:rsid w:val="00A90E3B"/>
    <w:rsid w:val="00AC3E2C"/>
    <w:rsid w:val="00AD4057"/>
    <w:rsid w:val="00C013FD"/>
    <w:rsid w:val="00C414B0"/>
    <w:rsid w:val="00C44169"/>
    <w:rsid w:val="00C64A1B"/>
    <w:rsid w:val="00DD1044"/>
    <w:rsid w:val="00DE5BB0"/>
    <w:rsid w:val="00DF2D81"/>
    <w:rsid w:val="00DF5611"/>
    <w:rsid w:val="00E21096"/>
    <w:rsid w:val="00F010BD"/>
    <w:rsid w:val="00F67B59"/>
    <w:rsid w:val="00F91AB6"/>
    <w:rsid w:val="00FC7950"/>
    <w:rsid w:val="00FC79F9"/>
    <w:rsid w:val="5BDCD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FE79"/>
  <w15:chartTrackingRefBased/>
  <w15:docId w15:val="{E623F32A-C227-4120-9049-DF21FB1A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7BB"/>
    <w:rPr>
      <w:lang w:val="tr-TR"/>
    </w:rPr>
  </w:style>
  <w:style w:type="paragraph" w:styleId="Heading1">
    <w:name w:val="heading 1"/>
    <w:basedOn w:val="Normal"/>
    <w:next w:val="Normal"/>
    <w:link w:val="Heading1Char"/>
    <w:qFormat/>
    <w:rsid w:val="00F67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7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59"/>
    <w:rPr>
      <w:rFonts w:asciiTheme="majorHAnsi" w:eastAsiaTheme="majorEastAsia" w:hAnsiTheme="majorHAnsi" w:cstheme="majorBidi"/>
      <w:color w:val="0F4761" w:themeColor="accent1" w:themeShade="BF"/>
      <w:sz w:val="40"/>
      <w:szCs w:val="40"/>
      <w:lang w:val="tr-TR"/>
    </w:rPr>
  </w:style>
  <w:style w:type="character" w:customStyle="1" w:styleId="Heading2Char">
    <w:name w:val="Heading 2 Char"/>
    <w:basedOn w:val="DefaultParagraphFont"/>
    <w:link w:val="Heading2"/>
    <w:uiPriority w:val="9"/>
    <w:rsid w:val="00F67B59"/>
    <w:rPr>
      <w:rFonts w:asciiTheme="majorHAnsi" w:eastAsiaTheme="majorEastAsia" w:hAnsiTheme="majorHAnsi" w:cstheme="majorBidi"/>
      <w:color w:val="0F4761" w:themeColor="accent1" w:themeShade="BF"/>
      <w:sz w:val="32"/>
      <w:szCs w:val="32"/>
      <w:lang w:val="tr-TR"/>
    </w:rPr>
  </w:style>
  <w:style w:type="character" w:customStyle="1" w:styleId="Heading3Char">
    <w:name w:val="Heading 3 Char"/>
    <w:basedOn w:val="DefaultParagraphFont"/>
    <w:link w:val="Heading3"/>
    <w:uiPriority w:val="9"/>
    <w:semiHidden/>
    <w:rsid w:val="00F67B59"/>
    <w:rPr>
      <w:rFonts w:eastAsiaTheme="majorEastAsia" w:cstheme="majorBidi"/>
      <w:color w:val="0F4761" w:themeColor="accent1" w:themeShade="BF"/>
      <w:sz w:val="28"/>
      <w:szCs w:val="28"/>
      <w:lang w:val="tr-TR"/>
    </w:rPr>
  </w:style>
  <w:style w:type="character" w:customStyle="1" w:styleId="Heading4Char">
    <w:name w:val="Heading 4 Char"/>
    <w:basedOn w:val="DefaultParagraphFont"/>
    <w:link w:val="Heading4"/>
    <w:uiPriority w:val="9"/>
    <w:semiHidden/>
    <w:rsid w:val="00F67B59"/>
    <w:rPr>
      <w:rFonts w:eastAsiaTheme="majorEastAsia" w:cstheme="majorBidi"/>
      <w:i/>
      <w:iCs/>
      <w:color w:val="0F4761" w:themeColor="accent1" w:themeShade="BF"/>
      <w:lang w:val="tr-TR"/>
    </w:rPr>
  </w:style>
  <w:style w:type="character" w:customStyle="1" w:styleId="Heading5Char">
    <w:name w:val="Heading 5 Char"/>
    <w:basedOn w:val="DefaultParagraphFont"/>
    <w:link w:val="Heading5"/>
    <w:uiPriority w:val="9"/>
    <w:semiHidden/>
    <w:rsid w:val="00F67B59"/>
    <w:rPr>
      <w:rFonts w:eastAsiaTheme="majorEastAsia" w:cstheme="majorBidi"/>
      <w:color w:val="0F4761" w:themeColor="accent1" w:themeShade="BF"/>
      <w:lang w:val="tr-TR"/>
    </w:rPr>
  </w:style>
  <w:style w:type="character" w:customStyle="1" w:styleId="Heading6Char">
    <w:name w:val="Heading 6 Char"/>
    <w:basedOn w:val="DefaultParagraphFont"/>
    <w:link w:val="Heading6"/>
    <w:uiPriority w:val="9"/>
    <w:semiHidden/>
    <w:rsid w:val="00F67B59"/>
    <w:rPr>
      <w:rFonts w:eastAsiaTheme="majorEastAsia" w:cstheme="majorBidi"/>
      <w:i/>
      <w:iCs/>
      <w:color w:val="595959" w:themeColor="text1" w:themeTint="A6"/>
      <w:lang w:val="tr-TR"/>
    </w:rPr>
  </w:style>
  <w:style w:type="character" w:customStyle="1" w:styleId="Heading7Char">
    <w:name w:val="Heading 7 Char"/>
    <w:basedOn w:val="DefaultParagraphFont"/>
    <w:link w:val="Heading7"/>
    <w:uiPriority w:val="9"/>
    <w:semiHidden/>
    <w:rsid w:val="00F67B59"/>
    <w:rPr>
      <w:rFonts w:eastAsiaTheme="majorEastAsia" w:cstheme="majorBidi"/>
      <w:color w:val="595959" w:themeColor="text1" w:themeTint="A6"/>
      <w:lang w:val="tr-TR"/>
    </w:rPr>
  </w:style>
  <w:style w:type="character" w:customStyle="1" w:styleId="Heading8Char">
    <w:name w:val="Heading 8 Char"/>
    <w:basedOn w:val="DefaultParagraphFont"/>
    <w:link w:val="Heading8"/>
    <w:uiPriority w:val="9"/>
    <w:semiHidden/>
    <w:rsid w:val="00F67B59"/>
    <w:rPr>
      <w:rFonts w:eastAsiaTheme="majorEastAsia" w:cstheme="majorBidi"/>
      <w:i/>
      <w:iCs/>
      <w:color w:val="272727" w:themeColor="text1" w:themeTint="D8"/>
      <w:lang w:val="tr-TR"/>
    </w:rPr>
  </w:style>
  <w:style w:type="character" w:customStyle="1" w:styleId="Heading9Char">
    <w:name w:val="Heading 9 Char"/>
    <w:basedOn w:val="DefaultParagraphFont"/>
    <w:link w:val="Heading9"/>
    <w:uiPriority w:val="9"/>
    <w:semiHidden/>
    <w:rsid w:val="00F67B59"/>
    <w:rPr>
      <w:rFonts w:eastAsiaTheme="majorEastAsia" w:cstheme="majorBidi"/>
      <w:color w:val="272727" w:themeColor="text1" w:themeTint="D8"/>
      <w:lang w:val="tr-TR"/>
    </w:rPr>
  </w:style>
  <w:style w:type="paragraph" w:styleId="Title">
    <w:name w:val="Title"/>
    <w:basedOn w:val="Normal"/>
    <w:next w:val="Normal"/>
    <w:link w:val="TitleChar"/>
    <w:uiPriority w:val="10"/>
    <w:qFormat/>
    <w:rsid w:val="00F67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B59"/>
    <w:rPr>
      <w:rFonts w:asciiTheme="majorHAnsi" w:eastAsiaTheme="majorEastAsia" w:hAnsiTheme="majorHAnsi" w:cstheme="majorBidi"/>
      <w:spacing w:val="-10"/>
      <w:kern w:val="28"/>
      <w:sz w:val="56"/>
      <w:szCs w:val="56"/>
      <w:lang w:val="tr-TR"/>
    </w:rPr>
  </w:style>
  <w:style w:type="paragraph" w:styleId="Subtitle">
    <w:name w:val="Subtitle"/>
    <w:basedOn w:val="Normal"/>
    <w:next w:val="Normal"/>
    <w:link w:val="SubtitleChar"/>
    <w:uiPriority w:val="11"/>
    <w:qFormat/>
    <w:rsid w:val="00F67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B59"/>
    <w:rPr>
      <w:rFonts w:eastAsiaTheme="majorEastAsia" w:cstheme="majorBidi"/>
      <w:color w:val="595959" w:themeColor="text1" w:themeTint="A6"/>
      <w:spacing w:val="15"/>
      <w:sz w:val="28"/>
      <w:szCs w:val="28"/>
      <w:lang w:val="tr-TR"/>
    </w:rPr>
  </w:style>
  <w:style w:type="paragraph" w:styleId="Quote">
    <w:name w:val="Quote"/>
    <w:basedOn w:val="Normal"/>
    <w:next w:val="Normal"/>
    <w:link w:val="QuoteChar"/>
    <w:uiPriority w:val="29"/>
    <w:qFormat/>
    <w:rsid w:val="00F67B59"/>
    <w:pPr>
      <w:spacing w:before="160"/>
      <w:jc w:val="center"/>
    </w:pPr>
    <w:rPr>
      <w:i/>
      <w:iCs/>
      <w:color w:val="404040" w:themeColor="text1" w:themeTint="BF"/>
    </w:rPr>
  </w:style>
  <w:style w:type="character" w:customStyle="1" w:styleId="QuoteChar">
    <w:name w:val="Quote Char"/>
    <w:basedOn w:val="DefaultParagraphFont"/>
    <w:link w:val="Quote"/>
    <w:uiPriority w:val="29"/>
    <w:rsid w:val="00F67B59"/>
    <w:rPr>
      <w:i/>
      <w:iCs/>
      <w:color w:val="404040" w:themeColor="text1" w:themeTint="BF"/>
      <w:lang w:val="tr-TR"/>
    </w:rPr>
  </w:style>
  <w:style w:type="paragraph" w:styleId="ListParagraph">
    <w:name w:val="List Paragraph"/>
    <w:basedOn w:val="Normal"/>
    <w:uiPriority w:val="34"/>
    <w:qFormat/>
    <w:rsid w:val="00F67B59"/>
    <w:pPr>
      <w:ind w:left="720"/>
      <w:contextualSpacing/>
    </w:pPr>
  </w:style>
  <w:style w:type="character" w:styleId="IntenseEmphasis">
    <w:name w:val="Intense Emphasis"/>
    <w:basedOn w:val="DefaultParagraphFont"/>
    <w:uiPriority w:val="21"/>
    <w:qFormat/>
    <w:rsid w:val="00F67B59"/>
    <w:rPr>
      <w:i/>
      <w:iCs/>
      <w:color w:val="0F4761" w:themeColor="accent1" w:themeShade="BF"/>
    </w:rPr>
  </w:style>
  <w:style w:type="paragraph" w:styleId="IntenseQuote">
    <w:name w:val="Intense Quote"/>
    <w:basedOn w:val="Normal"/>
    <w:next w:val="Normal"/>
    <w:link w:val="IntenseQuoteChar"/>
    <w:uiPriority w:val="30"/>
    <w:qFormat/>
    <w:rsid w:val="00F67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B59"/>
    <w:rPr>
      <w:i/>
      <w:iCs/>
      <w:color w:val="0F4761" w:themeColor="accent1" w:themeShade="BF"/>
      <w:lang w:val="tr-TR"/>
    </w:rPr>
  </w:style>
  <w:style w:type="character" w:styleId="IntenseReference">
    <w:name w:val="Intense Reference"/>
    <w:basedOn w:val="DefaultParagraphFont"/>
    <w:uiPriority w:val="32"/>
    <w:qFormat/>
    <w:rsid w:val="00F67B59"/>
    <w:rPr>
      <w:b/>
      <w:bCs/>
      <w:smallCaps/>
      <w:color w:val="0F4761" w:themeColor="accent1" w:themeShade="BF"/>
      <w:spacing w:val="5"/>
    </w:rPr>
  </w:style>
  <w:style w:type="table" w:styleId="TableGrid">
    <w:name w:val="Table Grid"/>
    <w:basedOn w:val="TableNormal"/>
    <w:uiPriority w:val="39"/>
    <w:rsid w:val="00F67B5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D00BD"/>
    <w:pPr>
      <w:spacing w:after="120" w:line="240" w:lineRule="auto"/>
      <w:jc w:val="both"/>
    </w:pPr>
    <w:rPr>
      <w:rFonts w:eastAsia="Times New Roman" w:cs="Times New Roman"/>
      <w:kern w:val="0"/>
      <w:sz w:val="20"/>
      <w:szCs w:val="20"/>
      <w:lang w:val="en-GB" w:eastAsia="sl-SI"/>
      <w14:ligatures w14:val="none"/>
    </w:rPr>
  </w:style>
  <w:style w:type="character" w:customStyle="1" w:styleId="CommentTextChar">
    <w:name w:val="Comment Text Char"/>
    <w:basedOn w:val="DefaultParagraphFont"/>
    <w:link w:val="CommentText"/>
    <w:uiPriority w:val="99"/>
    <w:semiHidden/>
    <w:rsid w:val="007D00BD"/>
    <w:rPr>
      <w:rFonts w:eastAsia="Times New Roman" w:cs="Times New Roman"/>
      <w:kern w:val="0"/>
      <w:sz w:val="20"/>
      <w:szCs w:val="20"/>
      <w:lang w:eastAsia="sl-SI"/>
      <w14:ligatures w14:val="none"/>
    </w:rPr>
  </w:style>
  <w:style w:type="character" w:styleId="CommentReference">
    <w:name w:val="annotation reference"/>
    <w:basedOn w:val="DefaultParagraphFont"/>
    <w:uiPriority w:val="99"/>
    <w:semiHidden/>
    <w:unhideWhenUsed/>
    <w:rsid w:val="007D00BD"/>
    <w:rPr>
      <w:sz w:val="16"/>
      <w:szCs w:val="16"/>
    </w:rPr>
  </w:style>
  <w:style w:type="paragraph" w:styleId="Header">
    <w:name w:val="header"/>
    <w:basedOn w:val="Normal"/>
    <w:link w:val="HeaderChar"/>
    <w:rsid w:val="00C64A1B"/>
    <w:pPr>
      <w:tabs>
        <w:tab w:val="center" w:pos="4536"/>
        <w:tab w:val="right" w:pos="9072"/>
      </w:tabs>
      <w:spacing w:after="120" w:line="276" w:lineRule="auto"/>
      <w:jc w:val="both"/>
    </w:pPr>
    <w:rPr>
      <w:rFonts w:eastAsia="Times New Roman" w:cs="Times New Roman"/>
      <w:kern w:val="0"/>
      <w:sz w:val="22"/>
      <w:szCs w:val="20"/>
      <w:lang w:val="en-GB" w:eastAsia="sl-SI"/>
      <w14:ligatures w14:val="none"/>
    </w:rPr>
  </w:style>
  <w:style w:type="character" w:customStyle="1" w:styleId="HeaderChar">
    <w:name w:val="Header Char"/>
    <w:basedOn w:val="DefaultParagraphFont"/>
    <w:link w:val="Header"/>
    <w:rsid w:val="00C64A1B"/>
    <w:rPr>
      <w:rFonts w:eastAsia="Times New Roman" w:cs="Times New Roman"/>
      <w:kern w:val="0"/>
      <w:sz w:val="22"/>
      <w:szCs w:val="20"/>
      <w:lang w:eastAsia="sl-SI"/>
      <w14:ligatures w14:val="none"/>
    </w:rPr>
  </w:style>
  <w:style w:type="paragraph" w:styleId="Footer">
    <w:name w:val="footer"/>
    <w:basedOn w:val="Normal"/>
    <w:link w:val="FooterChar"/>
    <w:uiPriority w:val="99"/>
    <w:rsid w:val="00C64A1B"/>
    <w:pPr>
      <w:tabs>
        <w:tab w:val="center" w:pos="4536"/>
        <w:tab w:val="right" w:pos="9072"/>
      </w:tabs>
      <w:spacing w:after="120" w:line="276" w:lineRule="auto"/>
      <w:jc w:val="both"/>
    </w:pPr>
    <w:rPr>
      <w:rFonts w:eastAsia="Times New Roman" w:cs="Times New Roman"/>
      <w:kern w:val="0"/>
      <w:sz w:val="22"/>
      <w:szCs w:val="20"/>
      <w:lang w:val="en-GB" w:eastAsia="sl-SI"/>
      <w14:ligatures w14:val="none"/>
    </w:rPr>
  </w:style>
  <w:style w:type="character" w:customStyle="1" w:styleId="FooterChar">
    <w:name w:val="Footer Char"/>
    <w:basedOn w:val="DefaultParagraphFont"/>
    <w:link w:val="Footer"/>
    <w:uiPriority w:val="99"/>
    <w:rsid w:val="00C64A1B"/>
    <w:rPr>
      <w:rFonts w:eastAsia="Times New Roman" w:cs="Times New Roman"/>
      <w:kern w:val="0"/>
      <w:sz w:val="22"/>
      <w:szCs w:val="20"/>
      <w:lang w:eastAsia="sl-SI"/>
      <w14:ligatures w14:val="none"/>
    </w:rPr>
  </w:style>
  <w:style w:type="character" w:styleId="PageNumber">
    <w:name w:val="page number"/>
    <w:basedOn w:val="DefaultParagraphFont"/>
    <w:rsid w:val="00C64A1B"/>
  </w:style>
  <w:style w:type="paragraph" w:styleId="BalloonText">
    <w:name w:val="Balloon Text"/>
    <w:basedOn w:val="Normal"/>
    <w:link w:val="BalloonTextChar"/>
    <w:uiPriority w:val="99"/>
    <w:semiHidden/>
    <w:unhideWhenUsed/>
    <w:rsid w:val="00C64A1B"/>
    <w:pPr>
      <w:spacing w:after="120" w:line="276" w:lineRule="auto"/>
      <w:jc w:val="both"/>
    </w:pPr>
    <w:rPr>
      <w:rFonts w:ascii="Tahoma" w:eastAsia="Times New Roman" w:hAnsi="Tahoma" w:cs="Tahoma"/>
      <w:kern w:val="0"/>
      <w:sz w:val="16"/>
      <w:szCs w:val="16"/>
      <w:lang w:val="en-GB" w:eastAsia="sl-SI"/>
      <w14:ligatures w14:val="none"/>
    </w:rPr>
  </w:style>
  <w:style w:type="character" w:customStyle="1" w:styleId="BalloonTextChar">
    <w:name w:val="Balloon Text Char"/>
    <w:basedOn w:val="DefaultParagraphFont"/>
    <w:link w:val="BalloonText"/>
    <w:uiPriority w:val="99"/>
    <w:semiHidden/>
    <w:rsid w:val="00C64A1B"/>
    <w:rPr>
      <w:rFonts w:ascii="Tahoma" w:eastAsia="Times New Roman" w:hAnsi="Tahoma" w:cs="Tahoma"/>
      <w:kern w:val="0"/>
      <w:sz w:val="16"/>
      <w:szCs w:val="16"/>
      <w:lang w:eastAsia="sl-SI"/>
      <w14:ligatures w14:val="none"/>
    </w:rPr>
  </w:style>
  <w:style w:type="paragraph" w:styleId="TOC1">
    <w:name w:val="toc 1"/>
    <w:basedOn w:val="Normal"/>
    <w:next w:val="Normal"/>
    <w:autoRedefine/>
    <w:uiPriority w:val="39"/>
    <w:unhideWhenUsed/>
    <w:rsid w:val="00C64A1B"/>
    <w:pPr>
      <w:spacing w:before="120" w:after="0" w:line="276" w:lineRule="auto"/>
    </w:pPr>
    <w:rPr>
      <w:rFonts w:eastAsia="Times New Roman" w:cs="Times New Roman"/>
      <w:b/>
      <w:kern w:val="0"/>
      <w:lang w:val="en-GB" w:eastAsia="sl-SI"/>
      <w14:ligatures w14:val="none"/>
    </w:rPr>
  </w:style>
  <w:style w:type="paragraph" w:styleId="TOC2">
    <w:name w:val="toc 2"/>
    <w:basedOn w:val="Normal"/>
    <w:next w:val="Normal"/>
    <w:autoRedefine/>
    <w:uiPriority w:val="39"/>
    <w:unhideWhenUsed/>
    <w:rsid w:val="00C64A1B"/>
    <w:pPr>
      <w:spacing w:after="0" w:line="276" w:lineRule="auto"/>
      <w:ind w:left="220"/>
    </w:pPr>
    <w:rPr>
      <w:rFonts w:eastAsia="Times New Roman" w:cs="Times New Roman"/>
      <w:b/>
      <w:kern w:val="0"/>
      <w:sz w:val="22"/>
      <w:szCs w:val="22"/>
      <w:lang w:val="en-GB" w:eastAsia="sl-SI"/>
      <w14:ligatures w14:val="none"/>
    </w:rPr>
  </w:style>
  <w:style w:type="paragraph" w:styleId="TOC3">
    <w:name w:val="toc 3"/>
    <w:basedOn w:val="Normal"/>
    <w:next w:val="Normal"/>
    <w:autoRedefine/>
    <w:uiPriority w:val="39"/>
    <w:unhideWhenUsed/>
    <w:rsid w:val="00C64A1B"/>
    <w:pPr>
      <w:spacing w:after="0" w:line="276" w:lineRule="auto"/>
      <w:ind w:left="440"/>
    </w:pPr>
    <w:rPr>
      <w:rFonts w:eastAsia="Times New Roman" w:cs="Times New Roman"/>
      <w:kern w:val="0"/>
      <w:sz w:val="22"/>
      <w:szCs w:val="22"/>
      <w:lang w:val="en-GB" w:eastAsia="sl-SI"/>
      <w14:ligatures w14:val="none"/>
    </w:rPr>
  </w:style>
  <w:style w:type="paragraph" w:styleId="TOC4">
    <w:name w:val="toc 4"/>
    <w:basedOn w:val="Normal"/>
    <w:next w:val="Normal"/>
    <w:autoRedefine/>
    <w:uiPriority w:val="39"/>
    <w:unhideWhenUsed/>
    <w:rsid w:val="00C64A1B"/>
    <w:pPr>
      <w:spacing w:after="0" w:line="276" w:lineRule="auto"/>
      <w:ind w:left="660"/>
    </w:pPr>
    <w:rPr>
      <w:rFonts w:eastAsia="Times New Roman" w:cs="Times New Roman"/>
      <w:kern w:val="0"/>
      <w:sz w:val="20"/>
      <w:szCs w:val="20"/>
      <w:lang w:val="en-GB" w:eastAsia="sl-SI"/>
      <w14:ligatures w14:val="none"/>
    </w:rPr>
  </w:style>
  <w:style w:type="paragraph" w:styleId="TOC5">
    <w:name w:val="toc 5"/>
    <w:basedOn w:val="Normal"/>
    <w:next w:val="Normal"/>
    <w:autoRedefine/>
    <w:uiPriority w:val="39"/>
    <w:unhideWhenUsed/>
    <w:rsid w:val="00C64A1B"/>
    <w:pPr>
      <w:spacing w:after="0" w:line="276" w:lineRule="auto"/>
      <w:ind w:left="880"/>
    </w:pPr>
    <w:rPr>
      <w:rFonts w:eastAsia="Times New Roman" w:cs="Times New Roman"/>
      <w:kern w:val="0"/>
      <w:sz w:val="20"/>
      <w:szCs w:val="20"/>
      <w:lang w:val="en-GB" w:eastAsia="sl-SI"/>
      <w14:ligatures w14:val="none"/>
    </w:rPr>
  </w:style>
  <w:style w:type="paragraph" w:styleId="TOC6">
    <w:name w:val="toc 6"/>
    <w:basedOn w:val="Normal"/>
    <w:next w:val="Normal"/>
    <w:autoRedefine/>
    <w:uiPriority w:val="39"/>
    <w:unhideWhenUsed/>
    <w:rsid w:val="00C64A1B"/>
    <w:pPr>
      <w:spacing w:after="0" w:line="276" w:lineRule="auto"/>
      <w:ind w:left="1100"/>
    </w:pPr>
    <w:rPr>
      <w:rFonts w:eastAsia="Times New Roman" w:cs="Times New Roman"/>
      <w:kern w:val="0"/>
      <w:sz w:val="20"/>
      <w:szCs w:val="20"/>
      <w:lang w:val="en-GB" w:eastAsia="sl-SI"/>
      <w14:ligatures w14:val="none"/>
    </w:rPr>
  </w:style>
  <w:style w:type="paragraph" w:styleId="TOC7">
    <w:name w:val="toc 7"/>
    <w:basedOn w:val="Normal"/>
    <w:next w:val="Normal"/>
    <w:autoRedefine/>
    <w:uiPriority w:val="39"/>
    <w:unhideWhenUsed/>
    <w:rsid w:val="00C64A1B"/>
    <w:pPr>
      <w:spacing w:after="0" w:line="276" w:lineRule="auto"/>
      <w:ind w:left="1320"/>
    </w:pPr>
    <w:rPr>
      <w:rFonts w:eastAsia="Times New Roman" w:cs="Times New Roman"/>
      <w:kern w:val="0"/>
      <w:sz w:val="20"/>
      <w:szCs w:val="20"/>
      <w:lang w:val="en-GB" w:eastAsia="sl-SI"/>
      <w14:ligatures w14:val="none"/>
    </w:rPr>
  </w:style>
  <w:style w:type="paragraph" w:styleId="TOC8">
    <w:name w:val="toc 8"/>
    <w:basedOn w:val="Normal"/>
    <w:next w:val="Normal"/>
    <w:autoRedefine/>
    <w:uiPriority w:val="39"/>
    <w:unhideWhenUsed/>
    <w:rsid w:val="00C64A1B"/>
    <w:pPr>
      <w:spacing w:after="0" w:line="276" w:lineRule="auto"/>
      <w:ind w:left="1540"/>
    </w:pPr>
    <w:rPr>
      <w:rFonts w:eastAsia="Times New Roman" w:cs="Times New Roman"/>
      <w:kern w:val="0"/>
      <w:sz w:val="20"/>
      <w:szCs w:val="20"/>
      <w:lang w:val="en-GB" w:eastAsia="sl-SI"/>
      <w14:ligatures w14:val="none"/>
    </w:rPr>
  </w:style>
  <w:style w:type="paragraph" w:styleId="TOC9">
    <w:name w:val="toc 9"/>
    <w:basedOn w:val="Normal"/>
    <w:next w:val="Normal"/>
    <w:autoRedefine/>
    <w:uiPriority w:val="39"/>
    <w:unhideWhenUsed/>
    <w:rsid w:val="00C64A1B"/>
    <w:pPr>
      <w:spacing w:after="0" w:line="276" w:lineRule="auto"/>
      <w:ind w:left="1760"/>
    </w:pPr>
    <w:rPr>
      <w:rFonts w:eastAsia="Times New Roman" w:cs="Times New Roman"/>
      <w:kern w:val="0"/>
      <w:sz w:val="20"/>
      <w:szCs w:val="20"/>
      <w:lang w:val="en-GB" w:eastAsia="sl-SI"/>
      <w14:ligatures w14:val="none"/>
    </w:rPr>
  </w:style>
  <w:style w:type="paragraph" w:styleId="DocumentMap">
    <w:name w:val="Document Map"/>
    <w:basedOn w:val="Normal"/>
    <w:link w:val="DocumentMapChar"/>
    <w:uiPriority w:val="99"/>
    <w:semiHidden/>
    <w:unhideWhenUsed/>
    <w:rsid w:val="00C64A1B"/>
    <w:pPr>
      <w:spacing w:after="0" w:line="240" w:lineRule="auto"/>
      <w:jc w:val="both"/>
    </w:pPr>
    <w:rPr>
      <w:rFonts w:ascii="Lucida Grande" w:eastAsia="Times New Roman" w:hAnsi="Lucida Grande" w:cs="Times New Roman"/>
      <w:kern w:val="0"/>
      <w:lang w:val="en-GB" w:eastAsia="sl-SI"/>
      <w14:ligatures w14:val="none"/>
    </w:rPr>
  </w:style>
  <w:style w:type="character" w:customStyle="1" w:styleId="DocumentMapChar">
    <w:name w:val="Document Map Char"/>
    <w:basedOn w:val="DefaultParagraphFont"/>
    <w:link w:val="DocumentMap"/>
    <w:uiPriority w:val="99"/>
    <w:semiHidden/>
    <w:rsid w:val="00C64A1B"/>
    <w:rPr>
      <w:rFonts w:ascii="Lucida Grande" w:eastAsia="Times New Roman" w:hAnsi="Lucida Grande" w:cs="Times New Roman"/>
      <w:kern w:val="0"/>
      <w:lang w:eastAsia="sl-SI"/>
      <w14:ligatures w14:val="none"/>
    </w:rPr>
  </w:style>
  <w:style w:type="paragraph" w:customStyle="1" w:styleId="paragraph">
    <w:name w:val="paragraph"/>
    <w:basedOn w:val="Normal"/>
    <w:rsid w:val="00C64A1B"/>
    <w:pPr>
      <w:spacing w:before="100" w:beforeAutospacing="1" w:after="100" w:afterAutospacing="1" w:line="240" w:lineRule="auto"/>
    </w:pPr>
    <w:rPr>
      <w:rFonts w:ascii="Times New Roman" w:eastAsia="Times New Roman" w:hAnsi="Times New Roman" w:cs="Times New Roman"/>
      <w:kern w:val="0"/>
      <w:lang w:val="en-IE" w:eastAsia="en-GB"/>
      <w14:ligatures w14:val="none"/>
    </w:rPr>
  </w:style>
  <w:style w:type="character" w:customStyle="1" w:styleId="normaltextrun">
    <w:name w:val="normaltextrun"/>
    <w:basedOn w:val="DefaultParagraphFont"/>
    <w:rsid w:val="00C64A1B"/>
  </w:style>
  <w:style w:type="character" w:customStyle="1" w:styleId="eop">
    <w:name w:val="eop"/>
    <w:basedOn w:val="DefaultParagraphFont"/>
    <w:rsid w:val="00C64A1B"/>
  </w:style>
  <w:style w:type="character" w:styleId="Hyperlink">
    <w:name w:val="Hyperlink"/>
    <w:basedOn w:val="DefaultParagraphFont"/>
    <w:uiPriority w:val="99"/>
    <w:unhideWhenUsed/>
    <w:rsid w:val="00C64A1B"/>
    <w:rPr>
      <w:color w:val="467886" w:themeColor="hyperlink"/>
      <w:u w:val="single"/>
    </w:rPr>
  </w:style>
  <w:style w:type="character" w:styleId="UnresolvedMention">
    <w:name w:val="Unresolved Mention"/>
    <w:basedOn w:val="DefaultParagraphFont"/>
    <w:uiPriority w:val="99"/>
    <w:semiHidden/>
    <w:unhideWhenUsed/>
    <w:rsid w:val="00C64A1B"/>
    <w:rPr>
      <w:color w:val="605E5C"/>
      <w:shd w:val="clear" w:color="auto" w:fill="E1DFDD"/>
    </w:rPr>
  </w:style>
  <w:style w:type="paragraph" w:styleId="Caption">
    <w:name w:val="caption"/>
    <w:basedOn w:val="Normal"/>
    <w:next w:val="Normal"/>
    <w:uiPriority w:val="35"/>
    <w:unhideWhenUsed/>
    <w:qFormat/>
    <w:rsid w:val="00C64A1B"/>
    <w:pPr>
      <w:spacing w:after="200" w:line="240" w:lineRule="auto"/>
      <w:jc w:val="both"/>
    </w:pPr>
    <w:rPr>
      <w:rFonts w:eastAsia="Times New Roman" w:cs="Times New Roman"/>
      <w:i/>
      <w:iCs/>
      <w:color w:val="0E2841" w:themeColor="text2"/>
      <w:kern w:val="0"/>
      <w:sz w:val="18"/>
      <w:szCs w:val="18"/>
      <w:lang w:val="en-GB" w:eastAsia="sl-SI"/>
      <w14:ligatures w14:val="none"/>
    </w:rPr>
  </w:style>
  <w:style w:type="paragraph" w:styleId="Revision">
    <w:name w:val="Revision"/>
    <w:hidden/>
    <w:uiPriority w:val="99"/>
    <w:semiHidden/>
    <w:rsid w:val="00C64A1B"/>
    <w:pPr>
      <w:spacing w:after="0" w:line="240" w:lineRule="auto"/>
    </w:pPr>
    <w:rPr>
      <w:rFonts w:eastAsia="Times New Roman" w:cs="Times New Roman"/>
      <w:kern w:val="0"/>
      <w:sz w:val="22"/>
      <w:szCs w:val="20"/>
      <w:lang w:eastAsia="sl-SI"/>
      <w14:ligatures w14:val="none"/>
    </w:rPr>
  </w:style>
  <w:style w:type="character" w:styleId="FollowedHyperlink">
    <w:name w:val="FollowedHyperlink"/>
    <w:basedOn w:val="DefaultParagraphFont"/>
    <w:uiPriority w:val="99"/>
    <w:semiHidden/>
    <w:unhideWhenUsed/>
    <w:rsid w:val="00C64A1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6b6a69-19ff-4a0e-a772-806f4a4542eb" xsi:nil="true"/>
    <lcf76f155ced4ddcb4097134ff3c332f xmlns="203216f9-3d2e-4fb1-a1e5-f4d7c216ec7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4E462045CDAF4792B50B952C336B30" ma:contentTypeVersion="15" ma:contentTypeDescription="Create a new document." ma:contentTypeScope="" ma:versionID="43c086bae9977c232bfb3b0ddd9f4961">
  <xsd:schema xmlns:xsd="http://www.w3.org/2001/XMLSchema" xmlns:xs="http://www.w3.org/2001/XMLSchema" xmlns:p="http://schemas.microsoft.com/office/2006/metadata/properties" xmlns:ns2="203216f9-3d2e-4fb1-a1e5-f4d7c216ec7f" xmlns:ns3="c96b6a69-19ff-4a0e-a772-806f4a4542eb" targetNamespace="http://schemas.microsoft.com/office/2006/metadata/properties" ma:root="true" ma:fieldsID="6294b64fa200b158bd8cc3feb201b550" ns2:_="" ns3:_="">
    <xsd:import namespace="203216f9-3d2e-4fb1-a1e5-f4d7c216ec7f"/>
    <xsd:import namespace="c96b6a69-19ff-4a0e-a772-806f4a4542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216f9-3d2e-4fb1-a1e5-f4d7c216e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b6a69-19ff-4a0e-a772-806f4a4542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f617e-3283-4f74-a34c-7394a22c3f77}" ma:internalName="TaxCatchAll" ma:showField="CatchAllData" ma:web="c96b6a69-19ff-4a0e-a772-806f4a4542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CBC6A-6EBF-49DE-BFA4-797D03B5356B}">
  <ds:schemaRefs>
    <ds:schemaRef ds:uri="http://schemas.microsoft.com/sharepoint/v3/contenttype/forms"/>
  </ds:schemaRefs>
</ds:datastoreItem>
</file>

<file path=customXml/itemProps2.xml><?xml version="1.0" encoding="utf-8"?>
<ds:datastoreItem xmlns:ds="http://schemas.openxmlformats.org/officeDocument/2006/customXml" ds:itemID="{BA79EDFA-D5F3-4B62-9C00-ADE30F66D774}">
  <ds:schemaRefs>
    <ds:schemaRef ds:uri="http://schemas.microsoft.com/office/2006/metadata/properties"/>
    <ds:schemaRef ds:uri="http://schemas.microsoft.com/office/infopath/2007/PartnerControls"/>
    <ds:schemaRef ds:uri="c96b6a69-19ff-4a0e-a772-806f4a4542eb"/>
    <ds:schemaRef ds:uri="203216f9-3d2e-4fb1-a1e5-f4d7c216ec7f"/>
  </ds:schemaRefs>
</ds:datastoreItem>
</file>

<file path=customXml/itemProps3.xml><?xml version="1.0" encoding="utf-8"?>
<ds:datastoreItem xmlns:ds="http://schemas.openxmlformats.org/officeDocument/2006/customXml" ds:itemID="{8F8A68C5-7C17-46A1-85D1-360597C90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216f9-3d2e-4fb1-a1e5-f4d7c216ec7f"/>
    <ds:schemaRef ds:uri="c96b6a69-19ff-4a0e-a772-806f4a454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8222</Words>
  <Characters>47770</Characters>
  <Application>Microsoft Office Word</Application>
  <DocSecurity>0</DocSecurity>
  <Lines>1540</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Eleftherios Giovanis</dc:creator>
  <cp:keywords/>
  <dc:description/>
  <cp:lastModifiedBy>Eleftherios Giovanis</cp:lastModifiedBy>
  <cp:revision>38</cp:revision>
  <dcterms:created xsi:type="dcterms:W3CDTF">2025-07-27T08:36:00Z</dcterms:created>
  <dcterms:modified xsi:type="dcterms:W3CDTF">2025-11-04T18:30:00Z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0x010100C64E462045CDAF4792B50B952C336B30</vt:lpwstr>
  </property>
  <property fmtid="{D5CDD505-2E9C-101B-9397-08002B2CF9AE}" pid="3" name="MediaServiceImageTags">
    <vt:lpwstr/>
  </property>
</Properties>
</file>