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308B6C" w14:textId="77777777" w:rsidR="00076F08" w:rsidRDefault="00076F08" w:rsidP="00076F08">
      <w:pPr>
        <w:rPr>
          <w:i/>
          <w:iCs/>
        </w:rPr>
      </w:pPr>
      <w:r>
        <w:rPr>
          <w:i/>
          <w:iCs/>
        </w:rPr>
        <w:t>L-arginine/L-citrulline analysis.</w:t>
      </w:r>
    </w:p>
    <w:p w14:paraId="71619003" w14:textId="77777777" w:rsidR="00076F08" w:rsidRDefault="00076F08" w:rsidP="00076F08">
      <w:pPr>
        <w:rPr>
          <w:i/>
          <w:iCs/>
        </w:rPr>
      </w:pPr>
      <w:r>
        <w:rPr>
          <w:b/>
          <w:bCs/>
        </w:rPr>
        <w:t xml:space="preserve">Materials </w:t>
      </w:r>
      <w:r>
        <w:t xml:space="preserve">L-arginine (ARG) and L-citrulline (CIT) hydrochloride were purchased from Alfa </w:t>
      </w:r>
      <w:proofErr w:type="spellStart"/>
      <w:r>
        <w:t>Aesar</w:t>
      </w:r>
      <w:proofErr w:type="spellEnd"/>
      <w:r>
        <w:t xml:space="preserve"> (Ward Hill, MA, USA). ARG hydrochloride-d7 and CIT-d6 were purchased from Toronto Research Chemicals (Toronto, Canada). Acetonitrile (</w:t>
      </w:r>
      <w:proofErr w:type="spellStart"/>
      <w:r>
        <w:t>MeCN</w:t>
      </w:r>
      <w:proofErr w:type="spellEnd"/>
      <w:r>
        <w:t xml:space="preserve">), methanol (MeOH) and water were of LC-MS grade and purchased from VWR (Lutterworth, UK). Ammonium </w:t>
      </w:r>
      <w:proofErr w:type="spellStart"/>
      <w:r>
        <w:t>formate</w:t>
      </w:r>
      <w:proofErr w:type="spellEnd"/>
      <w:r>
        <w:t xml:space="preserve"> and formic acid (HCOOH) were purchased from Fisher Scientific (Loughborough, UK).</w:t>
      </w:r>
    </w:p>
    <w:p w14:paraId="46DEC4DE" w14:textId="77777777" w:rsidR="00076F08" w:rsidRDefault="00076F08" w:rsidP="00076F08">
      <w:pPr>
        <w:rPr>
          <w:b/>
          <w:bCs/>
        </w:rPr>
      </w:pPr>
      <w:r>
        <w:rPr>
          <w:b/>
          <w:bCs/>
        </w:rPr>
        <w:t>Calibration and QC samples</w:t>
      </w:r>
    </w:p>
    <w:p w14:paraId="6B334333" w14:textId="77777777" w:rsidR="00076F08" w:rsidRDefault="00076F08" w:rsidP="00076F08">
      <w:pPr>
        <w:rPr>
          <w:b/>
          <w:bCs/>
        </w:rPr>
      </w:pPr>
      <w:r>
        <w:t>Stock solutions of ARG and CIT at 1 mM were prepared in 2% HCOOH and diluted accordingly to generate calibration standards at 10, 20, 50, 100, 200 and 333.33 µmol/L. All calibration experiments were calculated using a 1/x weighting and showed excellent linearity with calibration coefficients (r</w:t>
      </w:r>
      <w:r>
        <w:rPr>
          <w:vertAlign w:val="superscript"/>
        </w:rPr>
        <w:t>2</w:t>
      </w:r>
      <w:r>
        <w:t>) of &gt;0.99. A quality control (QC) sample was created using a blank (baseline) plasma sample. Stock solutions of each internal standard (IS) were produced at 1.5 mM in 2% HCOOH and a working IS solution was created by diluting ARG-d7 and CIT-d6 in 2% HCOOH to a concentration of 150 µmol/L. All calibration and QC samples were processed as detailed below.</w:t>
      </w:r>
    </w:p>
    <w:p w14:paraId="28A5F177" w14:textId="77777777" w:rsidR="00076F08" w:rsidRDefault="00076F08" w:rsidP="00076F08">
      <w:pPr>
        <w:rPr>
          <w:b/>
          <w:bCs/>
        </w:rPr>
      </w:pPr>
      <w:r>
        <w:rPr>
          <w:b/>
          <w:bCs/>
        </w:rPr>
        <w:t>Sample Preparation</w:t>
      </w:r>
    </w:p>
    <w:p w14:paraId="012D387A" w14:textId="77777777" w:rsidR="00076F08" w:rsidRDefault="00076F08" w:rsidP="00076F08">
      <w:r>
        <w:t xml:space="preserve">All samples were prepared as reported by Shin et al. (1). Fifty µL of each plasma sample, QC sample and calibration standard was mixed with 50 µL IS working solution and 50 µL water. To this, 850 µL of MeOH was added and the mixture vortexed followed by centrifugation at 20,000 </w:t>
      </w:r>
      <w:proofErr w:type="spellStart"/>
      <w:r>
        <w:rPr>
          <w:i/>
          <w:iCs/>
        </w:rPr>
        <w:t>x</w:t>
      </w:r>
      <w:r>
        <w:t>g</w:t>
      </w:r>
      <w:proofErr w:type="spellEnd"/>
      <w:r>
        <w:t xml:space="preserve"> for 15 min. One hundred µL of the supernatant was transferred to an autosampler vial, diluted with 900 µL of the starting mobile phase, and mixed thoroughly. </w:t>
      </w:r>
    </w:p>
    <w:p w14:paraId="3EDC566B" w14:textId="77777777" w:rsidR="00076F08" w:rsidRDefault="00076F08" w:rsidP="00076F08">
      <w:r>
        <w:rPr>
          <w:b/>
          <w:bCs/>
        </w:rPr>
        <w:t>LC-MS/MS</w:t>
      </w:r>
    </w:p>
    <w:p w14:paraId="25EC2642" w14:textId="3388E655" w:rsidR="00076F08" w:rsidRDefault="00076F08" w:rsidP="00076F08">
      <w:r>
        <w:t xml:space="preserve">Samples and standards were analysed by liquid chromatography-tandem mass spectrometry (LC-MS/MS) using an Acquity UPLC coupled to a Quattro Ultima triple quadrupole mass spectrometer (Waters Corp., Wilmslow, UK). Sample analyses were completed using an adapted protocol by Shin et al., (2019). An </w:t>
      </w:r>
      <w:proofErr w:type="spellStart"/>
      <w:r>
        <w:t>Aqcuity</w:t>
      </w:r>
      <w:proofErr w:type="spellEnd"/>
      <w:r>
        <w:t xml:space="preserve"> UPLC BEH HILIC column (130 Å, 1.7 μm, 2.1 mm × 100 mm, Waters) with an Acquity BEH HILIC VanGuard pre-column (130 Å, 1.7 μm, 2.1 mm × 5 mm, Waters) was used. Buffer A was 20 mM ammonium </w:t>
      </w:r>
      <w:proofErr w:type="spellStart"/>
      <w:r>
        <w:t>formate</w:t>
      </w:r>
      <w:proofErr w:type="spellEnd"/>
      <w:r>
        <w:t xml:space="preserve"> in 0.1% HCOOH and buffer B was 20 mM ammonium </w:t>
      </w:r>
      <w:proofErr w:type="spellStart"/>
      <w:r>
        <w:t>formate</w:t>
      </w:r>
      <w:proofErr w:type="spellEnd"/>
      <w:r>
        <w:t xml:space="preserve">/0.1% HCOOH in 90% </w:t>
      </w:r>
      <w:proofErr w:type="spellStart"/>
      <w:r>
        <w:t>MeCN</w:t>
      </w:r>
      <w:proofErr w:type="spellEnd"/>
      <w:r>
        <w:t xml:space="preserve">. An injection volume of 5 µL using a full loop setup and flow rate </w:t>
      </w:r>
      <w:r w:rsidR="00395B77">
        <w:t xml:space="preserve">set at </w:t>
      </w:r>
      <w:r>
        <w:t xml:space="preserve">300 µL/min, a column temperature of 30 °C, and an autosampler internal temperature of 10 °C was used. The gradient started with 10% buffer A for 3 min, rising linearly to 30% at 6 min, held for 1 min, and returned to starting conditions with an 8 min equilibration step. The total analysis time was 15 min. Multiple reaction monitoring was performed </w:t>
      </w:r>
      <w:r w:rsidR="007642A5">
        <w:t xml:space="preserve">in positive ion mode ESI </w:t>
      </w:r>
      <w:r>
        <w:t xml:space="preserve">using the transitions detailed in Table </w:t>
      </w:r>
      <w:r w:rsidR="000E49E0">
        <w:t>S</w:t>
      </w:r>
      <w:r>
        <w:t xml:space="preserve">1 with ion source parameters for the mass spectrometer in Table </w:t>
      </w:r>
      <w:r w:rsidR="000E49E0">
        <w:t>S</w:t>
      </w:r>
      <w:r>
        <w:t xml:space="preserve">2. All analyses were performed using MassLynx (v4.1, Waters). Confirmation of analyte was achieved by multiple reaction monitoring (MRM) transition and retention time. Analyte peak areas, calibration statistics and sample concentrations were calculated using </w:t>
      </w:r>
      <w:proofErr w:type="spellStart"/>
      <w:r>
        <w:t>QuanLynx</w:t>
      </w:r>
      <w:proofErr w:type="spellEnd"/>
      <w:r>
        <w:t xml:space="preserve"> (Waters) by reporting the ratio of the peak area of the analyte to its corresponding internal standard. All concentrations were reported in micromoles per litre (µmol/L).</w:t>
      </w:r>
    </w:p>
    <w:p w14:paraId="5EC5C9B1" w14:textId="77777777" w:rsidR="002B1730" w:rsidRDefault="002B1730"/>
    <w:p w14:paraId="527CC308" w14:textId="77777777" w:rsidR="000871EF" w:rsidRDefault="000871EF"/>
    <w:p w14:paraId="643C8DEF" w14:textId="3E2C7B24" w:rsidR="000871EF" w:rsidRDefault="000E49E0">
      <w:r>
        <w:t xml:space="preserve">Table S1. </w:t>
      </w:r>
      <w:r w:rsidR="003F163F">
        <w:t>Mass spectrometry parameters for m</w:t>
      </w:r>
      <w:r>
        <w:t>ul</w:t>
      </w:r>
      <w:r w:rsidR="003F163F">
        <w:t xml:space="preserve">tiple reaction monitoring of arginine, citrulline, and </w:t>
      </w:r>
      <w:r w:rsidR="001F4C92">
        <w:t>their r</w:t>
      </w:r>
      <w:r w:rsidR="003F163F">
        <w:t xml:space="preserve">espective </w:t>
      </w:r>
      <w:r w:rsidR="001F4C92">
        <w:t>labelled standards.</w:t>
      </w:r>
    </w:p>
    <w:p w14:paraId="102AFFCB" w14:textId="77777777" w:rsidR="001F4C92" w:rsidRDefault="001F4C9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4"/>
      </w:tblGrid>
      <w:tr w:rsidR="001F4C92" w14:paraId="1D51B6DE" w14:textId="77777777" w:rsidTr="005314F5">
        <w:tc>
          <w:tcPr>
            <w:tcW w:w="1803" w:type="dxa"/>
            <w:tcBorders>
              <w:bottom w:val="single" w:sz="4" w:space="0" w:color="auto"/>
            </w:tcBorders>
          </w:tcPr>
          <w:p w14:paraId="38EA453B" w14:textId="38A329B5" w:rsidR="001F4C92" w:rsidRPr="005314F5" w:rsidRDefault="001F4C92" w:rsidP="005314F5">
            <w:pPr>
              <w:jc w:val="center"/>
              <w:rPr>
                <w:b/>
                <w:bCs/>
              </w:rPr>
            </w:pPr>
            <w:r w:rsidRPr="005314F5">
              <w:rPr>
                <w:b/>
                <w:bCs/>
              </w:rPr>
              <w:t>Compound</w:t>
            </w:r>
          </w:p>
        </w:tc>
        <w:tc>
          <w:tcPr>
            <w:tcW w:w="1803" w:type="dxa"/>
            <w:tcBorders>
              <w:bottom w:val="single" w:sz="4" w:space="0" w:color="auto"/>
            </w:tcBorders>
          </w:tcPr>
          <w:p w14:paraId="0E6ECB6B" w14:textId="1BFEB0B0" w:rsidR="001F4C92" w:rsidRPr="005314F5" w:rsidRDefault="001F4C92" w:rsidP="005314F5">
            <w:pPr>
              <w:jc w:val="center"/>
              <w:rPr>
                <w:b/>
                <w:bCs/>
              </w:rPr>
            </w:pPr>
            <w:r w:rsidRPr="005314F5">
              <w:rPr>
                <w:b/>
                <w:bCs/>
              </w:rPr>
              <w:t>Q1</w:t>
            </w:r>
            <w:r w:rsidR="00587ADC" w:rsidRPr="005314F5">
              <w:rPr>
                <w:b/>
                <w:bCs/>
              </w:rPr>
              <w:t xml:space="preserve"> (</w:t>
            </w:r>
            <w:r w:rsidR="00587ADC" w:rsidRPr="005314F5">
              <w:rPr>
                <w:b/>
                <w:bCs/>
                <w:i/>
                <w:iCs/>
              </w:rPr>
              <w:t>m/z</w:t>
            </w:r>
            <w:r w:rsidR="00587ADC" w:rsidRPr="005314F5">
              <w:rPr>
                <w:b/>
                <w:bCs/>
              </w:rPr>
              <w:t>)</w:t>
            </w:r>
          </w:p>
        </w:tc>
        <w:tc>
          <w:tcPr>
            <w:tcW w:w="1803" w:type="dxa"/>
            <w:tcBorders>
              <w:bottom w:val="single" w:sz="4" w:space="0" w:color="auto"/>
            </w:tcBorders>
          </w:tcPr>
          <w:p w14:paraId="4B7E7953" w14:textId="25C2EADC" w:rsidR="001F4C92" w:rsidRPr="005314F5" w:rsidRDefault="001F4C92" w:rsidP="005314F5">
            <w:pPr>
              <w:jc w:val="center"/>
              <w:rPr>
                <w:b/>
                <w:bCs/>
              </w:rPr>
            </w:pPr>
            <w:r w:rsidRPr="005314F5">
              <w:rPr>
                <w:b/>
                <w:bCs/>
              </w:rPr>
              <w:t>Q3</w:t>
            </w:r>
            <w:r w:rsidR="00587ADC" w:rsidRPr="005314F5">
              <w:rPr>
                <w:b/>
                <w:bCs/>
              </w:rPr>
              <w:t xml:space="preserve"> (</w:t>
            </w:r>
            <w:r w:rsidR="00587ADC" w:rsidRPr="005314F5">
              <w:rPr>
                <w:b/>
                <w:bCs/>
                <w:i/>
                <w:iCs/>
              </w:rPr>
              <w:t>m/z</w:t>
            </w:r>
            <w:r w:rsidR="00587ADC" w:rsidRPr="005314F5">
              <w:rPr>
                <w:b/>
                <w:bCs/>
              </w:rPr>
              <w:t>)</w:t>
            </w:r>
          </w:p>
        </w:tc>
        <w:tc>
          <w:tcPr>
            <w:tcW w:w="1803" w:type="dxa"/>
            <w:tcBorders>
              <w:bottom w:val="single" w:sz="4" w:space="0" w:color="auto"/>
            </w:tcBorders>
          </w:tcPr>
          <w:p w14:paraId="4E013A7F" w14:textId="431CE7F8" w:rsidR="001F4C92" w:rsidRPr="005314F5" w:rsidRDefault="001F4C92" w:rsidP="005314F5">
            <w:pPr>
              <w:jc w:val="center"/>
              <w:rPr>
                <w:b/>
                <w:bCs/>
              </w:rPr>
            </w:pPr>
            <w:r w:rsidRPr="005314F5">
              <w:rPr>
                <w:b/>
                <w:bCs/>
              </w:rPr>
              <w:t>CE (V)</w:t>
            </w:r>
          </w:p>
        </w:tc>
        <w:tc>
          <w:tcPr>
            <w:tcW w:w="1804" w:type="dxa"/>
            <w:tcBorders>
              <w:bottom w:val="single" w:sz="4" w:space="0" w:color="auto"/>
            </w:tcBorders>
          </w:tcPr>
          <w:p w14:paraId="202DEFB5" w14:textId="2EA19332" w:rsidR="001F4C92" w:rsidRPr="005314F5" w:rsidRDefault="00587ADC" w:rsidP="005314F5">
            <w:pPr>
              <w:jc w:val="center"/>
              <w:rPr>
                <w:b/>
                <w:bCs/>
              </w:rPr>
            </w:pPr>
            <w:r w:rsidRPr="005314F5">
              <w:rPr>
                <w:b/>
                <w:bCs/>
              </w:rPr>
              <w:t>Dwell (</w:t>
            </w:r>
            <w:proofErr w:type="spellStart"/>
            <w:r w:rsidRPr="005314F5">
              <w:rPr>
                <w:b/>
                <w:bCs/>
              </w:rPr>
              <w:t>ms</w:t>
            </w:r>
            <w:proofErr w:type="spellEnd"/>
            <w:r w:rsidRPr="005314F5">
              <w:rPr>
                <w:b/>
                <w:bCs/>
              </w:rPr>
              <w:t>)</w:t>
            </w:r>
          </w:p>
        </w:tc>
      </w:tr>
      <w:tr w:rsidR="00587ADC" w14:paraId="30ADDA3A" w14:textId="77777777" w:rsidTr="005314F5">
        <w:tc>
          <w:tcPr>
            <w:tcW w:w="1803" w:type="dxa"/>
            <w:tcBorders>
              <w:top w:val="single" w:sz="4" w:space="0" w:color="auto"/>
            </w:tcBorders>
          </w:tcPr>
          <w:p w14:paraId="121DF44A" w14:textId="77C35746" w:rsidR="00587ADC" w:rsidRDefault="00587ADC" w:rsidP="005314F5">
            <w:pPr>
              <w:jc w:val="center"/>
            </w:pPr>
            <w:r>
              <w:t>Arginine</w:t>
            </w:r>
          </w:p>
        </w:tc>
        <w:tc>
          <w:tcPr>
            <w:tcW w:w="1803" w:type="dxa"/>
            <w:tcBorders>
              <w:top w:val="single" w:sz="4" w:space="0" w:color="auto"/>
            </w:tcBorders>
          </w:tcPr>
          <w:p w14:paraId="22317BD9" w14:textId="66112F3F" w:rsidR="00587ADC" w:rsidRDefault="00B31B64" w:rsidP="005314F5">
            <w:pPr>
              <w:jc w:val="center"/>
            </w:pPr>
            <w:r>
              <w:t>175.1</w:t>
            </w:r>
          </w:p>
        </w:tc>
        <w:tc>
          <w:tcPr>
            <w:tcW w:w="1803" w:type="dxa"/>
            <w:tcBorders>
              <w:top w:val="single" w:sz="4" w:space="0" w:color="auto"/>
            </w:tcBorders>
          </w:tcPr>
          <w:p w14:paraId="5F68F9D0" w14:textId="41A23079" w:rsidR="00587ADC" w:rsidRDefault="00B31B64" w:rsidP="005314F5">
            <w:pPr>
              <w:jc w:val="center"/>
            </w:pPr>
            <w:r>
              <w:t>70.0</w:t>
            </w:r>
          </w:p>
        </w:tc>
        <w:tc>
          <w:tcPr>
            <w:tcW w:w="1803" w:type="dxa"/>
            <w:tcBorders>
              <w:top w:val="single" w:sz="4" w:space="0" w:color="auto"/>
            </w:tcBorders>
          </w:tcPr>
          <w:p w14:paraId="5944936D" w14:textId="71139219" w:rsidR="00587ADC" w:rsidRDefault="000637C4" w:rsidP="005314F5">
            <w:pPr>
              <w:jc w:val="center"/>
            </w:pPr>
            <w:r>
              <w:t>20</w:t>
            </w:r>
          </w:p>
        </w:tc>
        <w:tc>
          <w:tcPr>
            <w:tcW w:w="1804" w:type="dxa"/>
            <w:tcBorders>
              <w:top w:val="single" w:sz="4" w:space="0" w:color="auto"/>
            </w:tcBorders>
          </w:tcPr>
          <w:p w14:paraId="36D8A7E5" w14:textId="336BF8F1" w:rsidR="00587ADC" w:rsidRDefault="000637C4" w:rsidP="005314F5">
            <w:pPr>
              <w:jc w:val="center"/>
            </w:pPr>
            <w:r>
              <w:t>100</w:t>
            </w:r>
          </w:p>
        </w:tc>
      </w:tr>
      <w:tr w:rsidR="00587ADC" w14:paraId="6AC85B96" w14:textId="77777777" w:rsidTr="005314F5">
        <w:tc>
          <w:tcPr>
            <w:tcW w:w="1803" w:type="dxa"/>
          </w:tcPr>
          <w:p w14:paraId="296577AE" w14:textId="2B92D540" w:rsidR="00587ADC" w:rsidRDefault="003E41EA" w:rsidP="005314F5">
            <w:pPr>
              <w:jc w:val="center"/>
            </w:pPr>
            <w:r>
              <w:t>Arginine-d7</w:t>
            </w:r>
          </w:p>
        </w:tc>
        <w:tc>
          <w:tcPr>
            <w:tcW w:w="1803" w:type="dxa"/>
          </w:tcPr>
          <w:p w14:paraId="34AD07D5" w14:textId="387DAD88" w:rsidR="00587ADC" w:rsidRDefault="003E41EA" w:rsidP="005314F5">
            <w:pPr>
              <w:jc w:val="center"/>
            </w:pPr>
            <w:r>
              <w:t>182.2</w:t>
            </w:r>
          </w:p>
        </w:tc>
        <w:tc>
          <w:tcPr>
            <w:tcW w:w="1803" w:type="dxa"/>
          </w:tcPr>
          <w:p w14:paraId="6D124401" w14:textId="3C5D06EF" w:rsidR="00587ADC" w:rsidRDefault="003E41EA" w:rsidP="005314F5">
            <w:pPr>
              <w:jc w:val="center"/>
            </w:pPr>
            <w:r>
              <w:t>77.1</w:t>
            </w:r>
          </w:p>
        </w:tc>
        <w:tc>
          <w:tcPr>
            <w:tcW w:w="1803" w:type="dxa"/>
          </w:tcPr>
          <w:p w14:paraId="70C7BB18" w14:textId="3E79E69B" w:rsidR="00587ADC" w:rsidRDefault="003E41EA" w:rsidP="005314F5">
            <w:pPr>
              <w:jc w:val="center"/>
            </w:pPr>
            <w:r>
              <w:t>20</w:t>
            </w:r>
          </w:p>
        </w:tc>
        <w:tc>
          <w:tcPr>
            <w:tcW w:w="1804" w:type="dxa"/>
          </w:tcPr>
          <w:p w14:paraId="396174BD" w14:textId="3D9BC31F" w:rsidR="00587ADC" w:rsidRDefault="003E41EA" w:rsidP="005314F5">
            <w:pPr>
              <w:jc w:val="center"/>
            </w:pPr>
            <w:r>
              <w:t>100</w:t>
            </w:r>
          </w:p>
        </w:tc>
      </w:tr>
      <w:tr w:rsidR="003E41EA" w14:paraId="3ED06920" w14:textId="77777777" w:rsidTr="005314F5">
        <w:tc>
          <w:tcPr>
            <w:tcW w:w="1803" w:type="dxa"/>
          </w:tcPr>
          <w:p w14:paraId="628BAA57" w14:textId="18917A81" w:rsidR="003E41EA" w:rsidRDefault="003E41EA" w:rsidP="005314F5">
            <w:pPr>
              <w:jc w:val="center"/>
            </w:pPr>
            <w:r>
              <w:t>Citrulline</w:t>
            </w:r>
          </w:p>
        </w:tc>
        <w:tc>
          <w:tcPr>
            <w:tcW w:w="1803" w:type="dxa"/>
          </w:tcPr>
          <w:p w14:paraId="2312C66A" w14:textId="20155698" w:rsidR="003E41EA" w:rsidRDefault="003E41EA" w:rsidP="005314F5">
            <w:pPr>
              <w:jc w:val="center"/>
            </w:pPr>
            <w:r>
              <w:t>176.1</w:t>
            </w:r>
          </w:p>
        </w:tc>
        <w:tc>
          <w:tcPr>
            <w:tcW w:w="1803" w:type="dxa"/>
          </w:tcPr>
          <w:p w14:paraId="22529F2F" w14:textId="6DA7D3BE" w:rsidR="003E41EA" w:rsidRDefault="003E41EA" w:rsidP="005314F5">
            <w:pPr>
              <w:jc w:val="center"/>
            </w:pPr>
            <w:r>
              <w:t>70.0</w:t>
            </w:r>
          </w:p>
        </w:tc>
        <w:tc>
          <w:tcPr>
            <w:tcW w:w="1803" w:type="dxa"/>
          </w:tcPr>
          <w:p w14:paraId="56B19D46" w14:textId="5A7307A6" w:rsidR="003E41EA" w:rsidRDefault="003E41EA" w:rsidP="005314F5">
            <w:pPr>
              <w:jc w:val="center"/>
            </w:pPr>
            <w:r>
              <w:t>18</w:t>
            </w:r>
          </w:p>
        </w:tc>
        <w:tc>
          <w:tcPr>
            <w:tcW w:w="1804" w:type="dxa"/>
          </w:tcPr>
          <w:p w14:paraId="76EB600A" w14:textId="09F94D3D" w:rsidR="003E41EA" w:rsidRDefault="003E41EA" w:rsidP="005314F5">
            <w:pPr>
              <w:jc w:val="center"/>
            </w:pPr>
            <w:r>
              <w:t>100</w:t>
            </w:r>
          </w:p>
        </w:tc>
      </w:tr>
      <w:tr w:rsidR="003E41EA" w14:paraId="5B011050" w14:textId="77777777" w:rsidTr="005314F5">
        <w:tc>
          <w:tcPr>
            <w:tcW w:w="1803" w:type="dxa"/>
            <w:tcBorders>
              <w:bottom w:val="single" w:sz="4" w:space="0" w:color="auto"/>
            </w:tcBorders>
          </w:tcPr>
          <w:p w14:paraId="0FE33168" w14:textId="396A130C" w:rsidR="003E41EA" w:rsidRDefault="003E41EA" w:rsidP="005314F5">
            <w:pPr>
              <w:jc w:val="center"/>
            </w:pPr>
            <w:r>
              <w:t>Citrulline-d6</w:t>
            </w:r>
          </w:p>
        </w:tc>
        <w:tc>
          <w:tcPr>
            <w:tcW w:w="1803" w:type="dxa"/>
            <w:tcBorders>
              <w:bottom w:val="single" w:sz="4" w:space="0" w:color="auto"/>
            </w:tcBorders>
          </w:tcPr>
          <w:p w14:paraId="19EB0EB1" w14:textId="36F62EB7" w:rsidR="003E41EA" w:rsidRDefault="005314F5" w:rsidP="005314F5">
            <w:pPr>
              <w:jc w:val="center"/>
            </w:pPr>
            <w:r>
              <w:t>182.2</w:t>
            </w:r>
          </w:p>
        </w:tc>
        <w:tc>
          <w:tcPr>
            <w:tcW w:w="1803" w:type="dxa"/>
            <w:tcBorders>
              <w:bottom w:val="single" w:sz="4" w:space="0" w:color="auto"/>
            </w:tcBorders>
          </w:tcPr>
          <w:p w14:paraId="699F60B5" w14:textId="0D4464F7" w:rsidR="003E41EA" w:rsidRDefault="005314F5" w:rsidP="005314F5">
            <w:pPr>
              <w:jc w:val="center"/>
            </w:pPr>
            <w:r>
              <w:t>76.1</w:t>
            </w:r>
          </w:p>
        </w:tc>
        <w:tc>
          <w:tcPr>
            <w:tcW w:w="1803" w:type="dxa"/>
            <w:tcBorders>
              <w:bottom w:val="single" w:sz="4" w:space="0" w:color="auto"/>
            </w:tcBorders>
          </w:tcPr>
          <w:p w14:paraId="224DF9BD" w14:textId="639AED7E" w:rsidR="003E41EA" w:rsidRDefault="005314F5" w:rsidP="005314F5">
            <w:pPr>
              <w:jc w:val="center"/>
            </w:pPr>
            <w:r>
              <w:t>18</w:t>
            </w:r>
          </w:p>
        </w:tc>
        <w:tc>
          <w:tcPr>
            <w:tcW w:w="1804" w:type="dxa"/>
            <w:tcBorders>
              <w:bottom w:val="single" w:sz="4" w:space="0" w:color="auto"/>
            </w:tcBorders>
          </w:tcPr>
          <w:p w14:paraId="24729669" w14:textId="5EC6B444" w:rsidR="003E41EA" w:rsidRDefault="005314F5" w:rsidP="005314F5">
            <w:pPr>
              <w:jc w:val="center"/>
            </w:pPr>
            <w:r>
              <w:t>100</w:t>
            </w:r>
          </w:p>
        </w:tc>
      </w:tr>
    </w:tbl>
    <w:p w14:paraId="0F9E6A8F" w14:textId="002F2966" w:rsidR="001F4C92" w:rsidRDefault="002C3DF1">
      <w:r>
        <w:t>CE = collision energy</w:t>
      </w:r>
    </w:p>
    <w:p w14:paraId="27596318" w14:textId="13028D69" w:rsidR="002C3DF1" w:rsidRDefault="002C3DF1">
      <w:r>
        <w:lastRenderedPageBreak/>
        <w:t>Table S2. Mass spectrometry source parameters for measurement of arginine, citrulline, and their respectively labelled standards.</w:t>
      </w:r>
    </w:p>
    <w:p w14:paraId="17FD3926" w14:textId="77777777" w:rsidR="002C3DF1" w:rsidRDefault="002C3DF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91246" w14:paraId="03F8A13B" w14:textId="77777777" w:rsidTr="007642A5">
        <w:tc>
          <w:tcPr>
            <w:tcW w:w="4508" w:type="dxa"/>
            <w:tcBorders>
              <w:bottom w:val="single" w:sz="4" w:space="0" w:color="auto"/>
            </w:tcBorders>
          </w:tcPr>
          <w:p w14:paraId="769E6AC8" w14:textId="6681B4D2" w:rsidR="00691246" w:rsidRPr="00691246" w:rsidRDefault="00691246" w:rsidP="007642A5">
            <w:pPr>
              <w:jc w:val="center"/>
              <w:rPr>
                <w:b/>
                <w:bCs/>
              </w:rPr>
            </w:pPr>
            <w:r w:rsidRPr="00691246">
              <w:rPr>
                <w:b/>
                <w:bCs/>
              </w:rPr>
              <w:t>Condition</w:t>
            </w:r>
          </w:p>
        </w:tc>
        <w:tc>
          <w:tcPr>
            <w:tcW w:w="4508" w:type="dxa"/>
            <w:tcBorders>
              <w:bottom w:val="single" w:sz="4" w:space="0" w:color="auto"/>
            </w:tcBorders>
          </w:tcPr>
          <w:p w14:paraId="3673650E" w14:textId="5DAF6FE4" w:rsidR="00691246" w:rsidRPr="00691246" w:rsidRDefault="00691246" w:rsidP="007642A5">
            <w:pPr>
              <w:jc w:val="center"/>
              <w:rPr>
                <w:b/>
                <w:bCs/>
              </w:rPr>
            </w:pPr>
            <w:r w:rsidRPr="00691246">
              <w:rPr>
                <w:b/>
                <w:bCs/>
              </w:rPr>
              <w:t>Sett</w:t>
            </w:r>
            <w:r>
              <w:rPr>
                <w:b/>
                <w:bCs/>
              </w:rPr>
              <w:t>ing</w:t>
            </w:r>
            <w:r w:rsidRPr="00691246">
              <w:rPr>
                <w:b/>
                <w:bCs/>
              </w:rPr>
              <w:t xml:space="preserve"> (unit)</w:t>
            </w:r>
          </w:p>
        </w:tc>
      </w:tr>
      <w:tr w:rsidR="00691246" w14:paraId="6BB55001" w14:textId="77777777" w:rsidTr="007642A5">
        <w:tc>
          <w:tcPr>
            <w:tcW w:w="4508" w:type="dxa"/>
            <w:tcBorders>
              <w:top w:val="single" w:sz="4" w:space="0" w:color="auto"/>
            </w:tcBorders>
          </w:tcPr>
          <w:p w14:paraId="744E116C" w14:textId="0428A26B" w:rsidR="00691246" w:rsidRDefault="005761D0" w:rsidP="007642A5">
            <w:pPr>
              <w:jc w:val="center"/>
            </w:pPr>
            <w:r>
              <w:t>Capillary Voltage</w:t>
            </w:r>
          </w:p>
        </w:tc>
        <w:tc>
          <w:tcPr>
            <w:tcW w:w="4508" w:type="dxa"/>
            <w:tcBorders>
              <w:top w:val="single" w:sz="4" w:space="0" w:color="auto"/>
            </w:tcBorders>
          </w:tcPr>
          <w:p w14:paraId="71FF56E4" w14:textId="293299F4" w:rsidR="00691246" w:rsidRDefault="005761D0" w:rsidP="007642A5">
            <w:pPr>
              <w:jc w:val="center"/>
            </w:pPr>
            <w:r>
              <w:t>0.5 (kV)</w:t>
            </w:r>
          </w:p>
        </w:tc>
      </w:tr>
      <w:tr w:rsidR="00691246" w14:paraId="3D172ECB" w14:textId="77777777" w:rsidTr="007642A5">
        <w:tc>
          <w:tcPr>
            <w:tcW w:w="4508" w:type="dxa"/>
          </w:tcPr>
          <w:p w14:paraId="25CB14DA" w14:textId="4A91026D" w:rsidR="00691246" w:rsidRDefault="005761D0" w:rsidP="007642A5">
            <w:pPr>
              <w:jc w:val="center"/>
            </w:pPr>
            <w:r>
              <w:t>Cone Voltage</w:t>
            </w:r>
          </w:p>
        </w:tc>
        <w:tc>
          <w:tcPr>
            <w:tcW w:w="4508" w:type="dxa"/>
          </w:tcPr>
          <w:p w14:paraId="7AEBA49E" w14:textId="45307106" w:rsidR="00691246" w:rsidRDefault="005761D0" w:rsidP="007642A5">
            <w:pPr>
              <w:jc w:val="center"/>
            </w:pPr>
            <w:r>
              <w:t>35 (V)</w:t>
            </w:r>
          </w:p>
        </w:tc>
      </w:tr>
      <w:tr w:rsidR="00691246" w14:paraId="40FD30B7" w14:textId="77777777" w:rsidTr="007642A5">
        <w:tc>
          <w:tcPr>
            <w:tcW w:w="4508" w:type="dxa"/>
          </w:tcPr>
          <w:p w14:paraId="3D6B0314" w14:textId="340E62E2" w:rsidR="00691246" w:rsidRDefault="005761D0" w:rsidP="007642A5">
            <w:pPr>
              <w:jc w:val="center"/>
            </w:pPr>
            <w:r>
              <w:t>Source Temperature</w:t>
            </w:r>
          </w:p>
        </w:tc>
        <w:tc>
          <w:tcPr>
            <w:tcW w:w="4508" w:type="dxa"/>
          </w:tcPr>
          <w:p w14:paraId="4D61EE3B" w14:textId="0E2B63E8" w:rsidR="00691246" w:rsidRDefault="005761D0" w:rsidP="007642A5">
            <w:pPr>
              <w:jc w:val="center"/>
            </w:pPr>
            <w:r>
              <w:t>130 (°C)</w:t>
            </w:r>
          </w:p>
        </w:tc>
      </w:tr>
      <w:tr w:rsidR="00691246" w14:paraId="280F2985" w14:textId="77777777" w:rsidTr="007642A5">
        <w:tc>
          <w:tcPr>
            <w:tcW w:w="4508" w:type="dxa"/>
          </w:tcPr>
          <w:p w14:paraId="4C42A9CE" w14:textId="6561A67D" w:rsidR="00691246" w:rsidRDefault="005761D0" w:rsidP="007642A5">
            <w:pPr>
              <w:jc w:val="center"/>
            </w:pPr>
            <w:r>
              <w:t>Desolvation Temperature</w:t>
            </w:r>
          </w:p>
        </w:tc>
        <w:tc>
          <w:tcPr>
            <w:tcW w:w="4508" w:type="dxa"/>
          </w:tcPr>
          <w:p w14:paraId="34792F0F" w14:textId="2366CFFD" w:rsidR="00691246" w:rsidRDefault="00624220" w:rsidP="007642A5">
            <w:pPr>
              <w:jc w:val="center"/>
            </w:pPr>
            <w:r>
              <w:t>400 (°C)</w:t>
            </w:r>
          </w:p>
        </w:tc>
      </w:tr>
      <w:tr w:rsidR="00691246" w14:paraId="7809518A" w14:textId="77777777" w:rsidTr="007642A5">
        <w:tc>
          <w:tcPr>
            <w:tcW w:w="4508" w:type="dxa"/>
          </w:tcPr>
          <w:p w14:paraId="68B88956" w14:textId="1B23AEC9" w:rsidR="00691246" w:rsidRDefault="00624220" w:rsidP="007642A5">
            <w:pPr>
              <w:jc w:val="center"/>
            </w:pPr>
            <w:r>
              <w:t>Desolvation Gas Flow</w:t>
            </w:r>
          </w:p>
        </w:tc>
        <w:tc>
          <w:tcPr>
            <w:tcW w:w="4508" w:type="dxa"/>
          </w:tcPr>
          <w:p w14:paraId="0A79A706" w14:textId="29E11D66" w:rsidR="00691246" w:rsidRDefault="00624220" w:rsidP="007642A5">
            <w:pPr>
              <w:jc w:val="center"/>
            </w:pPr>
            <w:r>
              <w:t>650 L/hr</w:t>
            </w:r>
          </w:p>
        </w:tc>
      </w:tr>
      <w:tr w:rsidR="00691246" w14:paraId="19C27580" w14:textId="77777777" w:rsidTr="007642A5">
        <w:tc>
          <w:tcPr>
            <w:tcW w:w="4508" w:type="dxa"/>
            <w:tcBorders>
              <w:bottom w:val="single" w:sz="4" w:space="0" w:color="auto"/>
            </w:tcBorders>
          </w:tcPr>
          <w:p w14:paraId="188A1C76" w14:textId="120428EB" w:rsidR="00691246" w:rsidRDefault="00624220" w:rsidP="007642A5">
            <w:pPr>
              <w:jc w:val="center"/>
            </w:pPr>
            <w:r>
              <w:t>Cone Gas Flow</w:t>
            </w:r>
          </w:p>
        </w:tc>
        <w:tc>
          <w:tcPr>
            <w:tcW w:w="4508" w:type="dxa"/>
            <w:tcBorders>
              <w:bottom w:val="single" w:sz="4" w:space="0" w:color="auto"/>
            </w:tcBorders>
          </w:tcPr>
          <w:p w14:paraId="0572A221" w14:textId="3CC9B59E" w:rsidR="00691246" w:rsidRDefault="00624220" w:rsidP="007642A5">
            <w:pPr>
              <w:jc w:val="center"/>
            </w:pPr>
            <w:r>
              <w:t>150 L/hr</w:t>
            </w:r>
          </w:p>
        </w:tc>
      </w:tr>
    </w:tbl>
    <w:p w14:paraId="7BD90BC1" w14:textId="3B9A02F8" w:rsidR="002C3DF1" w:rsidRDefault="002C3DF1"/>
    <w:sectPr w:rsidR="002C3D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F08"/>
    <w:rsid w:val="00023CE9"/>
    <w:rsid w:val="000637C4"/>
    <w:rsid w:val="00076F08"/>
    <w:rsid w:val="000871EF"/>
    <w:rsid w:val="000E49E0"/>
    <w:rsid w:val="001F4C92"/>
    <w:rsid w:val="002B1730"/>
    <w:rsid w:val="002C3DF1"/>
    <w:rsid w:val="003044D1"/>
    <w:rsid w:val="00395B77"/>
    <w:rsid w:val="003E41EA"/>
    <w:rsid w:val="003F163F"/>
    <w:rsid w:val="005314F5"/>
    <w:rsid w:val="005761D0"/>
    <w:rsid w:val="00587ADC"/>
    <w:rsid w:val="00624220"/>
    <w:rsid w:val="00625B75"/>
    <w:rsid w:val="00691246"/>
    <w:rsid w:val="007642A5"/>
    <w:rsid w:val="00861CE4"/>
    <w:rsid w:val="00B31B64"/>
    <w:rsid w:val="00BF6A56"/>
    <w:rsid w:val="00CD259F"/>
    <w:rsid w:val="00D42790"/>
    <w:rsid w:val="00F80F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80317"/>
  <w15:chartTrackingRefBased/>
  <w15:docId w15:val="{A50D8F72-F63A-48B9-BAE9-8F9C97F90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08"/>
    <w:pPr>
      <w:spacing w:after="0" w:line="240" w:lineRule="auto"/>
    </w:pPr>
    <w:rPr>
      <w:rFonts w:ascii="Aptos" w:hAnsi="Aptos" w:cs="Aptos"/>
      <w:kern w:val="0"/>
    </w:rPr>
  </w:style>
  <w:style w:type="paragraph" w:styleId="Heading1">
    <w:name w:val="heading 1"/>
    <w:basedOn w:val="Normal"/>
    <w:next w:val="Normal"/>
    <w:link w:val="Heading1Char"/>
    <w:uiPriority w:val="9"/>
    <w:qFormat/>
    <w:rsid w:val="00076F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6F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6F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6F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6F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6F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F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F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F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F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6F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6F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6F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6F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6F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F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F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F08"/>
    <w:rPr>
      <w:rFonts w:eastAsiaTheme="majorEastAsia" w:cstheme="majorBidi"/>
      <w:color w:val="272727" w:themeColor="text1" w:themeTint="D8"/>
    </w:rPr>
  </w:style>
  <w:style w:type="paragraph" w:styleId="Title">
    <w:name w:val="Title"/>
    <w:basedOn w:val="Normal"/>
    <w:next w:val="Normal"/>
    <w:link w:val="TitleChar"/>
    <w:uiPriority w:val="10"/>
    <w:qFormat/>
    <w:rsid w:val="00076F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F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F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F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F08"/>
    <w:pPr>
      <w:spacing w:before="160"/>
      <w:jc w:val="center"/>
    </w:pPr>
    <w:rPr>
      <w:i/>
      <w:iCs/>
      <w:color w:val="404040" w:themeColor="text1" w:themeTint="BF"/>
    </w:rPr>
  </w:style>
  <w:style w:type="character" w:customStyle="1" w:styleId="QuoteChar">
    <w:name w:val="Quote Char"/>
    <w:basedOn w:val="DefaultParagraphFont"/>
    <w:link w:val="Quote"/>
    <w:uiPriority w:val="29"/>
    <w:rsid w:val="00076F08"/>
    <w:rPr>
      <w:i/>
      <w:iCs/>
      <w:color w:val="404040" w:themeColor="text1" w:themeTint="BF"/>
    </w:rPr>
  </w:style>
  <w:style w:type="paragraph" w:styleId="ListParagraph">
    <w:name w:val="List Paragraph"/>
    <w:basedOn w:val="Normal"/>
    <w:uiPriority w:val="34"/>
    <w:qFormat/>
    <w:rsid w:val="00076F08"/>
    <w:pPr>
      <w:ind w:left="720"/>
      <w:contextualSpacing/>
    </w:pPr>
  </w:style>
  <w:style w:type="character" w:styleId="IntenseEmphasis">
    <w:name w:val="Intense Emphasis"/>
    <w:basedOn w:val="DefaultParagraphFont"/>
    <w:uiPriority w:val="21"/>
    <w:qFormat/>
    <w:rsid w:val="00076F08"/>
    <w:rPr>
      <w:i/>
      <w:iCs/>
      <w:color w:val="0F4761" w:themeColor="accent1" w:themeShade="BF"/>
    </w:rPr>
  </w:style>
  <w:style w:type="paragraph" w:styleId="IntenseQuote">
    <w:name w:val="Intense Quote"/>
    <w:basedOn w:val="Normal"/>
    <w:next w:val="Normal"/>
    <w:link w:val="IntenseQuoteChar"/>
    <w:uiPriority w:val="30"/>
    <w:qFormat/>
    <w:rsid w:val="00076F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6F08"/>
    <w:rPr>
      <w:i/>
      <w:iCs/>
      <w:color w:val="0F4761" w:themeColor="accent1" w:themeShade="BF"/>
    </w:rPr>
  </w:style>
  <w:style w:type="character" w:styleId="IntenseReference">
    <w:name w:val="Intense Reference"/>
    <w:basedOn w:val="DefaultParagraphFont"/>
    <w:uiPriority w:val="32"/>
    <w:qFormat/>
    <w:rsid w:val="00076F08"/>
    <w:rPr>
      <w:b/>
      <w:bCs/>
      <w:smallCaps/>
      <w:color w:val="0F4761" w:themeColor="accent1" w:themeShade="BF"/>
      <w:spacing w:val="5"/>
    </w:rPr>
  </w:style>
  <w:style w:type="table" w:styleId="TableGrid">
    <w:name w:val="Table Grid"/>
    <w:basedOn w:val="TableNormal"/>
    <w:uiPriority w:val="39"/>
    <w:rsid w:val="001F4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600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3260</Characters>
  <Application>Microsoft Office Word</Application>
  <DocSecurity>4</DocSecurity>
  <Lines>27</Lines>
  <Paragraphs>7</Paragraphs>
  <ScaleCrop>false</ScaleCrop>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Cable</dc:creator>
  <cp:keywords/>
  <dc:description/>
  <cp:lastModifiedBy>Tom Cable</cp:lastModifiedBy>
  <cp:revision>2</cp:revision>
  <dcterms:created xsi:type="dcterms:W3CDTF">2024-10-15T11:20:00Z</dcterms:created>
  <dcterms:modified xsi:type="dcterms:W3CDTF">2024-10-15T11:20:00Z</dcterms:modified>
</cp:coreProperties>
</file>