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376F8" w:rsidRDefault="00000000">
      <w:pPr>
        <w:pStyle w:val="berschrift1"/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572275DC">
                <wp:simplePos x="0" y="0"/>
                <wp:positionH relativeFrom="column">
                  <wp:posOffset>-371081</wp:posOffset>
                </wp:positionH>
                <wp:positionV relativeFrom="paragraph">
                  <wp:posOffset>321310</wp:posOffset>
                </wp:positionV>
                <wp:extent cx="6211613" cy="462960"/>
                <wp:effectExtent l="0" t="0" r="0" b="0"/>
                <wp:wrapNone/>
                <wp:docPr id="1" name="Textfeld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1613" cy="462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376F8" w:rsidRPr="000C45BD" w:rsidRDefault="000C45BD">
                            <w:pPr>
                              <w:pStyle w:val="berschrift7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C45BD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Appendix</w:t>
                            </w:r>
                            <w:r w:rsidR="008931D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45AF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5</w:t>
                            </w:r>
                            <w:r w:rsidRPr="000C45BD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– Additional information about methodological characteristics for reliability outcomes</w:t>
                            </w:r>
                          </w:p>
                        </w:txbxContent>
                      </wps:txbx>
                      <wps:bodyPr wrap="square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2275DC" id="Textfeld 34" o:spid="_x0000_s1026" style="position:absolute;margin-left:-29.2pt;margin-top:25.3pt;width:489.1pt;height:36.45pt;z-index:4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" fillcolor="white [3201]" stroked="f" strokeweight=".5pt">
                <v:textbox>
                  <w:txbxContent>
                    <w:p w:rsidR="001376F8" w:rsidRPr="000C45BD" w:rsidRDefault="000C45BD">
                      <w:pPr>
                        <w:pStyle w:val="berschrift7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0C45BD">
                        <w:rPr>
                          <w:rFonts w:ascii="Times New Roman" w:hAnsi="Times New Roman" w:cs="Times New Roman" w:hint="cs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Appendix</w:t>
                      </w:r>
                      <w:r w:rsidR="008931DC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D45AF4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5</w:t>
                      </w:r>
                      <w:r w:rsidRPr="000C45BD">
                        <w:rPr>
                          <w:rFonts w:ascii="Times New Roman" w:hAnsi="Times New Roman" w:cs="Times New Roman" w:hint="cs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– Additional information about methodological characteristics for reliability outcomes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Toc205553375"/>
      <w:bookmarkEnd w:id="0"/>
    </w:p>
    <w:p w:rsidR="001376F8" w:rsidRDefault="001376F8"/>
    <w:tbl>
      <w:tblPr>
        <w:tblStyle w:val="Gitternetztabelle1hell"/>
        <w:tblW w:w="1048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8"/>
        <w:gridCol w:w="851"/>
        <w:gridCol w:w="992"/>
        <w:gridCol w:w="992"/>
        <w:gridCol w:w="992"/>
        <w:gridCol w:w="1831"/>
        <w:gridCol w:w="992"/>
        <w:gridCol w:w="1341"/>
        <w:gridCol w:w="1071"/>
      </w:tblGrid>
      <w:tr w:rsidR="001376F8" w:rsidRPr="000C45BD" w:rsidTr="000C45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1376F8" w:rsidRPr="000C45BD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Study</w:t>
            </w:r>
          </w:p>
          <w:p w:rsidR="001376F8" w:rsidRPr="000C45BD" w:rsidRDefault="001376F8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1376F8" w:rsidRPr="000C45BD" w:rsidRDefault="000000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3-min </w:t>
            </w: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 xml:space="preserve">all-outs 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age </w:t>
            </w: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(in years)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V̇O</w:t>
            </w: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Famila-rization</w:t>
            </w:r>
          </w:p>
        </w:tc>
        <w:tc>
          <w:tcPr>
            <w:tcW w:w="1831" w:type="dxa"/>
          </w:tcPr>
          <w:p w:rsidR="001376F8" w:rsidRPr="000C45BD" w:rsidRDefault="000000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warm-up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Before test start</w:t>
            </w:r>
          </w:p>
        </w:tc>
        <w:tc>
          <w:tcPr>
            <w:tcW w:w="1341" w:type="dxa"/>
          </w:tcPr>
          <w:p w:rsidR="001376F8" w:rsidRPr="000C45BD" w:rsidRDefault="000000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Resistance</w:t>
            </w:r>
          </w:p>
        </w:tc>
        <w:tc>
          <w:tcPr>
            <w:tcW w:w="1071" w:type="dxa"/>
          </w:tcPr>
          <w:p w:rsidR="001376F8" w:rsidRPr="000C45BD" w:rsidRDefault="000000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Cadence</w:t>
            </w:r>
          </w:p>
        </w:tc>
      </w:tr>
      <w:tr w:rsidR="001376F8" w:rsidRPr="000C45BD" w:rsidTr="000C45BD">
        <w:trPr>
          <w:trHeight w:val="9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1376F8" w:rsidRPr="000C45BD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Karsten et al. (2013)</w:t>
            </w:r>
          </w:p>
        </w:tc>
        <w:tc>
          <w:tcPr>
            <w:tcW w:w="85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7 visits</w:t>
            </w: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3 tests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33 ± 7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31" w:type="dxa"/>
          </w:tcPr>
          <w:p w:rsidR="001376F8" w:rsidRPr="000C45BD" w:rsidRDefault="00000000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5 min at 100 W + 5 min passive rest + 3 min of unloaded cycling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3 min of unloaded cycling</w:t>
            </w:r>
          </w:p>
        </w:tc>
        <w:tc>
          <w:tcPr>
            <w:tcW w:w="134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Changing </w:t>
            </w: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(isokinetic)</w:t>
            </w:r>
          </w:p>
        </w:tc>
        <w:tc>
          <w:tcPr>
            <w:tcW w:w="107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Preferred</w:t>
            </w:r>
          </w:p>
        </w:tc>
      </w:tr>
      <w:tr w:rsidR="001376F8" w:rsidRPr="000C45BD" w:rsidTr="000C45BD">
        <w:trPr>
          <w:trHeight w:val="1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1376F8" w:rsidRPr="000C45BD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Burnley et al. (2006)</w:t>
            </w:r>
          </w:p>
        </w:tc>
        <w:tc>
          <w:tcPr>
            <w:tcW w:w="85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6 visits</w:t>
            </w: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2 tests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27 ± 7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31" w:type="dxa"/>
          </w:tcPr>
          <w:p w:rsidR="001376F8" w:rsidRPr="000C45BD" w:rsidRDefault="00000000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5 min at 100 W + 5 min passive rest + 3 min of unloaded cycling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3 min of unloaded cycling</w:t>
            </w:r>
          </w:p>
        </w:tc>
        <w:tc>
          <w:tcPr>
            <w:tcW w:w="134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50% ΔGET and V̇O2max/preferred cadence²</w:t>
            </w:r>
          </w:p>
        </w:tc>
        <w:tc>
          <w:tcPr>
            <w:tcW w:w="107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Preferred</w:t>
            </w:r>
          </w:p>
        </w:tc>
      </w:tr>
      <w:tr w:rsidR="001376F8" w:rsidRPr="000C45BD" w:rsidTr="000C45BD">
        <w:trPr>
          <w:trHeight w:val="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1376F8" w:rsidRPr="000C45BD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Clark et al. (2018)</w:t>
            </w:r>
          </w:p>
        </w:tc>
        <w:tc>
          <w:tcPr>
            <w:tcW w:w="85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5 visits </w:t>
            </w: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 xml:space="preserve">3 tests 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31 ± 6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no 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31" w:type="dxa"/>
          </w:tcPr>
          <w:p w:rsidR="001376F8" w:rsidRPr="000C45BD" w:rsidRDefault="00000000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3 min baseline at 30 W before the 2 h intensity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2 h bout with 5 s reduced to 20 W</w:t>
            </w:r>
          </w:p>
        </w:tc>
        <w:tc>
          <w:tcPr>
            <w:tcW w:w="134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50% ΔGET and V̇O2peak/preferred cadence²</w:t>
            </w:r>
          </w:p>
        </w:tc>
        <w:tc>
          <w:tcPr>
            <w:tcW w:w="107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70-90 rpm</w:t>
            </w:r>
          </w:p>
        </w:tc>
      </w:tr>
      <w:tr w:rsidR="001376F8" w:rsidRPr="000C45BD" w:rsidTr="000C45BD">
        <w:trPr>
          <w:trHeight w:val="1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1376F8" w:rsidRPr="000C45BD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De Lucas et al. (2014)</w:t>
            </w:r>
          </w:p>
        </w:tc>
        <w:tc>
          <w:tcPr>
            <w:tcW w:w="85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5 visits</w:t>
            </w: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4 tests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27.1 ± 4.5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partly</w:t>
            </w:r>
          </w:p>
        </w:tc>
        <w:tc>
          <w:tcPr>
            <w:tcW w:w="1831" w:type="dxa"/>
          </w:tcPr>
          <w:p w:rsidR="001376F8" w:rsidRPr="000C45BD" w:rsidRDefault="00000000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5 min at GET + 5 min complete rest + 3 min unloaded cycling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3 min of unloaded cycling</w:t>
            </w:r>
          </w:p>
        </w:tc>
        <w:tc>
          <w:tcPr>
            <w:tcW w:w="134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Changing </w:t>
            </w: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(isokinetic)</w:t>
            </w:r>
          </w:p>
        </w:tc>
        <w:tc>
          <w:tcPr>
            <w:tcW w:w="107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60 rpm</w:t>
            </w: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100 rpm</w:t>
            </w:r>
          </w:p>
        </w:tc>
      </w:tr>
      <w:tr w:rsidR="001376F8" w:rsidRPr="000C45BD" w:rsidTr="000C45BD">
        <w:trPr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1376F8" w:rsidRPr="000C45BD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Johnson et al. (2011)</w:t>
            </w:r>
          </w:p>
        </w:tc>
        <w:tc>
          <w:tcPr>
            <w:tcW w:w="85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3 visits</w:t>
            </w: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2 tests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22 ± 2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83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n.r.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50 Watts 30 s before</w:t>
            </w:r>
          </w:p>
        </w:tc>
        <w:tc>
          <w:tcPr>
            <w:tcW w:w="134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50% ΔGET and V̇O2peak /preferred cadence²</w:t>
            </w:r>
          </w:p>
        </w:tc>
        <w:tc>
          <w:tcPr>
            <w:tcW w:w="107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Preferred</w:t>
            </w:r>
          </w:p>
        </w:tc>
      </w:tr>
      <w:tr w:rsidR="001376F8" w:rsidRPr="000C45BD" w:rsidTr="000C45BD">
        <w:trPr>
          <w:trHeight w:val="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1376F8" w:rsidRPr="000C45BD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Maunder et al. (2022)</w:t>
            </w:r>
          </w:p>
        </w:tc>
        <w:tc>
          <w:tcPr>
            <w:tcW w:w="85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3 visits</w:t>
            </w: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 xml:space="preserve">2 tests 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39 ± 9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31" w:type="dxa"/>
          </w:tcPr>
          <w:p w:rsidR="001376F8" w:rsidRPr="000C45BD" w:rsidRDefault="00000000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10 min at 100W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n.r.</w:t>
            </w:r>
          </w:p>
        </w:tc>
        <w:tc>
          <w:tcPr>
            <w:tcW w:w="134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Changing</w:t>
            </w: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(freely geared)</w:t>
            </w:r>
          </w:p>
        </w:tc>
        <w:tc>
          <w:tcPr>
            <w:tcW w:w="107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Changing</w:t>
            </w: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(freely geared)</w:t>
            </w:r>
          </w:p>
        </w:tc>
      </w:tr>
      <w:tr w:rsidR="001376F8" w:rsidRPr="000C45BD" w:rsidTr="000C45BD">
        <w:trPr>
          <w:trHeight w:val="1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1376F8" w:rsidRPr="000C45BD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Sreedhara et al. (2023)</w:t>
            </w:r>
          </w:p>
        </w:tc>
        <w:tc>
          <w:tcPr>
            <w:tcW w:w="85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5 visits</w:t>
            </w: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4 tests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42 ± 10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31" w:type="dxa"/>
          </w:tcPr>
          <w:p w:rsidR="001376F8" w:rsidRPr="000C45BD" w:rsidRDefault="00000000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5 min at 100 W at 80 rpm + 5 minute passive rest + 3 min unloaded pedaling at 80 rpm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3 min unloaded pedaling at 80 rpm</w:t>
            </w:r>
          </w:p>
        </w:tc>
        <w:tc>
          <w:tcPr>
            <w:tcW w:w="134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n.r.</w:t>
            </w: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(shifting gears prohibited)</w:t>
            </w:r>
          </w:p>
        </w:tc>
        <w:tc>
          <w:tcPr>
            <w:tcW w:w="107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n.r.</w:t>
            </w:r>
          </w:p>
        </w:tc>
      </w:tr>
      <w:tr w:rsidR="001376F8" w:rsidRPr="000C45BD" w:rsidTr="000C45BD">
        <w:trPr>
          <w:trHeight w:val="10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1376F8" w:rsidRPr="000C45BD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Wright et al. (2017)</w:t>
            </w:r>
          </w:p>
        </w:tc>
        <w:tc>
          <w:tcPr>
            <w:tcW w:w="85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8 visits</w:t>
            </w: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4 tests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32 ± 6.6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31" w:type="dxa"/>
          </w:tcPr>
          <w:p w:rsidR="001376F8" w:rsidRPr="000C45BD" w:rsidRDefault="00000000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10 min at 100W</w:t>
            </w:r>
          </w:p>
        </w:tc>
        <w:tc>
          <w:tcPr>
            <w:tcW w:w="992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30 s of unloaded cycling</w:t>
            </w:r>
          </w:p>
        </w:tc>
        <w:tc>
          <w:tcPr>
            <w:tcW w:w="134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50% ΔGET and V̇O2peak/preferred cadence²</w:t>
            </w:r>
          </w:p>
        </w:tc>
        <w:tc>
          <w:tcPr>
            <w:tcW w:w="1071" w:type="dxa"/>
          </w:tcPr>
          <w:p w:rsidR="001376F8" w:rsidRPr="000C45BD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5BD">
              <w:rPr>
                <w:rFonts w:ascii="Times New Roman" w:hAnsi="Times New Roman" w:hint="cs"/>
                <w:color w:val="000000"/>
                <w:sz w:val="20"/>
                <w:szCs w:val="20"/>
              </w:rPr>
              <w:t>Preferred</w:t>
            </w:r>
          </w:p>
        </w:tc>
      </w:tr>
    </w:tbl>
    <w:p w:rsidR="001376F8" w:rsidRDefault="00000000">
      <w:r>
        <w:rPr>
          <w:noProof/>
        </w:rPr>
        <mc:AlternateContent>
          <mc:Choice Requires="wps">
            <w:drawing>
              <wp:anchor distT="635" distB="0" distL="635" distR="0" simplePos="0" relativeHeight="2" behindDoc="1" locked="0" layoutInCell="1" allowOverlap="1" wp14:anchorId="6E240A6C">
                <wp:simplePos x="0" y="0"/>
                <wp:positionH relativeFrom="column">
                  <wp:posOffset>-294640</wp:posOffset>
                </wp:positionH>
                <wp:positionV relativeFrom="paragraph">
                  <wp:posOffset>11430</wp:posOffset>
                </wp:positionV>
                <wp:extent cx="6179185" cy="583565"/>
                <wp:effectExtent l="635" t="635" r="0" b="0"/>
                <wp:wrapNone/>
                <wp:docPr id="2" name="Textfeld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9040" cy="583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376F8" w:rsidRPr="000C45BD" w:rsidRDefault="00000000">
                            <w:pPr>
                              <w:pStyle w:val="berschrift7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C45BD">
                              <w:rPr>
                                <w:rFonts w:ascii="Times New Roman" w:hAnsi="Times New Roman" w:cs="Times New Roman" w:hint="cs"/>
                                <w:color w:val="000000" w:themeColor="text1"/>
                                <w:sz w:val="20"/>
                                <w:szCs w:val="20"/>
                              </w:rPr>
                              <w:t>Abbreviations: GET = gas exchange t</w:t>
                            </w:r>
                            <w:r w:rsidR="000C45B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h</w:t>
                            </w:r>
                            <w:r w:rsidRPr="000C45BD">
                              <w:rPr>
                                <w:rFonts w:ascii="Times New Roman" w:hAnsi="Times New Roman" w:cs="Times New Roman" w:hint="cs"/>
                                <w:color w:val="000000" w:themeColor="text1"/>
                                <w:sz w:val="20"/>
                                <w:szCs w:val="20"/>
                              </w:rPr>
                              <w:t>reshold; n.r. = not reported; rpm = revolutions per minute; V̇O</w:t>
                            </w:r>
                            <w:r w:rsidRPr="000C45BD">
                              <w:rPr>
                                <w:rFonts w:ascii="Times New Roman" w:hAnsi="Times New Roman" w:cs="Times New Roman" w:hint="cs"/>
                                <w:color w:val="000000" w:themeColor="text1"/>
                                <w:sz w:val="20"/>
                                <w:szCs w:val="20"/>
                                <w:vertAlign w:val="subscript"/>
                              </w:rPr>
                              <w:t>2peak</w:t>
                            </w:r>
                            <w:r w:rsidRPr="000C45BD">
                              <w:rPr>
                                <w:rFonts w:ascii="Times New Roman" w:hAnsi="Times New Roman" w:cs="Times New Roman" w:hint="c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= peak oxygen uptake; V̇O</w:t>
                            </w:r>
                            <w:r w:rsidRPr="000C45BD">
                              <w:rPr>
                                <w:rFonts w:ascii="Times New Roman" w:hAnsi="Times New Roman" w:cs="Times New Roman" w:hint="cs"/>
                                <w:color w:val="000000" w:themeColor="text1"/>
                                <w:sz w:val="20"/>
                                <w:szCs w:val="20"/>
                                <w:vertAlign w:val="subscript"/>
                              </w:rPr>
                              <w:t>2max</w:t>
                            </w:r>
                            <w:r w:rsidRPr="000C45BD">
                              <w:rPr>
                                <w:rFonts w:ascii="Times New Roman" w:hAnsi="Times New Roman" w:cs="Times New Roman" w:hint="c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= </w:t>
                            </w:r>
                            <w:r w:rsidR="000C45B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m</w:t>
                            </w:r>
                            <w:r w:rsidRPr="000C45BD">
                              <w:rPr>
                                <w:rFonts w:ascii="Times New Roman" w:hAnsi="Times New Roman" w:cs="Times New Roman" w:hint="cs"/>
                                <w:color w:val="000000" w:themeColor="text1"/>
                                <w:sz w:val="20"/>
                                <w:szCs w:val="20"/>
                              </w:rPr>
                              <w:t>aximal oxygen uptake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240A6C" id="Textfeld 37" o:spid="_x0000_s1027" style="position:absolute;left:0;text-align:left;margin-left:-23.2pt;margin-top:.9pt;width:486.55pt;height:45.95pt;z-index:-503316478;visibility:visible;mso-wrap-style:square;mso-wrap-distance-left:.05pt;mso-wrap-distance-top:.05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" fillcolor="white [3201]" stroked="f" strokeweight=".5pt">
                <v:textbox>
                  <w:txbxContent>
                    <w:p w:rsidR="001376F8" w:rsidRPr="000C45BD" w:rsidRDefault="00000000">
                      <w:pPr>
                        <w:pStyle w:val="berschrift7"/>
                        <w:rPr>
                          <w:rFonts w:ascii="Times New Roman" w:hAnsi="Times New Roman" w:cs="Times New Roman" w:hint="cs"/>
                          <w:sz w:val="20"/>
                          <w:szCs w:val="20"/>
                        </w:rPr>
                      </w:pPr>
                      <w:r w:rsidRPr="000C45BD">
                        <w:rPr>
                          <w:rFonts w:ascii="Times New Roman" w:hAnsi="Times New Roman" w:cs="Times New Roman" w:hint="cs"/>
                          <w:color w:val="000000" w:themeColor="text1"/>
                          <w:sz w:val="20"/>
                          <w:szCs w:val="20"/>
                        </w:rPr>
                        <w:t>Abbreviations: GET = gas exchange t</w:t>
                      </w:r>
                      <w:r w:rsidR="000C45BD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h</w:t>
                      </w:r>
                      <w:r w:rsidRPr="000C45BD">
                        <w:rPr>
                          <w:rFonts w:ascii="Times New Roman" w:hAnsi="Times New Roman" w:cs="Times New Roman" w:hint="cs"/>
                          <w:color w:val="000000" w:themeColor="text1"/>
                          <w:sz w:val="20"/>
                          <w:szCs w:val="20"/>
                        </w:rPr>
                        <w:t xml:space="preserve">reshold; </w:t>
                      </w:r>
                      <w:proofErr w:type="spellStart"/>
                      <w:r w:rsidRPr="000C45BD">
                        <w:rPr>
                          <w:rFonts w:ascii="Times New Roman" w:hAnsi="Times New Roman" w:cs="Times New Roman" w:hint="cs"/>
                          <w:color w:val="000000" w:themeColor="text1"/>
                          <w:sz w:val="20"/>
                          <w:szCs w:val="20"/>
                        </w:rPr>
                        <w:t>n.r.</w:t>
                      </w:r>
                      <w:proofErr w:type="spellEnd"/>
                      <w:r w:rsidRPr="000C45BD">
                        <w:rPr>
                          <w:rFonts w:ascii="Times New Roman" w:hAnsi="Times New Roman" w:cs="Times New Roman" w:hint="cs"/>
                          <w:color w:val="000000" w:themeColor="text1"/>
                          <w:sz w:val="20"/>
                          <w:szCs w:val="20"/>
                        </w:rPr>
                        <w:t xml:space="preserve"> = not reported; rpm = revolutions per minute; V̇O</w:t>
                      </w:r>
                      <w:r w:rsidRPr="000C45BD">
                        <w:rPr>
                          <w:rFonts w:ascii="Times New Roman" w:hAnsi="Times New Roman" w:cs="Times New Roman" w:hint="cs"/>
                          <w:color w:val="000000" w:themeColor="text1"/>
                          <w:sz w:val="20"/>
                          <w:szCs w:val="20"/>
                          <w:vertAlign w:val="subscript"/>
                        </w:rPr>
                        <w:t>2peak</w:t>
                      </w:r>
                      <w:r w:rsidRPr="000C45BD">
                        <w:rPr>
                          <w:rFonts w:ascii="Times New Roman" w:hAnsi="Times New Roman" w:cs="Times New Roman" w:hint="cs"/>
                          <w:color w:val="000000" w:themeColor="text1"/>
                          <w:sz w:val="20"/>
                          <w:szCs w:val="20"/>
                        </w:rPr>
                        <w:t xml:space="preserve"> = peak oxygen uptake; V̇O</w:t>
                      </w:r>
                      <w:r w:rsidRPr="000C45BD">
                        <w:rPr>
                          <w:rFonts w:ascii="Times New Roman" w:hAnsi="Times New Roman" w:cs="Times New Roman" w:hint="cs"/>
                          <w:color w:val="000000" w:themeColor="text1"/>
                          <w:sz w:val="20"/>
                          <w:szCs w:val="20"/>
                          <w:vertAlign w:val="subscript"/>
                        </w:rPr>
                        <w:t>2max</w:t>
                      </w:r>
                      <w:r w:rsidRPr="000C45BD">
                        <w:rPr>
                          <w:rFonts w:ascii="Times New Roman" w:hAnsi="Times New Roman" w:cs="Times New Roman" w:hint="cs"/>
                          <w:color w:val="000000" w:themeColor="text1"/>
                          <w:sz w:val="20"/>
                          <w:szCs w:val="20"/>
                        </w:rPr>
                        <w:t xml:space="preserve"> = </w:t>
                      </w:r>
                      <w:r w:rsidR="000C45BD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m</w:t>
                      </w:r>
                      <w:r w:rsidRPr="000C45BD">
                        <w:rPr>
                          <w:rFonts w:ascii="Times New Roman" w:hAnsi="Times New Roman" w:cs="Times New Roman" w:hint="cs"/>
                          <w:color w:val="000000" w:themeColor="text1"/>
                          <w:sz w:val="20"/>
                          <w:szCs w:val="20"/>
                        </w:rPr>
                        <w:t>aximal oxygen uptake</w:t>
                      </w:r>
                    </w:p>
                  </w:txbxContent>
                </v:textbox>
              </v:rect>
            </w:pict>
          </mc:Fallback>
        </mc:AlternateContent>
      </w:r>
    </w:p>
    <w:p w:rsidR="001376F8" w:rsidRDefault="001376F8"/>
    <w:sectPr w:rsidR="001376F8">
      <w:pgSz w:w="11906" w:h="16838"/>
      <w:pgMar w:top="1417" w:right="1417" w:bottom="1134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rlito">
    <w:altName w:val="Calibri"/>
    <w:panose1 w:val="020B0604020202020204"/>
    <w:charset w:val="01"/>
    <w:family w:val="swiss"/>
    <w:pitch w:val="variable"/>
  </w:font>
  <w:font w:name="Noto Sans SC Regular">
    <w:panose1 w:val="020B0604020202020204"/>
    <w:charset w:val="00"/>
    <w:family w:val="roman"/>
    <w:pitch w:val="default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6F8"/>
    <w:rsid w:val="000C45BD"/>
    <w:rsid w:val="001376F8"/>
    <w:rsid w:val="00463898"/>
    <w:rsid w:val="008931DC"/>
    <w:rsid w:val="00D4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151870"/>
  <w15:docId w15:val="{3857977B-6043-784C-92C7-CF5125838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35BAC"/>
    <w:pPr>
      <w:spacing w:line="360" w:lineRule="auto"/>
      <w:jc w:val="both"/>
    </w:pPr>
    <w:rPr>
      <w:rFonts w:ascii="Helvetica" w:eastAsia="Times New Roman" w:hAnsi="Helvetica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35BAC"/>
    <w:pPr>
      <w:keepNext/>
      <w:keepLines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35BAC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35BAC"/>
    <w:pPr>
      <w:keepNext/>
      <w:keepLines/>
      <w:spacing w:before="160" w:after="80" w:line="240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35BAC"/>
    <w:pPr>
      <w:keepNext/>
      <w:keepLines/>
      <w:spacing w:before="80" w:after="40" w:line="240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35BAC"/>
    <w:pPr>
      <w:keepNext/>
      <w:keepLines/>
      <w:spacing w:before="80" w:after="40" w:line="240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35BAC"/>
    <w:pPr>
      <w:keepNext/>
      <w:keepLines/>
      <w:spacing w:before="40" w:line="240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A35BAC"/>
    <w:pPr>
      <w:keepNext/>
      <w:keepLines/>
      <w:spacing w:before="40" w:line="240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35BAC"/>
    <w:pPr>
      <w:keepNext/>
      <w:keepLines/>
      <w:spacing w:line="240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35BAC"/>
    <w:pPr>
      <w:keepNext/>
      <w:keepLines/>
      <w:spacing w:line="240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A35BA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qFormat/>
    <w:rsid w:val="00A35BA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qFormat/>
    <w:rsid w:val="00A35BAC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qFormat/>
    <w:rsid w:val="00A35BAC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qFormat/>
    <w:rsid w:val="00A35BAC"/>
    <w:rPr>
      <w:rFonts w:eastAsiaTheme="majorEastAsia" w:cstheme="majorBidi"/>
      <w:color w:val="0F4761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qFormat/>
    <w:rsid w:val="00A35BAC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qFormat/>
    <w:rsid w:val="00A35BAC"/>
    <w:rPr>
      <w:rFonts w:eastAsiaTheme="majorEastAsia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qFormat/>
    <w:rsid w:val="00A35BAC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qFormat/>
    <w:rsid w:val="00A35BAC"/>
    <w:rPr>
      <w:rFonts w:eastAsiaTheme="majorEastAsia" w:cstheme="majorBidi"/>
      <w:color w:val="272727" w:themeColor="text1" w:themeTint="D8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qFormat/>
    <w:rsid w:val="00A35BAC"/>
    <w:rPr>
      <w:rFonts w:asciiTheme="majorHAnsi" w:eastAsiaTheme="majorEastAsia" w:hAnsiTheme="majorHAnsi" w:cstheme="majorBidi"/>
      <w:spacing w:val="-10"/>
      <w:kern w:val="2"/>
      <w:sz w:val="56"/>
      <w:szCs w:val="56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sid w:val="00A35BAC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ZitatZchn">
    <w:name w:val="Zitat Zchn"/>
    <w:basedOn w:val="Absatz-Standardschriftart"/>
    <w:link w:val="Zitat"/>
    <w:uiPriority w:val="29"/>
    <w:qFormat/>
    <w:rsid w:val="00A35BAC"/>
    <w:rPr>
      <w:i/>
      <w:iCs/>
      <w:color w:val="404040" w:themeColor="text1" w:themeTint="BF"/>
      <w:lang w:val="en-US"/>
    </w:rPr>
  </w:style>
  <w:style w:type="character" w:styleId="IntensiveHervorhebung">
    <w:name w:val="Intense Emphasis"/>
    <w:basedOn w:val="Absatz-Standardschriftart"/>
    <w:uiPriority w:val="21"/>
    <w:qFormat/>
    <w:rsid w:val="00A35BAC"/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qFormat/>
    <w:rsid w:val="00A35BAC"/>
    <w:rPr>
      <w:i/>
      <w:iCs/>
      <w:color w:val="0F4761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A35BAC"/>
    <w:rPr>
      <w:b/>
      <w:bCs/>
      <w:smallCaps/>
      <w:color w:val="0F4761" w:themeColor="accent1" w:themeShade="BF"/>
      <w:spacing w:val="5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  <w:rPr>
      <w:rFonts w:cs="Noto Sans"/>
    </w:rPr>
  </w:style>
  <w:style w:type="paragraph" w:styleId="Titel">
    <w:name w:val="Title"/>
    <w:basedOn w:val="Standard"/>
    <w:next w:val="Standard"/>
    <w:link w:val="TitelZchn"/>
    <w:uiPriority w:val="10"/>
    <w:qFormat/>
    <w:rsid w:val="00A35BAC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"/>
      <w:sz w:val="56"/>
      <w:szCs w:val="56"/>
      <w:lang w:val="en-US" w:eastAsia="en-US"/>
      <w14:ligatures w14:val="standardContextual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35BAC"/>
    <w:pPr>
      <w:spacing w:after="160" w:line="240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paragraph" w:styleId="Zitat">
    <w:name w:val="Quote"/>
    <w:basedOn w:val="Standard"/>
    <w:next w:val="Standard"/>
    <w:link w:val="ZitatZchn"/>
    <w:uiPriority w:val="29"/>
    <w:qFormat/>
    <w:rsid w:val="00A35BAC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paragraph" w:styleId="Listenabsatz">
    <w:name w:val="List Paragraph"/>
    <w:basedOn w:val="Standard"/>
    <w:uiPriority w:val="34"/>
    <w:qFormat/>
    <w:rsid w:val="00A35BAC"/>
    <w:pPr>
      <w:spacing w:line="240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35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customStyle="1" w:styleId="Rahmeninhaltuser">
    <w:name w:val="Rahmeninhalt (user)"/>
    <w:basedOn w:val="Standard"/>
    <w:qFormat/>
  </w:style>
  <w:style w:type="paragraph" w:customStyle="1" w:styleId="Rahmeninhalt">
    <w:name w:val="Rahmeninhalt"/>
    <w:basedOn w:val="Standard"/>
    <w:qFormat/>
  </w:style>
  <w:style w:type="numbering" w:customStyle="1" w:styleId="KeineListeuser">
    <w:name w:val="Keine Liste (user)"/>
    <w:uiPriority w:val="99"/>
    <w:semiHidden/>
    <w:unhideWhenUsed/>
    <w:qFormat/>
  </w:style>
  <w:style w:type="table" w:styleId="Gitternetztabelle1hell">
    <w:name w:val="Grid Table 1 Light"/>
    <w:basedOn w:val="NormaleTabelle"/>
    <w:uiPriority w:val="46"/>
    <w:rsid w:val="000C45B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moritz.piehl@gmx.de</dc:creator>
  <dc:description/>
  <cp:lastModifiedBy>Author</cp:lastModifiedBy>
  <cp:revision>7</cp:revision>
  <dcterms:created xsi:type="dcterms:W3CDTF">2025-10-22T16:24:00Z</dcterms:created>
  <dcterms:modified xsi:type="dcterms:W3CDTF">2026-06-28T15:26:00Z</dcterms:modified>
  <dc:language>de-DE</dc:language>
</cp:coreProperties>
</file>