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Xa9eb551bf9665390a02b9ae8c2c9d3a5ceac59f"/>
    <w:p>
      <w:pPr>
        <w:pStyle w:val="Heading1"/>
      </w:pPr>
      <w:r>
        <w:t xml:space="preserve">STROBE Statement — checklist for cross-sectional studies</w:t>
      </w:r>
    </w:p>
    <w:p>
      <w:pPr>
        <w:pStyle w:val="FirstParagraph"/>
      </w:pPr>
      <w:r>
        <w:t xml:space="preserve">Manuscript: The ascending aorta and vascular profile in recreational masters runners: a cross-sectional study.</w:t>
      </w:r>
    </w:p>
    <w:p>
      <w:pPr>
        <w:pStyle w:val="BodyText"/>
      </w:pPr>
      <w:r>
        <w:t xml:space="preserve">The manuscript carries continuous line numbers. Locations below refer to the named section and, where helpful, the relevant paragraph.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Recommendation</w:t>
            </w:r>
          </w:p>
        </w:tc>
        <w:tc>
          <w:tcPr/>
          <w:p>
            <w:pPr>
              <w:pStyle w:val="Compact"/>
            </w:pPr>
            <w:r>
              <w:t xml:space="preserve">Reported in (section)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Title and abstract</w:t>
            </w:r>
          </w:p>
        </w:tc>
        <w:tc>
          <w:tcPr/>
          <w:p>
            <w:pPr>
              <w:pStyle w:val="Compact"/>
            </w:pPr>
            <w:r>
              <w:t xml:space="preserve">(a) Study design in the title or the abstract. (b) Balanced summary in the abstract.</w:t>
            </w:r>
          </w:p>
        </w:tc>
        <w:tc>
          <w:tcPr/>
          <w:p>
            <w:pPr>
              <w:pStyle w:val="Compact"/>
            </w:pPr>
            <w:r>
              <w:t xml:space="preserve">Title (</w:t>
            </w:r>
            <w:r>
              <w:t xml:space="preserve">“a cross-sectional study”</w:t>
            </w:r>
            <w:r>
              <w:t xml:space="preserve">); Abstract (structured: Purpose, Methods, Results, Conclusion)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Background/rationale</w:t>
            </w:r>
          </w:p>
        </w:tc>
        <w:tc>
          <w:tcPr/>
          <w:p>
            <w:pPr>
              <w:pStyle w:val="Compact"/>
            </w:pPr>
            <w:r>
              <w:t xml:space="preserve">Scientific background and rationale.</w:t>
            </w:r>
          </w:p>
        </w:tc>
        <w:tc>
          <w:tcPr/>
          <w:p>
            <w:pPr>
              <w:pStyle w:val="Compact"/>
            </w:pPr>
            <w:r>
              <w:t xml:space="preserve">Introduction, paragraphs 1–3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Objectives</w:t>
            </w:r>
          </w:p>
        </w:tc>
        <w:tc>
          <w:tcPr/>
          <w:p>
            <w:pPr>
              <w:pStyle w:val="Compact"/>
            </w:pPr>
            <w:r>
              <w:t xml:space="preserve">State specific objectives and any hypotheses.</w:t>
            </w:r>
          </w:p>
        </w:tc>
        <w:tc>
          <w:tcPr/>
          <w:p>
            <w:pPr>
              <w:pStyle w:val="Compact"/>
            </w:pPr>
            <w:r>
              <w:t xml:space="preserve">Introduction, final paragraph (primary aim and hypothesis)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Study design</w:t>
            </w:r>
          </w:p>
        </w:tc>
        <w:tc>
          <w:tcPr/>
          <w:p>
            <w:pPr>
              <w:pStyle w:val="Compact"/>
            </w:pPr>
            <w:r>
              <w:t xml:space="preserve">Present key elements of design early in the paper.</w:t>
            </w:r>
          </w:p>
        </w:tc>
        <w:tc>
          <w:tcPr/>
          <w:p>
            <w:pPr>
              <w:pStyle w:val="Compact"/>
            </w:pPr>
            <w:r>
              <w:t xml:space="preserve">Methods, Study design and participants (single-centre, cross-sectional)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Setting</w:t>
            </w:r>
          </w:p>
        </w:tc>
        <w:tc>
          <w:tcPr/>
          <w:p>
            <w:pPr>
              <w:pStyle w:val="Compact"/>
            </w:pPr>
            <w:r>
              <w:t xml:space="preserve">Setting, locations, and relevant dates including recruitment.</w:t>
            </w:r>
          </w:p>
        </w:tc>
        <w:tc>
          <w:tcPr/>
          <w:p>
            <w:pPr>
              <w:pStyle w:val="Compact"/>
            </w:pPr>
            <w:r>
              <w:t xml:space="preserve">Methods, Study design and participants (2nd Dept of Cardiology, Poznan; recruitment from general practice and a social-media advertisement)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Participants</w:t>
            </w:r>
          </w:p>
        </w:tc>
        <w:tc>
          <w:tcPr/>
          <w:p>
            <w:pPr>
              <w:pStyle w:val="Compact"/>
            </w:pPr>
            <w:r>
              <w:t xml:space="preserve">Eligibility criteria, sources and methods of selection.</w:t>
            </w:r>
          </w:p>
        </w:tc>
        <w:tc>
          <w:tcPr/>
          <w:p>
            <w:pPr>
              <w:pStyle w:val="Compact"/>
            </w:pPr>
            <w:r>
              <w:t xml:space="preserve">Methods, Study design and participants (definitions of runners and controls, screening, exclusions); Results, Participants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Define outcomes, exposures, predictors, confounders, effect modifiers.</w:t>
            </w:r>
          </w:p>
        </w:tc>
        <w:tc>
          <w:tcPr/>
          <w:p>
            <w:pPr>
              <w:pStyle w:val="Compact"/>
            </w:pPr>
            <w:r>
              <w:t xml:space="preserve">Methods, Vascular assessment; Echocardiography and aortic dimensions; Biochemical markers; Statistical analysis (a priori covariates: age, sex, height)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Data sources/measurement</w:t>
            </w:r>
          </w:p>
        </w:tc>
        <w:tc>
          <w:tcPr/>
          <w:p>
            <w:pPr>
              <w:pStyle w:val="Compact"/>
            </w:pPr>
            <w:r>
              <w:t xml:space="preserve">Sources of data and details of methods of assessment.</w:t>
            </w:r>
          </w:p>
        </w:tc>
        <w:tc>
          <w:tcPr/>
          <w:p>
            <w:pPr>
              <w:pStyle w:val="Compact"/>
            </w:pPr>
            <w:r>
              <w:t xml:space="preserve">Methods, Study protocol; Vascular assessment; Echocardiography and aortic dimensions; Biochemical markers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Bias</w:t>
            </w:r>
          </w:p>
        </w:tc>
        <w:tc>
          <w:tcPr/>
          <w:p>
            <w:pPr>
              <w:pStyle w:val="Compact"/>
            </w:pPr>
            <w:r>
              <w:t xml:space="preserve">Describe any efforts to address potential sources of bias.</w:t>
            </w:r>
          </w:p>
        </w:tc>
        <w:tc>
          <w:tcPr/>
          <w:p>
            <w:pPr>
              <w:pStyle w:val="Compact"/>
            </w:pPr>
            <w:r>
              <w:t xml:space="preserve">Methods (echocardiographer blinded to allocation; independent interobserver re-measurement); Discussion, limitations (selection bias, self-report, single reference method)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Study size</w:t>
            </w:r>
          </w:p>
        </w:tc>
        <w:tc>
          <w:tcPr/>
          <w:p>
            <w:pPr>
              <w:pStyle w:val="Compact"/>
            </w:pPr>
            <w:r>
              <w:t xml:space="preserve">Explain how the study size was arrived at.</w:t>
            </w:r>
          </w:p>
        </w:tc>
        <w:tc>
          <w:tcPr/>
          <w:p>
            <w:pPr>
              <w:pStyle w:val="Compact"/>
            </w:pPr>
            <w:r>
              <w:t xml:space="preserve">Methods, Statistical analysis (size determined by participant availability; sensitivity power analysis, detectable Cohen’s d 0.70)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Quantitative variables</w:t>
            </w:r>
          </w:p>
        </w:tc>
        <w:tc>
          <w:tcPr/>
          <w:p>
            <w:pPr>
              <w:pStyle w:val="Compact"/>
            </w:pPr>
            <w:r>
              <w:t xml:space="preserve">How quantitative variables were handled in the analyses.</w:t>
            </w:r>
          </w:p>
        </w:tc>
        <w:tc>
          <w:tcPr/>
          <w:p>
            <w:pPr>
              <w:pStyle w:val="Compact"/>
            </w:pPr>
            <w:r>
              <w:t xml:space="preserve">Methods, Statistical analysis (median [Q1–Q3]; body-size indices AHI, ASI, CSA/height; groupings)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Statistical methods</w:t>
            </w:r>
          </w:p>
        </w:tc>
        <w:tc>
          <w:tcPr/>
          <w:p>
            <w:pPr>
              <w:pStyle w:val="Compact"/>
            </w:pPr>
            <w:r>
              <w:t xml:space="preserve">(a) All methods, including confounding control. (b) Subgroups and interactions. (c) Missing data. (d) Sampling strategy. (e) Sensitivity analyses.</w:t>
            </w:r>
          </w:p>
        </w:tc>
        <w:tc>
          <w:tcPr/>
          <w:p>
            <w:pPr>
              <w:pStyle w:val="Compact"/>
            </w:pPr>
            <w:r>
              <w:t xml:space="preserve">Methods, Statistical analysis: (a) Mann-Whitney, chi-square/Fisher, OLS adjusted for age, sex, height; (b) group-by-sex and group-by-ABI interactions, exploratory sex-stratified analysis, body-size indexation; (c) complete-case analysis, no missing data for the primary outcome; (d) recruitment described in Methods; (e) robust MM regression, exclusion by Cook’s distance, HC3 standard errors, residual diagnostics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Participants</w:t>
            </w:r>
          </w:p>
        </w:tc>
        <w:tc>
          <w:tcPr/>
          <w:p>
            <w:pPr>
              <w:pStyle w:val="Compact"/>
            </w:pPr>
            <w:r>
              <w:t xml:space="preserve">(a) Numbers at each stage. (b) Reasons for non-participation. (c) Flow diagram.</w:t>
            </w:r>
          </w:p>
        </w:tc>
        <w:tc>
          <w:tcPr/>
          <w:p>
            <w:pPr>
              <w:pStyle w:val="Compact"/>
            </w:pPr>
            <w:r>
              <w:t xml:space="preserve">Results, Participants (76 assessed, 7 excluded, 69 analysed: 42 runners, 27 controls); (b) reasons for exclusion given in text; (c) no separate flow diagram, flow described in text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Descriptive data</w:t>
            </w:r>
          </w:p>
        </w:tc>
        <w:tc>
          <w:tcPr/>
          <w:p>
            <w:pPr>
              <w:pStyle w:val="Compact"/>
            </w:pPr>
            <w:r>
              <w:t xml:space="preserve">(a) Characteristics of participants. (b) Missing data for each variable.</w:t>
            </w:r>
          </w:p>
        </w:tc>
        <w:tc>
          <w:tcPr/>
          <w:p>
            <w:pPr>
              <w:pStyle w:val="Compact"/>
            </w:pPr>
            <w:r>
              <w:t xml:space="preserve">Results, Participants; Table 1. No missing data for the reported variables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Outcome data</w:t>
            </w:r>
          </w:p>
        </w:tc>
        <w:tc>
          <w:tcPr/>
          <w:p>
            <w:pPr>
              <w:pStyle w:val="Compact"/>
            </w:pPr>
            <w:r>
              <w:t xml:space="preserve">Report numbers of outcome events or summary measures.</w:t>
            </w:r>
          </w:p>
        </w:tc>
        <w:tc>
          <w:tcPr/>
          <w:p>
            <w:pPr>
              <w:pStyle w:val="Compact"/>
            </w:pPr>
            <w:r>
              <w:t xml:space="preserve">Results (Ascending aorta; Arterial stiffness and ABI; Matrix markers; Left ventricular function); Tables 2–3; Figures 1–3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Main results</w:t>
            </w:r>
          </w:p>
        </w:tc>
        <w:tc>
          <w:tcPr/>
          <w:p>
            <w:pPr>
              <w:pStyle w:val="Compact"/>
            </w:pPr>
            <w:r>
              <w:t xml:space="preserve">(a) Unadjusted and adjusted estimates with confidence intervals. (b) Category boundaries when continuous variables are categorised. (c) Absolute risk where relevant.</w:t>
            </w:r>
          </w:p>
        </w:tc>
        <w:tc>
          <w:tcPr/>
          <w:p>
            <w:pPr>
              <w:pStyle w:val="Compact"/>
            </w:pPr>
            <w:r>
              <w:t xml:space="preserve">Results, Ascending aorta (unadjusted difference and adjusted beta with 95% CI); Table 3; (b) ABI bands, Figure 3; (c) not applicable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Other analyses</w:t>
            </w:r>
          </w:p>
        </w:tc>
        <w:tc>
          <w:tcPr/>
          <w:p>
            <w:pPr>
              <w:pStyle w:val="Compact"/>
            </w:pPr>
            <w:r>
              <w:t xml:space="preserve">Other analyses done (subgroups, interactions, sensitivity analyses).</w:t>
            </w:r>
          </w:p>
        </w:tc>
        <w:tc>
          <w:tcPr/>
          <w:p>
            <w:pPr>
              <w:pStyle w:val="Compact"/>
            </w:pPr>
            <w:r>
              <w:t xml:space="preserve">Results (group-by-sex interaction and exploratory sex-stratified analysis; within-runner correlations with training volume; ABI–aorta correlation; sensitivity analyses); Table 3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Key results</w:t>
            </w:r>
          </w:p>
        </w:tc>
        <w:tc>
          <w:tcPr/>
          <w:p>
            <w:pPr>
              <w:pStyle w:val="Compact"/>
            </w:pPr>
            <w:r>
              <w:t xml:space="preserve">Summarise key results with reference to study objectives.</w:t>
            </w:r>
          </w:p>
        </w:tc>
        <w:tc>
          <w:tcPr/>
          <w:p>
            <w:pPr>
              <w:pStyle w:val="Compact"/>
            </w:pPr>
            <w:r>
              <w:t xml:space="preserve">Discussion, paragraphs 1–2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Limitations</w:t>
            </w:r>
          </w:p>
        </w:tc>
        <w:tc>
          <w:tcPr/>
          <w:p>
            <w:pPr>
              <w:pStyle w:val="Compact"/>
            </w:pPr>
            <w:r>
              <w:t xml:space="preserve">Limitations, taking account of sources of bias or imprecision.</w:t>
            </w:r>
          </w:p>
        </w:tc>
        <w:tc>
          <w:tcPr/>
          <w:p>
            <w:pPr>
              <w:pStyle w:val="Compact"/>
            </w:pPr>
            <w:r>
              <w:t xml:space="preserve">Discussion, limitations paragraph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Interpretation</w:t>
            </w:r>
          </w:p>
        </w:tc>
        <w:tc>
          <w:tcPr/>
          <w:p>
            <w:pPr>
              <w:pStyle w:val="Compact"/>
            </w:pPr>
            <w:r>
              <w:t xml:space="preserve">Cautious overall interpretation considering objectives, limitations, other evidence.</w:t>
            </w:r>
          </w:p>
        </w:tc>
        <w:tc>
          <w:tcPr/>
          <w:p>
            <w:pPr>
              <w:pStyle w:val="Compact"/>
            </w:pPr>
            <w:r>
              <w:t xml:space="preserve">Discussion (interpretation across paragraphs); Conclusion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Generalisability</w:t>
            </w:r>
          </w:p>
        </w:tc>
        <w:tc>
          <w:tcPr/>
          <w:p>
            <w:pPr>
              <w:pStyle w:val="Compact"/>
            </w:pPr>
            <w:r>
              <w:t xml:space="preserve">Generalisability (external validity) of the results.</w:t>
            </w:r>
          </w:p>
        </w:tc>
        <w:tc>
          <w:tcPr/>
          <w:p>
            <w:pPr>
              <w:pStyle w:val="Compact"/>
            </w:pPr>
            <w:r>
              <w:t xml:space="preserve">Discussion, limitations (findings apply to apparently healthy recreational runners without established cardiovascular disease)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Funding</w:t>
            </w:r>
          </w:p>
        </w:tc>
        <w:tc>
          <w:tcPr/>
          <w:p>
            <w:pPr>
              <w:pStyle w:val="Compact"/>
            </w:pPr>
            <w:r>
              <w:t xml:space="preserve">Source of funding and the role of the funders.</w:t>
            </w:r>
          </w:p>
        </w:tc>
        <w:tc>
          <w:tcPr/>
          <w:p>
            <w:pPr>
              <w:pStyle w:val="Compact"/>
            </w:pPr>
            <w:r>
              <w:t xml:space="preserve">Declarations, Funding (no specific grant; no funder role)</w:t>
            </w:r>
          </w:p>
        </w:tc>
      </w:tr>
    </w:tbl>
    <w:p>
      <w:pPr>
        <w:pStyle w:val="BodyText"/>
      </w:pPr>
      <w:r>
        <w:t xml:space="preserve">An Explanation and Elaboration article discusses each checklist item and is available with the STROBE Statement at https://www.strobe-statement.org.</w:t>
      </w:r>
    </w:p>
    <w:p>
      <w:pPr>
        <w:pStyle w:val="BodyText"/>
      </w:pPr>
      <w:r>
        <w:t xml:space="preserve">Reference: von Elm E, Altman DG, Egger M, Pocock SJ, Gøtzsche PC, Vandenbroucke JP (2007) The Strengthening the Reporting of Observational Studies in Epidemiology (STROBE) statement: guidelines for reporting observational studies. Ann Intern Med 147:573–577.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line="480" w:lineRule="auto" w:before="0" w:after="160"/>
      </w:pPr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Arial" w:hAnsi="Arial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rial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2026-09-21T19:15:29Z</dcterms:created>
  <dcterms:modified xsi:type="dcterms:W3CDTF">2026-09-21T19:15:29Z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