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1F61D" w14:textId="4F423D72" w:rsidR="003118F6" w:rsidRDefault="003118F6" w:rsidP="003118F6">
      <w:pPr>
        <w:spacing w:after="120" w:line="360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Supplementary Figures</w:t>
      </w:r>
    </w:p>
    <w:p w14:paraId="187BBF22" w14:textId="77777777" w:rsidR="003118F6" w:rsidRPr="00F31957" w:rsidRDefault="003118F6" w:rsidP="003118F6">
      <w:pPr>
        <w:spacing w:after="120" w:line="360" w:lineRule="auto"/>
        <w:jc w:val="both"/>
        <w:rPr>
          <w:b/>
          <w:bCs/>
          <w:sz w:val="22"/>
          <w:szCs w:val="22"/>
          <w:lang w:val="en-US"/>
        </w:rPr>
      </w:pPr>
    </w:p>
    <w:p w14:paraId="5E6033EC" w14:textId="77777777" w:rsidR="003118F6" w:rsidRPr="00F31957" w:rsidRDefault="003118F6" w:rsidP="003118F6">
      <w:pPr>
        <w:spacing w:after="120" w:line="360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14:ligatures w14:val="standardContextual"/>
        </w:rPr>
        <w:drawing>
          <wp:inline distT="0" distB="0" distL="0" distR="0" wp14:anchorId="295CDA0F" wp14:editId="6A262BBE">
            <wp:extent cx="5756910" cy="2688590"/>
            <wp:effectExtent l="0" t="0" r="0" b="3810"/>
            <wp:docPr id="1164389944" name="Picture 6" descr="A diagram of a cancer pati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89944" name="Picture 6" descr="A diagram of a cancer patien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4C3E5" w14:textId="77777777" w:rsidR="003118F6" w:rsidRDefault="003118F6" w:rsidP="003118F6">
      <w:pPr>
        <w:spacing w:after="120" w:line="360" w:lineRule="auto"/>
        <w:jc w:val="both"/>
        <w:rPr>
          <w:b/>
          <w:bCs/>
          <w:color w:val="000000" w:themeColor="text1"/>
          <w:lang w:val="en-US"/>
        </w:rPr>
      </w:pPr>
    </w:p>
    <w:p w14:paraId="50CBF5E4" w14:textId="77777777" w:rsidR="003118F6" w:rsidRDefault="003118F6" w:rsidP="003118F6">
      <w:pPr>
        <w:spacing w:after="120" w:line="360" w:lineRule="auto"/>
        <w:jc w:val="both"/>
        <w:rPr>
          <w:b/>
          <w:bCs/>
          <w:lang w:val="en-US"/>
        </w:rPr>
      </w:pPr>
      <w:r w:rsidRPr="00FE534B">
        <w:rPr>
          <w:b/>
          <w:bCs/>
          <w:color w:val="000000" w:themeColor="text1"/>
          <w:lang w:val="en-US"/>
        </w:rPr>
        <w:t>Suppl. Fig</w:t>
      </w:r>
      <w:r>
        <w:rPr>
          <w:b/>
          <w:bCs/>
          <w:color w:val="000000" w:themeColor="text1"/>
          <w:lang w:val="en-US"/>
        </w:rPr>
        <w:t>.</w:t>
      </w:r>
      <w:r w:rsidRPr="00FE534B">
        <w:rPr>
          <w:b/>
          <w:bCs/>
          <w:color w:val="000000" w:themeColor="text1"/>
          <w:lang w:val="en-US"/>
        </w:rPr>
        <w:t xml:space="preserve"> 1: </w:t>
      </w:r>
      <w:r>
        <w:rPr>
          <w:b/>
          <w:bCs/>
          <w:lang w:val="en-US"/>
        </w:rPr>
        <w:t>Consort diagram.</w:t>
      </w:r>
    </w:p>
    <w:p w14:paraId="3BA51388" w14:textId="77777777" w:rsidR="003118F6" w:rsidRDefault="003118F6" w:rsidP="003118F6">
      <w:pPr>
        <w:spacing w:after="120" w:line="360" w:lineRule="auto"/>
        <w:jc w:val="both"/>
        <w:rPr>
          <w:b/>
          <w:bCs/>
          <w:lang w:val="en-US"/>
        </w:rPr>
      </w:pPr>
    </w:p>
    <w:p w14:paraId="64ACEF8B" w14:textId="77777777" w:rsidR="003118F6" w:rsidRDefault="003118F6" w:rsidP="003118F6">
      <w:pPr>
        <w:spacing w:after="120" w:line="360" w:lineRule="auto"/>
        <w:jc w:val="both"/>
        <w:rPr>
          <w:b/>
          <w:bCs/>
          <w:lang w:val="en-US"/>
        </w:rPr>
      </w:pPr>
    </w:p>
    <w:p w14:paraId="484073AA" w14:textId="77777777" w:rsidR="004C69E7" w:rsidRDefault="004C69E7" w:rsidP="003118F6">
      <w:pPr>
        <w:spacing w:after="120" w:line="360" w:lineRule="auto"/>
        <w:jc w:val="both"/>
        <w:rPr>
          <w:b/>
          <w:bCs/>
          <w:lang w:val="en-US"/>
        </w:rPr>
        <w:sectPr w:rsidR="004C69E7" w:rsidSect="003118F6">
          <w:pgSz w:w="11900" w:h="16840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620E73DD" w14:textId="77777777" w:rsidR="004C69E7" w:rsidRDefault="004C69E7" w:rsidP="003118F6">
      <w:pPr>
        <w:spacing w:after="120" w:line="360" w:lineRule="auto"/>
        <w:jc w:val="both"/>
        <w:rPr>
          <w:b/>
          <w:bCs/>
          <w:lang w:val="en-US"/>
        </w:rPr>
      </w:pPr>
    </w:p>
    <w:p w14:paraId="2721FC78" w14:textId="77777777" w:rsidR="004C69E7" w:rsidRDefault="004C69E7" w:rsidP="003118F6">
      <w:pPr>
        <w:spacing w:after="120" w:line="36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  <w14:ligatures w14:val="standardContextual"/>
        </w:rPr>
        <w:drawing>
          <wp:inline distT="0" distB="0" distL="0" distR="0" wp14:anchorId="7892D77B" wp14:editId="79D19CDB">
            <wp:extent cx="5756910" cy="1826260"/>
            <wp:effectExtent l="0" t="0" r="0" b="2540"/>
            <wp:docPr id="1418789714" name="Picture 1" descr="A graph of a number of ye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89714" name="Picture 1" descr="A graph of a number of yea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9B7D6" w14:textId="3723E407" w:rsidR="004C69E7" w:rsidRPr="004C69E7" w:rsidRDefault="004C69E7" w:rsidP="003118F6">
      <w:pPr>
        <w:spacing w:after="120" w:line="360" w:lineRule="auto"/>
        <w:jc w:val="both"/>
        <w:rPr>
          <w:lang w:val="en-US"/>
        </w:rPr>
      </w:pPr>
      <w:r w:rsidRPr="00FE534B">
        <w:rPr>
          <w:b/>
          <w:bCs/>
          <w:color w:val="000000" w:themeColor="text1"/>
          <w:lang w:val="en-US"/>
        </w:rPr>
        <w:t>Suppl. Fig</w:t>
      </w:r>
      <w:r>
        <w:rPr>
          <w:b/>
          <w:bCs/>
          <w:color w:val="000000" w:themeColor="text1"/>
          <w:lang w:val="en-US"/>
        </w:rPr>
        <w:t>.</w:t>
      </w:r>
      <w:r w:rsidRPr="00FE534B">
        <w:rPr>
          <w:b/>
          <w:bCs/>
          <w:color w:val="000000" w:themeColor="text1"/>
          <w:lang w:val="en-US"/>
        </w:rPr>
        <w:t xml:space="preserve"> </w:t>
      </w:r>
      <w:r>
        <w:rPr>
          <w:b/>
          <w:bCs/>
          <w:color w:val="000000" w:themeColor="text1"/>
          <w:lang w:val="en-US"/>
        </w:rPr>
        <w:t>2</w:t>
      </w:r>
      <w:r w:rsidRPr="00FE534B">
        <w:rPr>
          <w:b/>
          <w:bCs/>
          <w:color w:val="000000" w:themeColor="text1"/>
          <w:lang w:val="en-US"/>
        </w:rPr>
        <w:t xml:space="preserve">: </w:t>
      </w:r>
      <w:r>
        <w:rPr>
          <w:b/>
          <w:bCs/>
          <w:lang w:val="en-US"/>
        </w:rPr>
        <w:t>Percentage of CC diagnoses over the study period</w:t>
      </w:r>
      <w:r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Shown are the percentages of CC diagnoses over the study period from 2000 – 2023 among all patients with malignant tumors of the pancreas (ICD-10: C25; </w:t>
      </w:r>
      <w:r w:rsidRPr="004C69E7">
        <w:rPr>
          <w:b/>
          <w:bCs/>
          <w:lang w:val="en-US"/>
        </w:rPr>
        <w:t>a</w:t>
      </w:r>
      <w:r>
        <w:rPr>
          <w:lang w:val="en-US"/>
        </w:rPr>
        <w:t>) and the study population consisting of patients with PDAC-NOS or CC (</w:t>
      </w:r>
      <w:r w:rsidRPr="004C69E7">
        <w:rPr>
          <w:b/>
          <w:bCs/>
          <w:lang w:val="en-US"/>
        </w:rPr>
        <w:t>b</w:t>
      </w:r>
      <w:r>
        <w:rPr>
          <w:lang w:val="en-US"/>
        </w:rPr>
        <w:t>). The dotted line represents the overall percentage within the study period.</w:t>
      </w:r>
    </w:p>
    <w:p w14:paraId="55E88FEC" w14:textId="77777777" w:rsidR="004C69E7" w:rsidRDefault="004C69E7" w:rsidP="003118F6">
      <w:pPr>
        <w:spacing w:after="120" w:line="360" w:lineRule="auto"/>
        <w:jc w:val="both"/>
        <w:rPr>
          <w:b/>
          <w:bCs/>
          <w:lang w:val="en-US"/>
        </w:rPr>
      </w:pPr>
    </w:p>
    <w:p w14:paraId="46EB0ADE" w14:textId="23FB3E54" w:rsidR="004C69E7" w:rsidRDefault="004C69E7" w:rsidP="003118F6">
      <w:pPr>
        <w:spacing w:after="120" w:line="360" w:lineRule="auto"/>
        <w:jc w:val="both"/>
        <w:rPr>
          <w:b/>
          <w:bCs/>
          <w:lang w:val="en-US"/>
        </w:rPr>
        <w:sectPr w:rsidR="004C69E7" w:rsidSect="003118F6">
          <w:pgSz w:w="11900" w:h="16840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420CC4E9" w14:textId="77777777" w:rsidR="003118F6" w:rsidRDefault="003118F6" w:rsidP="003118F6">
      <w:pPr>
        <w:spacing w:after="120" w:line="36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  <w14:ligatures w14:val="standardContextual"/>
        </w:rPr>
        <w:lastRenderedPageBreak/>
        <w:drawing>
          <wp:inline distT="0" distB="0" distL="0" distR="0" wp14:anchorId="5568FE00" wp14:editId="2F109C90">
            <wp:extent cx="5756910" cy="4663440"/>
            <wp:effectExtent l="0" t="0" r="0" b="0"/>
            <wp:docPr id="723727709" name="Picture 3" descr="A collage of graphs showing the results of a cancer pati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27709" name="Picture 3" descr="A collage of graphs showing the results of a cancer patien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AE573" w14:textId="77777777" w:rsidR="003118F6" w:rsidRDefault="003118F6" w:rsidP="003118F6">
      <w:pPr>
        <w:spacing w:after="120" w:line="360" w:lineRule="auto"/>
        <w:jc w:val="both"/>
        <w:rPr>
          <w:b/>
          <w:bCs/>
          <w:lang w:val="en-US"/>
        </w:rPr>
      </w:pPr>
    </w:p>
    <w:p w14:paraId="14715F92" w14:textId="6C79433C" w:rsidR="003118F6" w:rsidRDefault="003118F6" w:rsidP="003118F6">
      <w:pPr>
        <w:spacing w:after="120" w:line="360" w:lineRule="auto"/>
        <w:jc w:val="both"/>
        <w:rPr>
          <w:lang w:val="en-US"/>
        </w:rPr>
      </w:pPr>
      <w:r w:rsidRPr="006733EF">
        <w:rPr>
          <w:b/>
          <w:bCs/>
          <w:color w:val="000000" w:themeColor="text1"/>
          <w:lang w:val="en-US"/>
        </w:rPr>
        <w:t>Suppl. Fig</w:t>
      </w:r>
      <w:r>
        <w:rPr>
          <w:b/>
          <w:bCs/>
          <w:color w:val="000000" w:themeColor="text1"/>
          <w:lang w:val="en-US"/>
        </w:rPr>
        <w:t>.</w:t>
      </w:r>
      <w:r w:rsidRPr="006733EF">
        <w:rPr>
          <w:b/>
          <w:bCs/>
          <w:color w:val="000000" w:themeColor="text1"/>
          <w:lang w:val="en-US"/>
        </w:rPr>
        <w:t xml:space="preserve"> </w:t>
      </w:r>
      <w:r w:rsidR="004C69E7">
        <w:rPr>
          <w:b/>
          <w:bCs/>
          <w:color w:val="000000" w:themeColor="text1"/>
          <w:lang w:val="en-US"/>
        </w:rPr>
        <w:t>3</w:t>
      </w:r>
      <w:r>
        <w:rPr>
          <w:b/>
          <w:bCs/>
          <w:lang w:val="en-US"/>
        </w:rPr>
        <w:t xml:space="preserve">: Survival analysis in Stage-matched cohorts. </w:t>
      </w:r>
      <w:r>
        <w:rPr>
          <w:lang w:val="en-US"/>
        </w:rPr>
        <w:t xml:space="preserve">Kaplan-Meier curves showing the overall survival from diagnosis in months with 95% Confidence interval between resected PDAC-NOS or CC patients stratified according to UICC I </w:t>
      </w:r>
      <w:r w:rsidRPr="005C541A">
        <w:rPr>
          <w:b/>
          <w:bCs/>
          <w:lang w:val="en-US"/>
        </w:rPr>
        <w:t>(</w:t>
      </w:r>
      <w:r>
        <w:rPr>
          <w:b/>
          <w:bCs/>
          <w:lang w:val="en-US"/>
        </w:rPr>
        <w:t>a</w:t>
      </w:r>
      <w:r w:rsidRPr="005C541A">
        <w:rPr>
          <w:b/>
          <w:bCs/>
          <w:lang w:val="en-US"/>
        </w:rPr>
        <w:t>)</w:t>
      </w:r>
      <w:r>
        <w:rPr>
          <w:lang w:val="en-US"/>
        </w:rPr>
        <w:t xml:space="preserve">, UICC II </w:t>
      </w:r>
      <w:r w:rsidRPr="005C541A">
        <w:rPr>
          <w:b/>
          <w:bCs/>
          <w:lang w:val="en-US"/>
        </w:rPr>
        <w:t>(</w:t>
      </w:r>
      <w:r>
        <w:rPr>
          <w:b/>
          <w:bCs/>
          <w:lang w:val="en-US"/>
        </w:rPr>
        <w:t>b</w:t>
      </w:r>
      <w:r w:rsidRPr="005C541A">
        <w:rPr>
          <w:b/>
          <w:bCs/>
          <w:lang w:val="en-US"/>
        </w:rPr>
        <w:t>)</w:t>
      </w:r>
      <w:r>
        <w:rPr>
          <w:lang w:val="en-US"/>
        </w:rPr>
        <w:t xml:space="preserve">, and UICC III </w:t>
      </w:r>
      <w:r w:rsidRPr="005C541A">
        <w:rPr>
          <w:b/>
          <w:bCs/>
          <w:lang w:val="en-US"/>
        </w:rPr>
        <w:t>(</w:t>
      </w:r>
      <w:r>
        <w:rPr>
          <w:b/>
          <w:bCs/>
          <w:lang w:val="en-US"/>
        </w:rPr>
        <w:t>c</w:t>
      </w:r>
      <w:r w:rsidRPr="005C541A">
        <w:rPr>
          <w:b/>
          <w:bCs/>
          <w:lang w:val="en-US"/>
        </w:rPr>
        <w:t>)</w:t>
      </w:r>
      <w:r>
        <w:rPr>
          <w:lang w:val="en-US"/>
        </w:rPr>
        <w:t xml:space="preserve"> stages. Only patients with </w:t>
      </w:r>
      <w:r w:rsidRPr="0001361E">
        <w:rPr>
          <w:lang w:val="en-US"/>
        </w:rPr>
        <w:t>8</w:t>
      </w:r>
      <w:r w:rsidRPr="0001361E">
        <w:rPr>
          <w:vertAlign w:val="superscript"/>
          <w:lang w:val="en-US"/>
        </w:rPr>
        <w:t>th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edition AJCC-staging were identified to ensure comparability. </w:t>
      </w:r>
      <w:r w:rsidRPr="0001361E">
        <w:rPr>
          <w:lang w:val="en-US"/>
        </w:rPr>
        <w:t>The</w:t>
      </w:r>
      <w:r>
        <w:rPr>
          <w:lang w:val="en-US"/>
        </w:rPr>
        <w:t xml:space="preserve"> displayed p-values were calculated using the Log-rank test.</w:t>
      </w:r>
    </w:p>
    <w:p w14:paraId="5C6C2201" w14:textId="77777777" w:rsidR="003118F6" w:rsidRPr="00E860FA" w:rsidRDefault="003118F6" w:rsidP="003118F6">
      <w:pPr>
        <w:spacing w:after="120" w:line="360" w:lineRule="auto"/>
        <w:jc w:val="both"/>
        <w:rPr>
          <w:b/>
          <w:bCs/>
          <w:lang w:val="en-US"/>
        </w:rPr>
        <w:sectPr w:rsidR="003118F6" w:rsidRPr="00E860FA" w:rsidSect="003118F6">
          <w:pgSz w:w="11900" w:h="16840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3B616285" w14:textId="77777777" w:rsidR="003118F6" w:rsidRDefault="003118F6" w:rsidP="003118F6">
      <w:pPr>
        <w:spacing w:after="120" w:line="360" w:lineRule="auto"/>
        <w:jc w:val="both"/>
        <w:rPr>
          <w:b/>
          <w:bCs/>
          <w:lang w:val="en-US"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6D3C9EAE" wp14:editId="49A05DC4">
            <wp:extent cx="5756910" cy="4519930"/>
            <wp:effectExtent l="0" t="0" r="0" b="1270"/>
            <wp:docPr id="952917897" name="Picture 9" descr="A graph with black and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17897" name="Picture 9" descr="A graph with black and white lin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51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8A2AD" w14:textId="5E07A350" w:rsidR="003118F6" w:rsidRPr="003118F6" w:rsidRDefault="003118F6" w:rsidP="004C69E7">
      <w:pPr>
        <w:spacing w:after="120" w:line="360" w:lineRule="auto"/>
        <w:jc w:val="both"/>
        <w:rPr>
          <w:lang w:val="en-US"/>
        </w:rPr>
      </w:pPr>
      <w:r w:rsidRPr="006733EF">
        <w:rPr>
          <w:b/>
          <w:bCs/>
          <w:color w:val="000000" w:themeColor="text1"/>
          <w:lang w:val="en-US"/>
        </w:rPr>
        <w:t>Suppl. Fig</w:t>
      </w:r>
      <w:r>
        <w:rPr>
          <w:b/>
          <w:bCs/>
          <w:color w:val="000000" w:themeColor="text1"/>
          <w:lang w:val="en-US"/>
        </w:rPr>
        <w:t>.</w:t>
      </w:r>
      <w:r w:rsidRPr="006733EF">
        <w:rPr>
          <w:b/>
          <w:bCs/>
          <w:color w:val="000000" w:themeColor="text1"/>
          <w:lang w:val="en-US"/>
        </w:rPr>
        <w:t xml:space="preserve"> </w:t>
      </w:r>
      <w:r w:rsidR="004C69E7">
        <w:rPr>
          <w:b/>
          <w:bCs/>
          <w:color w:val="000000" w:themeColor="text1"/>
          <w:lang w:val="en-US"/>
        </w:rPr>
        <w:t>4</w:t>
      </w:r>
      <w:r>
        <w:rPr>
          <w:b/>
          <w:bCs/>
          <w:lang w:val="en-US"/>
        </w:rPr>
        <w:t xml:space="preserve">: Multivariable Analysis of Prognostic Factors in resected PDAC-NOS patients. </w:t>
      </w:r>
      <w:r w:rsidRPr="00E860FA">
        <w:rPr>
          <w:lang w:val="en-US"/>
        </w:rPr>
        <w:t xml:space="preserve">Multivariable cox-regression analysis of the overall survival of </w:t>
      </w:r>
      <w:r>
        <w:rPr>
          <w:lang w:val="en-US"/>
        </w:rPr>
        <w:t>resected PDAC-NOS patients</w:t>
      </w:r>
      <w:r w:rsidRPr="00E860FA">
        <w:rPr>
          <w:lang w:val="en-US"/>
        </w:rPr>
        <w:t>. Shown are the hazards ratios with the 95% Confidence Interval, as well as the p-values.</w:t>
      </w:r>
      <w:r w:rsidR="004C69E7" w:rsidRPr="003118F6">
        <w:rPr>
          <w:lang w:val="en-US"/>
        </w:rPr>
        <w:t xml:space="preserve"> </w:t>
      </w:r>
    </w:p>
    <w:sectPr w:rsidR="003118F6" w:rsidRPr="003118F6" w:rsidSect="003118F6">
      <w:pgSz w:w="11900" w:h="16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F6"/>
    <w:rsid w:val="003118F6"/>
    <w:rsid w:val="004C69E7"/>
    <w:rsid w:val="00844AD7"/>
    <w:rsid w:val="009247D2"/>
    <w:rsid w:val="00D3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33BC4C"/>
  <w15:chartTrackingRefBased/>
  <w15:docId w15:val="{C1E9E059-9D46-5C49-9979-5A7B2F99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8F6"/>
    <w:pPr>
      <w:spacing w:line="259" w:lineRule="auto"/>
    </w:pPr>
    <w:rPr>
      <w:rFonts w:ascii="Arial" w:eastAsia="Arial" w:hAnsi="Arial" w:cs="Arial"/>
      <w:kern w:val="0"/>
      <w:sz w:val="20"/>
      <w:szCs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8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8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8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8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8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8F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8F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8F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8F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8F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1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8F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1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8F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1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8F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11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Duhn</dc:creator>
  <cp:keywords/>
  <dc:description/>
  <cp:lastModifiedBy>Jannis Duhn</cp:lastModifiedBy>
  <cp:revision>3</cp:revision>
  <dcterms:created xsi:type="dcterms:W3CDTF">2025-08-28T12:24:00Z</dcterms:created>
  <dcterms:modified xsi:type="dcterms:W3CDTF">2025-08-28T12:28:00Z</dcterms:modified>
</cp:coreProperties>
</file>