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BBF1E" w14:textId="77777777" w:rsidR="00187C08" w:rsidRPr="0015513A" w:rsidRDefault="00187C08" w:rsidP="004B1B30">
      <w:pPr>
        <w:spacing w:line="360" w:lineRule="auto"/>
        <w:jc w:val="both"/>
        <w:rPr>
          <w:rFonts w:ascii="Times New Roman" w:hAnsi="Times New Roman" w:cs="Times New Roman"/>
          <w:iCs/>
          <w:sz w:val="22"/>
          <w:szCs w:val="22"/>
          <w:lang w:val="en-US"/>
        </w:rPr>
      </w:pPr>
      <w:r w:rsidRPr="0015513A">
        <w:rPr>
          <w:rFonts w:ascii="Times New Roman" w:hAnsi="Times New Roman" w:cs="Times New Roman"/>
          <w:b/>
          <w:bCs/>
          <w:sz w:val="22"/>
          <w:szCs w:val="22"/>
          <w:lang w:val="en-US"/>
        </w:rPr>
        <w:t>Supplementary Material 1</w:t>
      </w:r>
      <w:r w:rsidRPr="0015513A">
        <w:rPr>
          <w:rFonts w:ascii="Times New Roman" w:hAnsi="Times New Roman" w:cs="Times New Roman"/>
          <w:sz w:val="22"/>
          <w:szCs w:val="22"/>
          <w:lang w:val="en-US"/>
        </w:rPr>
        <w:t xml:space="preserve">: The AHA protocol at </w:t>
      </w:r>
      <w:r w:rsidRPr="0015513A">
        <w:rPr>
          <w:rFonts w:ascii="Times New Roman" w:hAnsi="Times New Roman" w:cs="Times New Roman"/>
          <w:iCs/>
          <w:sz w:val="22"/>
          <w:szCs w:val="22"/>
          <w:lang w:val="en-US"/>
        </w:rPr>
        <w:t>Department of Hepatic and Gastrointestinal Diseases, Copenhagen University Hospital - Herlev and Gentofte, Herlev, Denmark</w:t>
      </w:r>
    </w:p>
    <w:p w14:paraId="5614C0EE" w14:textId="46FFBA17" w:rsidR="00A97722" w:rsidRPr="0015513A" w:rsidRDefault="00A97722" w:rsidP="004B1B30">
      <w:pPr>
        <w:spacing w:line="360" w:lineRule="auto"/>
        <w:rPr>
          <w:rFonts w:ascii="Times New Roman" w:hAnsi="Times New Roman" w:cs="Times New Roman"/>
          <w:sz w:val="22"/>
          <w:szCs w:val="22"/>
          <w:lang w:val="en-US"/>
        </w:rPr>
      </w:pPr>
    </w:p>
    <w:p w14:paraId="73A8C06A" w14:textId="48D382BA" w:rsidR="00193921" w:rsidRPr="0015513A" w:rsidRDefault="00AB68E5" w:rsidP="004B1B30">
      <w:pPr>
        <w:spacing w:line="360" w:lineRule="auto"/>
        <w:rPr>
          <w:rFonts w:ascii="Times New Roman" w:hAnsi="Times New Roman" w:cs="Times New Roman"/>
          <w:sz w:val="22"/>
          <w:szCs w:val="22"/>
          <w:lang w:val="en-US"/>
        </w:rPr>
      </w:pPr>
      <w:r w:rsidRPr="00AB68E5">
        <w:rPr>
          <w:rFonts w:ascii="Times New Roman" w:hAnsi="Times New Roman" w:cs="Times New Roman"/>
          <w:sz w:val="22"/>
          <w:szCs w:val="22"/>
          <w:lang w:val="en-US"/>
        </w:rPr>
        <w:t>The following text is a translation of our internal instructions, which are regularly updated to ensure evidence-based solutions and organizational efficiency. The protocol was developed by surgeons, anesthesiologists, and radiologists.</w:t>
      </w:r>
      <w:r w:rsidR="00E4296F">
        <w:rPr>
          <w:rFonts w:ascii="Times New Roman" w:hAnsi="Times New Roman" w:cs="Times New Roman"/>
          <w:sz w:val="22"/>
          <w:szCs w:val="22"/>
          <w:lang w:val="en-US"/>
        </w:rPr>
        <w:t xml:space="preserve"> The protocol is based on international guidelines and validated bundle-care programs for emergency abdominal surgery </w:t>
      </w:r>
      <w:r w:rsidR="00E4296F">
        <w:rPr>
          <w:rFonts w:ascii="Times New Roman" w:hAnsi="Times New Roman" w:cs="Times New Roman"/>
          <w:sz w:val="22"/>
          <w:szCs w:val="22"/>
          <w:lang w:val="en-US"/>
        </w:rPr>
        <w:fldChar w:fldCharType="begin"/>
      </w:r>
      <w:r w:rsidR="00E4296F">
        <w:rPr>
          <w:rFonts w:ascii="Times New Roman" w:hAnsi="Times New Roman" w:cs="Times New Roman"/>
          <w:sz w:val="22"/>
          <w:szCs w:val="22"/>
          <w:lang w:val="en-US"/>
        </w:rPr>
        <w:instrText xml:space="preserve"> ADDIN ZOTERO_ITEM CSL_CITATION {"citationID":"slJl4C6w","properties":{"formattedCitation":"[1\\uc0\\u8211{}5]","plainCitation":"[1–5]","noteIndex":0},"citationItems":[{"id":1167,"uris":["http://zotero.org/users/14431910/items/Q7LJ94SK"],"itemData":{"id":1167,"type":"article-journal","abstract":"BACKGROUND: Acute high-risk abdominal (AHA) surgery carries a very high risk of  morbidity and mortality and represents a massive healthcare burden. The aim of the present study was to evaluate the effect of a standardized multidisciplinary perioperative protocol in patients undergoing AHA surgery. METHODS: The AHA study was a prospective single-centre controlled study in consecutive patients undergoing AHA surgery, defined as major abdominal pathology requiring emergency laparotomy or laparoscopy including reoperations after elective gastrointestinal surgery. Consecutive patients were included after initiation of the AHA protocol as standard care. The intervention cohort was compared with a predefined, consecutive historical cohort of patients from the same department. The protocol involved continuous staff education, consultant-led attention and care, early resuscitation and high-dose antibiotics, surgery within 6 h, perioperative stroke volume-guided haemodynamic optimization, intermediate level of care for the first 24 h after surgery, standardized analgesic treatment, early postoperative ambulation and early enteral nutrition. The primary outcome was 30-day mortality. RESULTS: Six hundred patients were included in the study and compared with 600 historical controls. The unadjusted 30-day mortality rate was 21·8 per cent in the control cohort compared with 15·5 per cent in the intervention cohort (P = 0·005). The 180-day mortality rates were 29·5 and 22·2 per cent respectively (P = 0·004). CONCLUSION: The introduction of a multidisciplinary perioperative protocol was associated with a significant reduction in postoperative mortality in patients undergoing AHA surgery. NCT01899885 (http://www.clinicaltrials.gov).","container-title":"The British journal of surgery","DOI":"10.1002/bjs.10427","ISSN":"1365-2168 (Electronic)","issue":"4","language":"eng","note":"PMID: 28112798\npublisher-place: England\npublisher: AHA study group","page":"463-471","title":"Multidisciplinary perioperative protocol in patients undergoing acute high-risk  abdominal surgery.","volume":"104","author":[{"family":"Tengberg","given":"L T"},{"family":"Bay-Nielsen","given":"M"},{"family":"Bisgaard","given":"T"},{"family":"Cihoric","given":"M"},{"family":"Lauritsen","given":"M L"},{"family":"Foss","given":"N B"}],"issued":{"date-parts":[["2017",3]]}}},{"id":1195,"uris":["http://zotero.org/users/14431910/items/YAD9N3YR"],"itemData":{"id":1195,"type":"article-journal","abstract":"BACKGROUND: Emergency laparotomies in the U.K., U.S.A. and Denmark are known to  have a high risk of death, with accompanying evidence of suboptimal care. The emergency laparotomy pathway quality improvement care (ELPQuiC) bundle is an evidence-based care bundle for patients undergoing emergency laparotomy, consisting of: initial assessment with early warning scores, early antibiotics, interval between decision and operation less than 6 h, goal-directed fluid therapy and postoperative intensive care. METHODS: The ELPQuiC bundle was implemented in four hospitals, using locally identified strategies to assess the impact on risk-adjusted mortality. Comparison of case mix-adjusted 30-day mortality rates before and after care-bundle implementation was made using risk-adjusted cumulative sum (CUSUM) plots and a logistic regression model. RESULTS: Risk-adjusted CUSUM plots showed an increase in the numbers of lives saved per 100 patients treated in all hospitals, from 6.47 in the baseline interval (299 patients included) to 12.44 after implementation (427 patients included) (P &lt; 0.001). The overall case mix-adjusted risk of death decreased from 15.6 to 9.6 per cent (risk ratio 0.614, 95 per cent c.i. 0.451 to 0.836; P = 0.002). There was an increase in the uptake of the ELPQuiC processes but no significant difference in the patient case-mix profile as determined by the mean Portsmouth Physiological and Operative Severity Score for the enUmeration of Mortality and morbidity risk (0.197 and 0.223 before and after implementation respectively; P = 0.395). CONCLUSION: Use of the ELPQuiC bundle was associated with a significant reduction in the risk of death following emergency laparotomy.","container-title":"The British journal of surgery","DOI":"10.1002/bjs.9658","ISSN":"1365-2168 (Electronic)","issue":"1","language":"eng","note":"PMID: 25384994\npublisher-place: England\npublisher: ELPQuiC Collaborator Group","page":"57-66","title":"Use of a pathway quality improvement care bundle to reduce mortality after  emergency laparotomy.","volume":"102","author":[{"family":"Huddart","given":"S"},{"family":"Peden","given":"C J"},{"family":"Swart","given":"M"},{"family":"McCormick","given":"B"},{"family":"Dickinson","given":"M"},{"family":"Mohammed","given":"M A"},{"family":"Quiney","given":"N"}],"issued":{"date-parts":[["2015",1]]}}},{"id":1179,"uris":["http://zotero.org/users/14431910/items/T2ERB2BI"],"itemData":{"id":1179,"type":"article-journal","abstract":"BACKGROUND: Enhanced Recovery After Surgery (ERAS) protocols reduce length of  stay, complications and costs for a large number of elective surgical procedures. A similar, structured approach appears to improve outcomes, including mortality, for patients undergoing high-risk emergency general surgery, and specifically emergency laparotomy. These are the first consensus guidelines for optimal care of these patients using an ERAS approach. METHODS: Experts in aspects of management of the high-risk and emergency general surgical patient were invited to contribute by the International ERAS® Society. Pubmed, Cochrane, Embase, and MEDLINE database searches on English language publications were performed for ERAS elements and relevant specific topics. Studies on each item were selected with particular attention to randomized controlled trials, systematic reviews, meta-analyses and large cohort studies, and reviewed and graded using the Grading of Recommendations, Assessment, Development and Evaluation (GRADE) system. Recommendations were made on the best level of evidence, or extrapolation from studies on non-emergency patients when appropriate. The Delphi method was used to validate final recommendations. The guideline has been divided into two parts: Part 1-Preoperative Care and Part 2-Intraoperative and Postoperative management. This paper provides guidelines for Part 1. RESULTS: Twelve components of preoperative care were considered. Consensus was reached after three rounds. CONCLUSIONS: These guidelines are based on the best available evidence for an ERAS approach to patients undergoing emergency laparotomy. Initial management is particularly important for patients with sepsis and physiological derangement. These guidelines should be used to improve outcomes for these high-risk patients.","container-title":"World journal of surgery","DOI":"10.1007/s00268-021-05994-9","ISSN":"1432-2323 (Electronic)","issue":"5","language":"eng","note":"PMID: 33677649\npublisher-place: United States","page":"1272-1290","title":"Guidelines for Perioperative Care for Emergency Laparotomy Enhanced Recovery  After Surgery (ERAS) Society Recommendations: Part 1-Preoperative: Diagnosis, Rapid Assessment and Optimization.","volume":"45","author":[{"family":"Peden","given":"Carol J"},{"family":"Aggarwal","given":"Geeta"},{"family":"Aitken","given":"Robert J"},{"family":"Anderson","given":"Iain D"},{"family":"Bang Foss","given":"Nicolai"},{"family":"Cooper","given":"Zara"},{"family":"Dhesi","given":"Jugdeep K"},{"family":"French","given":"W Brenton"},{"family":"Grant","given":"Michael C"},{"family":"Hammarqvist","given":"Folke"},{"family":"Hare","given":"Sarah P"},{"family":"Havens","given":"Joaquim M"},{"family":"Holena","given":"Daniel N"},{"family":"Hübner","given":"Martin"},{"family":"Kim","given":"Jeniffer S"},{"family":"Lees","given":"Nicholas P"},{"family":"Ljungqvist","given":"Olle"},{"family":"Lobo","given":"Dileep N"},{"family":"Mohseni","given":"Shahin"},{"family":"Ordoñez","given":"Carlos A"},{"family":"Quiney","given":"Nial"},{"family":"Urman","given":"Richard D"},{"family":"Wick","given":"Elizabeth"},{"family":"Wu","given":"Christopher L"},{"family":"Young-Fadok","given":"Tonia"},{"family":"Scott","given":"Michael"}],"issued":{"date-parts":[["2021",5]]}}},{"id":1261,"uris":["http://zotero.org/users/14431910/items/JNPU7FSU"],"itemData":{"id":1261,"type":"article-journal","abstract":"BACKGROUND: This is Part 2 of the first consensus guidelines for optimal care of  patients undergoing emergency laparotomy (EL) using an Enhanced Recovery After Surgery (ERAS) approach. This paper addresses intra- and postoperative aspects of care. METHODS: Experts in aspects of management of high-risk and emergency general surgical patients were invited to contribute by the International ERAS(®) Society. PubMed, Cochrane, Embase, and Medline database searches were performed for ERAS elements and relevant specific topics. Studies on each item were selected with particular attention to randomized clinical trials, systematic reviews, meta-analyses, and large cohort studies and reviewed and graded using the Grading of Recommendations, Assessment, Development and Evaluation (GRADE) system. Recommendations were made on the best level of evidence, or extrapolation from studies on elective patients when appropriate. A modified Delphi method was used to validate final recommendations. Some ERAS(®) components covered in other guideline papers are outlined only briefly, with the bulk of the text focusing on key areas pertaining specifically to EL. RESULTS: Twenty-three components of intraoperative and postoperative care were defined. Consensus was reached after three rounds of a modified Delphi Process. CONCLUSIONS: These guidelines are based on best available evidence for an ERAS(®) approach to patients undergoing EL. These guidelines are not exhaustive but pull together evidence on important components of care for this high-risk patient population. As much of the evidence is extrapolated from elective surgery or emergency general surgery (not specifically laparotomy), many of the components need further evaluation in future studies.","container-title":"World journal of surgery","DOI":"10.1007/s00268-023-07020-6","ISSN":"1432-2323 (Electronic)","issue":"8","language":"eng","note":"PMID: 37277507\npublisher-place: United States","page":"1850-1880","title":"Consensus Guidelines for Perioperative Care for Emergency Laparotomy Enhanced  Recovery After Surgery (ERAS(®)) Society Recommendations Part 2-Emergency Laparotomy: Intra- and Postoperative Care.","volume":"47","author":[{"family":"Scott","given":"Michael J"},{"family":"Aggarwal","given":"Geeta"},{"family":"Aitken","given":"Robert J"},{"family":"Anderson","given":"Iain D"},{"family":"Balfour","given":"Angie"},{"family":"Foss","given":"Nicolai Bang"},{"family":"Cooper","given":"Zara"},{"family":"Dhesi","given":"Jugdeep K"},{"family":"French","given":"W Brenton"},{"family":"Grant","given":"Michael C"},{"family":"Hammarqvist","given":"Folke"},{"family":"Hare","given":"Sarah P"},{"family":"Havens","given":"Joaquim M"},{"family":"Holena","given":"Daniel N"},{"family":"Hübner","given":"Martin"},{"family":"Johnston","given":"Carolyn"},{"family":"Kim","given":"Jeniffer S"},{"family":"Lees","given":"Nicholas P"},{"family":"Ljungqvist","given":"Olle"},{"family":"Lobo","given":"Dileep N"},{"family":"Mohseni","given":"Shahin"},{"family":"Ordoñez","given":"Carlos A"},{"family":"Quiney","given":"Nial"},{"family":"Sharoky","given":"Catherine"},{"family":"Urman","given":"Richard D"},{"family":"Wick","given":"Elizabeth"},{"family":"Wu","given":"Christopher L"},{"family":"Young-Fadok","given":"Tonia"},{"family":"Peden","given":"Carol J"}],"issued":{"date-parts":[["2023",8]]}}},{"id":1255,"uris":["http://zotero.org/users/14431910/items/J4WWNV3I"],"itemData":{"id":1255,"type":"article-journal","abstract":"BACKGROUND: This is Part 3 of the first consensus guidelines for optimal care of  patients undergoing emergency laparotomy using an enhanced recovery after surgery (ERAS) approach. This paper addresses organizational aspects of care. METHODS: Experts in management of the high-risk and emergency general surgical patient were invited to contribute by the International ERAS® Society. PubMed, Cochrane, Embase, and MEDLINE database searches were performed for ERAS elements and relevant specific topics. Studies were selected with particular attention to randomized clinical trials, systematic reviews, meta-analyses and large cohort studies, and reviewed and graded using the Grading of Recommendations, Assessment, Development and Evaluation system. Recommendations were made on the best level of evidence, or extrapolation from studies on elective patients when appropriate. A modified Delphi method was used to validate final recommendations. RESULTS: Components of organizational aspects of care were considered. Consensus was reached after three rounds of a modified Delphi process. CONCLUSIONS: These guidelines are based on best current available evidence for organizational aspects of an ERAS® approach to patients undergoing emergency laparotomy and include discussion of less common aspects of care for the surgical patient, including end-of-life issues. These guidelines are not exhaustive but pull together evidence on important components of care for this high-risk patient population. As much of the evidence is extrapolated from elective surgery or emergency general surgery (not specifically laparotomy), many of the components need further evaluation in future studies.","container-title":"World journal of surgery","DOI":"10.1007/s00268-023-07039-9","ISSN":"1432-2323 (Electronic)","issue":"8","language":"eng","note":"PMID: 37277506\npublisher-place: United States","page":"1881-1898","title":"Enhanced Recovery After Surgery (ERAS®) Society Consensus Guidelines for  Emergency Laparotomy Part 3: Organizational Aspects and General Considerations for Management of the Emergency Laparotomy Patient.","volume":"47","author":[{"family":"Peden","given":"Carol J"},{"family":"Aggarwal","given":"Geeta"},{"family":"Aitken","given":"Robert J"},{"family":"Anderson","given":"Iain D"},{"family":"Balfour","given":"Angie"},{"family":"Foss","given":"Nicolai Bang"},{"family":"Cooper","given":"Zara"},{"family":"Dhesi","given":"Jugdeep K"},{"family":"French","given":"W Brenton"},{"family":"Grant","given":"Michael C"},{"family":"Hammarqvist","given":"Folke"},{"family":"Hare","given":"Sarah P"},{"family":"Havens","given":"Joaquim M"},{"family":"Holena","given":"Daniel N"},{"family":"Hübner","given":"Martin"},{"family":"Johnston","given":"Carolyn"},{"family":"Kim","given":"Jeniffer S"},{"family":"Lees","given":"Nicholas P"},{"family":"Ljungqvist","given":"Olle"},{"family":"Lobo","given":"Dileep N"},{"family":"Mohseni","given":"Shahin"},{"family":"Ordoñez","given":"Carlos A"},{"family":"Quiney","given":"Nial"},{"family":"Sharoky","given":"Catherine"},{"family":"Urman","given":"Richard D"},{"family":"Wick","given":"Elizabeth"},{"family":"Wu","given":"Christopher L"},{"family":"Young-Fadok","given":"Tonia"},{"family":"Scott","given":"Michael J"}],"issued":{"date-parts":[["2023",8]]}}}],"schema":"https://github.com/citation-style-language/schema/raw/master/csl-citation.json"} </w:instrText>
      </w:r>
      <w:r w:rsidR="00E4296F">
        <w:rPr>
          <w:rFonts w:ascii="Times New Roman" w:hAnsi="Times New Roman" w:cs="Times New Roman"/>
          <w:sz w:val="22"/>
          <w:szCs w:val="22"/>
          <w:lang w:val="en-US"/>
        </w:rPr>
        <w:fldChar w:fldCharType="separate"/>
      </w:r>
      <w:r w:rsidR="00E4296F" w:rsidRPr="00E4296F">
        <w:rPr>
          <w:rFonts w:ascii="Times New Roman" w:hAnsi="Times New Roman" w:cs="Times New Roman"/>
          <w:kern w:val="0"/>
          <w:sz w:val="22"/>
        </w:rPr>
        <w:t>[1–5]</w:t>
      </w:r>
      <w:r w:rsidR="00E4296F">
        <w:rPr>
          <w:rFonts w:ascii="Times New Roman" w:hAnsi="Times New Roman" w:cs="Times New Roman"/>
          <w:sz w:val="22"/>
          <w:szCs w:val="22"/>
          <w:lang w:val="en-US"/>
        </w:rPr>
        <w:fldChar w:fldCharType="end"/>
      </w:r>
      <w:r w:rsidR="00E4296F">
        <w:rPr>
          <w:rFonts w:ascii="Times New Roman" w:hAnsi="Times New Roman" w:cs="Times New Roman"/>
          <w:sz w:val="22"/>
          <w:szCs w:val="22"/>
          <w:lang w:val="en-US"/>
        </w:rPr>
        <w:t>.</w:t>
      </w:r>
    </w:p>
    <w:p w14:paraId="7C31FC7B" w14:textId="5F12EC10"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Purpose</w:t>
      </w:r>
    </w:p>
    <w:p w14:paraId="0B5029A3" w14:textId="6E3AC134"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Target Audience and Scope of Application</w:t>
      </w:r>
    </w:p>
    <w:p w14:paraId="1D59FE6D"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Healthcare personnel at Herlev and Gentofte Hospital.</w:t>
      </w:r>
    </w:p>
    <w:p w14:paraId="43179274" w14:textId="4CD410D3"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The guidance applies to all adult emergency gastrointestinal surgical patients who present at the Emergency Department or are admitted to the clinical ward at Herlev and Gentofte Hospital.</w:t>
      </w:r>
    </w:p>
    <w:p w14:paraId="72CB9068" w14:textId="73F70B89"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Definitions</w:t>
      </w:r>
    </w:p>
    <w:p w14:paraId="066FDBF2"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The AHA pathway involves patients suspected of having an acute high-risk gastrointestinal surgical condition that requires urgent surgical intervention, such as exploratory laparotomy or laparoscopy. This includes conditions such as perforated hollow organs, ileus, and ischemic bowel. The AHA pathway does not include appendectomy or laparoscopic cholecystectomy.</w:t>
      </w:r>
    </w:p>
    <w:p w14:paraId="0C5597A0" w14:textId="385C6EAD"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Subacute High-Risk Abdominal Surgery (Subacute-AHA)</w:t>
      </w:r>
      <w:r w:rsidRPr="00193921">
        <w:rPr>
          <w:rFonts w:ascii="Times New Roman" w:eastAsia="Times New Roman" w:hAnsi="Times New Roman" w:cs="Times New Roman"/>
          <w:kern w:val="0"/>
          <w:sz w:val="22"/>
          <w:szCs w:val="22"/>
          <w:lang w:val="en-US" w:eastAsia="da-DK"/>
          <w14:ligatures w14:val="none"/>
        </w:rPr>
        <w:t xml:space="preserve">: Patients suspected of ileus, where it is deemed that the patient can tolerate and benefit from delaying surgery until the next day. Examples of patients in this group include those who </w:t>
      </w:r>
      <w:r w:rsidR="004B1B30">
        <w:rPr>
          <w:rFonts w:ascii="Times New Roman" w:eastAsia="Times New Roman" w:hAnsi="Times New Roman" w:cs="Times New Roman"/>
          <w:kern w:val="0"/>
          <w:sz w:val="22"/>
          <w:szCs w:val="22"/>
          <w:lang w:val="en-US" w:eastAsia="da-DK"/>
          <w14:ligatures w14:val="none"/>
        </w:rPr>
        <w:t>have undergone</w:t>
      </w:r>
      <w:r w:rsidRPr="00193921">
        <w:rPr>
          <w:rFonts w:ascii="Times New Roman" w:eastAsia="Times New Roman" w:hAnsi="Times New Roman" w:cs="Times New Roman"/>
          <w:kern w:val="0"/>
          <w:sz w:val="22"/>
          <w:szCs w:val="22"/>
          <w:lang w:val="en-US" w:eastAsia="da-DK"/>
          <w14:ligatures w14:val="none"/>
        </w:rPr>
        <w:t xml:space="preserve"> multiple</w:t>
      </w:r>
      <w:r w:rsidR="004B1B30">
        <w:rPr>
          <w:rFonts w:ascii="Times New Roman" w:eastAsia="Times New Roman" w:hAnsi="Times New Roman" w:cs="Times New Roman"/>
          <w:kern w:val="0"/>
          <w:sz w:val="22"/>
          <w:szCs w:val="22"/>
          <w:lang w:val="en-US" w:eastAsia="da-DK"/>
          <w14:ligatures w14:val="none"/>
        </w:rPr>
        <w:t xml:space="preserve"> surgeries</w:t>
      </w:r>
      <w:r w:rsidRPr="00193921">
        <w:rPr>
          <w:rFonts w:ascii="Times New Roman" w:eastAsia="Times New Roman" w:hAnsi="Times New Roman" w:cs="Times New Roman"/>
          <w:kern w:val="0"/>
          <w:sz w:val="22"/>
          <w:szCs w:val="22"/>
          <w:lang w:val="en-US" w:eastAsia="da-DK"/>
          <w14:ligatures w14:val="none"/>
        </w:rPr>
        <w:t xml:space="preserve"> with extensive adhesions or cancer patients with disseminated disease, who are not septic or peritoneal. All other optimization measures should be offered – see exceptions below.</w:t>
      </w:r>
    </w:p>
    <w:p w14:paraId="19CA4D44" w14:textId="4D0EC5E7" w:rsidR="00193921" w:rsidRPr="0015513A"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NELA Score</w:t>
      </w:r>
      <w:r w:rsidRPr="00193921">
        <w:rPr>
          <w:rFonts w:ascii="Times New Roman" w:eastAsia="Times New Roman" w:hAnsi="Times New Roman" w:cs="Times New Roman"/>
          <w:kern w:val="0"/>
          <w:sz w:val="22"/>
          <w:szCs w:val="22"/>
          <w:lang w:val="en-US" w:eastAsia="da-DK"/>
          <w14:ligatures w14:val="none"/>
        </w:rPr>
        <w:t>: Used for risk stratification of gastrointestinal surgical patients, where the predicted 30-day mortality is calculated. Use the mobile app (see below). This is entered by the anesthesiologist.</w:t>
      </w:r>
    </w:p>
    <w:p w14:paraId="0CAB5B5E" w14:textId="7E965095"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Procedure</w:t>
      </w:r>
    </w:p>
    <w:p w14:paraId="24DCE464"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xml:space="preserve">Upon suspicion of a condition that may require major emergency gastrointestinal surgery, the AHA pathway is initiated by a surgical doctor from the Department of Gastrointestinal and Liver Diseases. The patient should fast and refrain from drinking fluids. It is emphasized that it is not critical if the patient is clinically </w:t>
      </w:r>
      <w:r w:rsidRPr="00193921">
        <w:rPr>
          <w:rFonts w:ascii="Times New Roman" w:eastAsia="Times New Roman" w:hAnsi="Times New Roman" w:cs="Times New Roman"/>
          <w:kern w:val="0"/>
          <w:sz w:val="22"/>
          <w:szCs w:val="22"/>
          <w:lang w:val="en-US" w:eastAsia="da-DK"/>
          <w14:ligatures w14:val="none"/>
        </w:rPr>
        <w:lastRenderedPageBreak/>
        <w:t>unwell at triage, but rather if there is suspicion or confirmed abdominal catastrophe that could potentially threaten the patient’s condition. The time factor is crucial, so all steps should be performed as quickly as possible to ensure that early surgical intervention is not delayed.</w:t>
      </w:r>
    </w:p>
    <w:p w14:paraId="37BD9995" w14:textId="679E4D7A"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Description of the Patient Pathway</w:t>
      </w:r>
    </w:p>
    <w:p w14:paraId="7FB9C2BD"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Emergency Department: Suspicion and Inclusion</w:t>
      </w:r>
    </w:p>
    <w:p w14:paraId="1470D628"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It is aimed that patients suspected of AHA are seen within 30 minutes of arrival by:</w:t>
      </w:r>
    </w:p>
    <w:p w14:paraId="47D47BFF" w14:textId="6AD9839C"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xml:space="preserve">• </w:t>
      </w:r>
      <w:r w:rsidRPr="00193921">
        <w:rPr>
          <w:rFonts w:ascii="Times New Roman" w:eastAsia="Times New Roman" w:hAnsi="Times New Roman" w:cs="Times New Roman"/>
          <w:b/>
          <w:bCs/>
          <w:kern w:val="0"/>
          <w:sz w:val="22"/>
          <w:szCs w:val="22"/>
          <w:lang w:val="en-US" w:eastAsia="da-DK"/>
          <w14:ligatures w14:val="none"/>
        </w:rPr>
        <w:t xml:space="preserve">Acute Department </w:t>
      </w:r>
      <w:proofErr w:type="spellStart"/>
      <w:r w:rsidRPr="00193921">
        <w:rPr>
          <w:rFonts w:ascii="Times New Roman" w:eastAsia="Times New Roman" w:hAnsi="Times New Roman" w:cs="Times New Roman"/>
          <w:b/>
          <w:bCs/>
          <w:kern w:val="0"/>
          <w:sz w:val="22"/>
          <w:szCs w:val="22"/>
          <w:lang w:val="en-US" w:eastAsia="da-DK"/>
          <w14:ligatures w14:val="none"/>
        </w:rPr>
        <w:t>Flowmaster</w:t>
      </w:r>
      <w:proofErr w:type="spellEnd"/>
      <w:r w:rsidRPr="00193921">
        <w:rPr>
          <w:rFonts w:ascii="Times New Roman" w:eastAsia="Times New Roman" w:hAnsi="Times New Roman" w:cs="Times New Roman"/>
          <w:b/>
          <w:bCs/>
          <w:kern w:val="0"/>
          <w:sz w:val="22"/>
          <w:szCs w:val="22"/>
          <w:lang w:val="en-US" w:eastAsia="da-DK"/>
          <w14:ligatures w14:val="none"/>
        </w:rPr>
        <w:t xml:space="preserve"> (surgical senior resident)</w:t>
      </w:r>
      <w:r w:rsidRPr="00193921">
        <w:rPr>
          <w:rFonts w:ascii="Times New Roman" w:eastAsia="Times New Roman" w:hAnsi="Times New Roman" w:cs="Times New Roman"/>
          <w:kern w:val="0"/>
          <w:sz w:val="22"/>
          <w:szCs w:val="22"/>
          <w:lang w:val="en-US" w:eastAsia="da-DK"/>
          <w14:ligatures w14:val="none"/>
        </w:rPr>
        <w:t xml:space="preserve"> weekdays 08:00-16:00 </w:t>
      </w:r>
    </w:p>
    <w:p w14:paraId="19D226F4" w14:textId="148EA4DA"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xml:space="preserve">• </w:t>
      </w:r>
      <w:r w:rsidRPr="00193921">
        <w:rPr>
          <w:rFonts w:ascii="Times New Roman" w:eastAsia="Times New Roman" w:hAnsi="Times New Roman" w:cs="Times New Roman"/>
          <w:b/>
          <w:bCs/>
          <w:kern w:val="0"/>
          <w:sz w:val="22"/>
          <w:szCs w:val="22"/>
          <w:lang w:val="en-US" w:eastAsia="da-DK"/>
          <w14:ligatures w14:val="none"/>
        </w:rPr>
        <w:t>Surgical on-call</w:t>
      </w:r>
      <w:r w:rsidRPr="00193921">
        <w:rPr>
          <w:rFonts w:ascii="Times New Roman" w:eastAsia="Times New Roman" w:hAnsi="Times New Roman" w:cs="Times New Roman"/>
          <w:kern w:val="0"/>
          <w:sz w:val="22"/>
          <w:szCs w:val="22"/>
          <w:lang w:val="en-US" w:eastAsia="da-DK"/>
          <w14:ligatures w14:val="none"/>
        </w:rPr>
        <w:t xml:space="preserve"> 16:00-08:00 and weekends/holidays </w:t>
      </w:r>
    </w:p>
    <w:p w14:paraId="04413253" w14:textId="77777777" w:rsidR="004B1B30" w:rsidRDefault="004B1B30" w:rsidP="004B1B30">
      <w:pPr>
        <w:spacing w:before="100" w:beforeAutospacing="1" w:after="100" w:afterAutospacing="1" w:line="360" w:lineRule="auto"/>
        <w:rPr>
          <w:rFonts w:ascii="Times New Roman" w:eastAsia="Times New Roman" w:hAnsi="Times New Roman" w:cs="Times New Roman"/>
          <w:b/>
          <w:bCs/>
          <w:kern w:val="0"/>
          <w:sz w:val="22"/>
          <w:szCs w:val="22"/>
          <w:lang w:val="en-US" w:eastAsia="da-DK"/>
          <w14:ligatures w14:val="none"/>
        </w:rPr>
      </w:pPr>
    </w:p>
    <w:p w14:paraId="4E9FB29A" w14:textId="3F56E94E"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Arrival at the Emergency Department (FAM)</w:t>
      </w:r>
    </w:p>
    <w:p w14:paraId="5F93A45F"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Fasting, IV access (at least one green cannula), blood sampling (including type + BAC test and venous blood gas for GFR calculation) should be prioritized as soon as possible before CT scanning.</w:t>
      </w:r>
    </w:p>
    <w:p w14:paraId="3E15B5F7"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If the patient is septic (score ≥ 2: temperature &gt;38°C or &lt;36°C, heart rate &gt;90, respiratory rate &gt;20, or leukocytes &lt;4 or &gt;12), or scores on the SOFA score (BP &lt;100, respiratory rate &gt;22, or GCS &lt;14), initiate PIP/Tazo (or Cefuroxime 1.5g if penicillin allergic).</w:t>
      </w:r>
    </w:p>
    <w:p w14:paraId="61F29C52"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Venous blood gas should be taken for eGFR calculation based on creatinine.</w:t>
      </w:r>
    </w:p>
    <w:p w14:paraId="19126ECA" w14:textId="42322D15"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xml:space="preserve">Order </w:t>
      </w:r>
      <w:r w:rsidRPr="00193921">
        <w:rPr>
          <w:rFonts w:ascii="Times New Roman" w:eastAsia="Times New Roman" w:hAnsi="Times New Roman" w:cs="Times New Roman"/>
          <w:b/>
          <w:bCs/>
          <w:kern w:val="0"/>
          <w:sz w:val="22"/>
          <w:szCs w:val="22"/>
          <w:lang w:val="en-US" w:eastAsia="da-DK"/>
          <w14:ligatures w14:val="none"/>
        </w:rPr>
        <w:t>CT-AHA</w:t>
      </w:r>
      <w:r w:rsidRPr="00193921">
        <w:rPr>
          <w:rFonts w:ascii="Times New Roman" w:eastAsia="Times New Roman" w:hAnsi="Times New Roman" w:cs="Times New Roman"/>
          <w:kern w:val="0"/>
          <w:sz w:val="22"/>
          <w:szCs w:val="22"/>
          <w:lang w:val="en-US" w:eastAsia="da-DK"/>
          <w14:ligatures w14:val="none"/>
        </w:rPr>
        <w:t>.</w:t>
      </w:r>
      <w:r w:rsidR="00AB68E5">
        <w:rPr>
          <w:rFonts w:ascii="Times New Roman" w:eastAsia="Times New Roman" w:hAnsi="Times New Roman" w:cs="Times New Roman"/>
          <w:kern w:val="0"/>
          <w:sz w:val="22"/>
          <w:szCs w:val="22"/>
          <w:lang w:val="en-US" w:eastAsia="da-DK"/>
          <w14:ligatures w14:val="none"/>
        </w:rPr>
        <w:t xml:space="preserve"> </w:t>
      </w:r>
      <w:r w:rsidR="00AB68E5" w:rsidRPr="00AB68E5">
        <w:rPr>
          <w:rFonts w:ascii="Times New Roman" w:eastAsia="Times New Roman" w:hAnsi="Times New Roman" w:cs="Times New Roman"/>
          <w:kern w:val="0"/>
          <w:sz w:val="22"/>
          <w:szCs w:val="22"/>
          <w:lang w:val="en-US" w:eastAsia="da-DK"/>
          <w14:ligatures w14:val="none"/>
        </w:rPr>
        <w:t>CT-AHA is prioritized over other CT scans and takes precedence in the queue. The scan must be completed within 30 minutes.</w:t>
      </w:r>
    </w:p>
    <w:p w14:paraId="7330FE5E"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If necessary:</w:t>
      </w:r>
    </w:p>
    <w:p w14:paraId="399B44D3"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Place gastric tube for suction</w:t>
      </w:r>
    </w:p>
    <w:p w14:paraId="14AC230E"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Oxygen via nasal cannula</w:t>
      </w:r>
    </w:p>
    <w:p w14:paraId="2AC97FBE"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Fluid treatment</w:t>
      </w:r>
    </w:p>
    <w:p w14:paraId="0F366395"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Pain management</w:t>
      </w:r>
    </w:p>
    <w:p w14:paraId="34971083"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22615313"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Time is crucial in this pathway</w:t>
      </w:r>
      <w:r w:rsidRPr="00193921">
        <w:rPr>
          <w:rFonts w:ascii="Times New Roman" w:eastAsia="Times New Roman" w:hAnsi="Times New Roman" w:cs="Times New Roman"/>
          <w:kern w:val="0"/>
          <w:sz w:val="22"/>
          <w:szCs w:val="22"/>
          <w:lang w:val="en-US" w:eastAsia="da-DK"/>
          <w14:ligatures w14:val="none"/>
        </w:rPr>
        <w:t>. At every transition in the patient pathway, healthcare personnel should ensure that care or treatment tasks from the previous location that have not been completed are performed.</w:t>
      </w:r>
    </w:p>
    <w:p w14:paraId="5436F1F4" w14:textId="77777777"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Subacute AHA:</w:t>
      </w:r>
    </w:p>
    <w:p w14:paraId="6A5B6C4C" w14:textId="680AFE4A" w:rsid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Subacute high-risk abdominal surgery (subacute-AHA) patients do not require a CT-AHA but can undergo a regular CT scan if it is clinically assessed that early surgery is not immediately beneficial.</w:t>
      </w:r>
    </w:p>
    <w:p w14:paraId="50EA05A5" w14:textId="77777777" w:rsidR="000C4EB6" w:rsidRPr="000C4EB6" w:rsidRDefault="000C4EB6"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57DBCC3C" w14:textId="43CAEBF6"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Radiological Diagnostics</w:t>
      </w:r>
    </w:p>
    <w:p w14:paraId="2697B598" w14:textId="5BC57DFA"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xml:space="preserve">The gastrointestinal surgeon or doctor in the clinical department orders </w:t>
      </w:r>
      <w:r w:rsidRPr="00193921">
        <w:rPr>
          <w:rFonts w:ascii="Times New Roman" w:eastAsia="Times New Roman" w:hAnsi="Times New Roman" w:cs="Times New Roman"/>
          <w:b/>
          <w:bCs/>
          <w:kern w:val="0"/>
          <w:sz w:val="22"/>
          <w:szCs w:val="22"/>
          <w:lang w:val="en-US" w:eastAsia="da-DK"/>
          <w14:ligatures w14:val="none"/>
        </w:rPr>
        <w:t>CT-AHA (abdomen)</w:t>
      </w:r>
      <w:r w:rsidRPr="00193921">
        <w:rPr>
          <w:rFonts w:ascii="Times New Roman" w:eastAsia="Times New Roman" w:hAnsi="Times New Roman" w:cs="Times New Roman"/>
          <w:kern w:val="0"/>
          <w:sz w:val="22"/>
          <w:szCs w:val="22"/>
          <w:lang w:val="en-US" w:eastAsia="da-DK"/>
          <w14:ligatures w14:val="none"/>
        </w:rPr>
        <w:t xml:space="preserve"> in </w:t>
      </w:r>
      <w:r w:rsidR="0015513A">
        <w:rPr>
          <w:rFonts w:ascii="Times New Roman" w:eastAsia="Times New Roman" w:hAnsi="Times New Roman" w:cs="Times New Roman"/>
          <w:kern w:val="0"/>
          <w:sz w:val="22"/>
          <w:szCs w:val="22"/>
          <w:lang w:val="en-US" w:eastAsia="da-DK"/>
          <w14:ligatures w14:val="none"/>
        </w:rPr>
        <w:t>EPIC</w:t>
      </w:r>
      <w:r w:rsidRPr="00193921">
        <w:rPr>
          <w:rFonts w:ascii="Times New Roman" w:eastAsia="Times New Roman" w:hAnsi="Times New Roman" w:cs="Times New Roman"/>
          <w:kern w:val="0"/>
          <w:sz w:val="22"/>
          <w:szCs w:val="22"/>
          <w:lang w:val="en-US" w:eastAsia="da-DK"/>
          <w14:ligatures w14:val="none"/>
        </w:rPr>
        <w:t xml:space="preserve"> and contacts the radiologist</w:t>
      </w:r>
      <w:r w:rsidR="004B1B30">
        <w:rPr>
          <w:rFonts w:ascii="Times New Roman" w:eastAsia="Times New Roman" w:hAnsi="Times New Roman" w:cs="Times New Roman"/>
          <w:kern w:val="0"/>
          <w:sz w:val="22"/>
          <w:szCs w:val="22"/>
          <w:lang w:val="en-US" w:eastAsia="da-DK"/>
          <w14:ligatures w14:val="none"/>
        </w:rPr>
        <w:t>.</w:t>
      </w:r>
    </w:p>
    <w:p w14:paraId="251E4D14" w14:textId="15902D2F"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b/>
          <w:bCs/>
          <w:kern w:val="0"/>
          <w:sz w:val="22"/>
          <w:szCs w:val="22"/>
          <w:lang w:val="en-US" w:eastAsia="da-DK"/>
          <w14:ligatures w14:val="none"/>
        </w:rPr>
        <w:t xml:space="preserve">After </w:t>
      </w:r>
      <w:r w:rsidR="0015513A" w:rsidRPr="00193921">
        <w:rPr>
          <w:rFonts w:ascii="Times New Roman" w:eastAsia="Times New Roman" w:hAnsi="Times New Roman" w:cs="Times New Roman"/>
          <w:b/>
          <w:bCs/>
          <w:kern w:val="0"/>
          <w:sz w:val="22"/>
          <w:szCs w:val="22"/>
          <w:lang w:val="en-US" w:eastAsia="da-DK"/>
          <w14:ligatures w14:val="none"/>
        </w:rPr>
        <w:t>CT scan</w:t>
      </w:r>
      <w:r w:rsidRPr="00193921">
        <w:rPr>
          <w:rFonts w:ascii="Times New Roman" w:eastAsia="Times New Roman" w:hAnsi="Times New Roman" w:cs="Times New Roman"/>
          <w:b/>
          <w:bCs/>
          <w:kern w:val="0"/>
          <w:sz w:val="22"/>
          <w:szCs w:val="22"/>
          <w:lang w:val="en-US" w:eastAsia="da-DK"/>
          <w14:ligatures w14:val="none"/>
        </w:rPr>
        <w:t>:</w:t>
      </w:r>
    </w:p>
    <w:p w14:paraId="4041CC44" w14:textId="0AB6A7BD"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The gastrointestinal surgeon (surgical FAM senior resident or surgical middle shift) will immediately confer with the radiologist about the indication for surgery. Meanwhile, the patient is returned to their bed in FAM. If the patient comes from the clinical department, they will wait for clarification at the CT scanner in FAM.</w:t>
      </w:r>
    </w:p>
    <w:p w14:paraId="3746251F" w14:textId="1907D00F" w:rsidR="00193921" w:rsidRPr="00193921"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93921">
        <w:rPr>
          <w:rFonts w:ascii="Times New Roman" w:eastAsia="Times New Roman" w:hAnsi="Times New Roman" w:cs="Times New Roman"/>
          <w:kern w:val="0"/>
          <w:sz w:val="22"/>
          <w:szCs w:val="22"/>
          <w:lang w:val="en-US" w:eastAsia="da-DK"/>
          <w14:ligatures w14:val="none"/>
        </w:rPr>
        <w:t xml:space="preserve">If the CT scan shows an indication for emergency surgery, the patient is prepared for surgery in FAM. If the patient is from the clinical department, they are transferred to Recovery Room </w:t>
      </w:r>
      <w:r w:rsidR="00AB68E5">
        <w:rPr>
          <w:rFonts w:ascii="Times New Roman" w:eastAsia="Times New Roman" w:hAnsi="Times New Roman" w:cs="Times New Roman"/>
          <w:kern w:val="0"/>
          <w:sz w:val="22"/>
          <w:szCs w:val="22"/>
          <w:lang w:val="en-US" w:eastAsia="da-DK"/>
          <w14:ligatures w14:val="none"/>
        </w:rPr>
        <w:t>(PACU)</w:t>
      </w:r>
      <w:r w:rsidRPr="00193921">
        <w:rPr>
          <w:rFonts w:ascii="Times New Roman" w:eastAsia="Times New Roman" w:hAnsi="Times New Roman" w:cs="Times New Roman"/>
          <w:kern w:val="0"/>
          <w:sz w:val="22"/>
          <w:szCs w:val="22"/>
          <w:lang w:val="en-US" w:eastAsia="da-DK"/>
          <w14:ligatures w14:val="none"/>
        </w:rPr>
        <w:t xml:space="preserve"> for preparation.</w:t>
      </w:r>
      <w:r w:rsidR="00AB68E5">
        <w:rPr>
          <w:rFonts w:ascii="Times New Roman" w:eastAsia="Times New Roman" w:hAnsi="Times New Roman" w:cs="Times New Roman"/>
          <w:kern w:val="0"/>
          <w:sz w:val="22"/>
          <w:szCs w:val="22"/>
          <w:lang w:val="en-US" w:eastAsia="da-DK"/>
          <w14:ligatures w14:val="none"/>
        </w:rPr>
        <w:t xml:space="preserve"> </w:t>
      </w:r>
      <w:r w:rsidR="00AB68E5" w:rsidRPr="00AB68E5">
        <w:rPr>
          <w:rFonts w:ascii="Times New Roman" w:eastAsia="Times New Roman" w:hAnsi="Times New Roman" w:cs="Times New Roman"/>
          <w:kern w:val="0"/>
          <w:sz w:val="22"/>
          <w:szCs w:val="22"/>
          <w:lang w:val="en-US" w:eastAsia="da-DK"/>
          <w14:ligatures w14:val="none"/>
        </w:rPr>
        <w:t>Surgery must be initiated within 6 hours.</w:t>
      </w:r>
    </w:p>
    <w:p w14:paraId="699BFB8C"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t>Preoperative Optimization</w:t>
      </w:r>
    </w:p>
    <w:p w14:paraId="200E1CF4"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TED stockings</w:t>
      </w:r>
      <w:r w:rsidRPr="0015513A">
        <w:rPr>
          <w:rFonts w:ascii="Times New Roman" w:eastAsia="Times New Roman" w:hAnsi="Times New Roman" w:cs="Times New Roman"/>
          <w:kern w:val="0"/>
          <w:sz w:val="22"/>
          <w:szCs w:val="22"/>
          <w:lang w:val="en-US" w:eastAsia="da-DK"/>
          <w14:ligatures w14:val="none"/>
        </w:rPr>
        <w:t xml:space="preserve"> applied if indicated.</w:t>
      </w:r>
    </w:p>
    <w:p w14:paraId="5879701D"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proofErr w:type="spellStart"/>
      <w:r w:rsidRPr="0015513A">
        <w:rPr>
          <w:rFonts w:ascii="Times New Roman" w:eastAsia="Times New Roman" w:hAnsi="Times New Roman" w:cs="Times New Roman"/>
          <w:b/>
          <w:bCs/>
          <w:kern w:val="0"/>
          <w:sz w:val="22"/>
          <w:szCs w:val="22"/>
          <w:lang w:val="en-US" w:eastAsia="da-DK"/>
          <w14:ligatures w14:val="none"/>
        </w:rPr>
        <w:t>Innohep</w:t>
      </w:r>
      <w:proofErr w:type="spellEnd"/>
      <w:r w:rsidRPr="0015513A">
        <w:rPr>
          <w:rFonts w:ascii="Times New Roman" w:eastAsia="Times New Roman" w:hAnsi="Times New Roman" w:cs="Times New Roman"/>
          <w:b/>
          <w:bCs/>
          <w:kern w:val="0"/>
          <w:sz w:val="22"/>
          <w:szCs w:val="22"/>
          <w:lang w:val="en-US" w:eastAsia="da-DK"/>
          <w14:ligatures w14:val="none"/>
        </w:rPr>
        <w:t xml:space="preserve"> 3500 IU</w:t>
      </w:r>
      <w:r w:rsidRPr="0015513A">
        <w:rPr>
          <w:rFonts w:ascii="Times New Roman" w:eastAsia="Times New Roman" w:hAnsi="Times New Roman" w:cs="Times New Roman"/>
          <w:kern w:val="0"/>
          <w:sz w:val="22"/>
          <w:szCs w:val="22"/>
          <w:lang w:val="en-US" w:eastAsia="da-DK"/>
          <w14:ligatures w14:val="none"/>
        </w:rPr>
        <w:t xml:space="preserve"> ordered.</w:t>
      </w:r>
    </w:p>
    <w:p w14:paraId="45CF0092"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IV antibiotics</w:t>
      </w:r>
      <w:r w:rsidRPr="0015513A">
        <w:rPr>
          <w:rFonts w:ascii="Times New Roman" w:eastAsia="Times New Roman" w:hAnsi="Times New Roman" w:cs="Times New Roman"/>
          <w:kern w:val="0"/>
          <w:sz w:val="22"/>
          <w:szCs w:val="22"/>
          <w:lang w:val="en-US" w:eastAsia="da-DK"/>
          <w14:ligatures w14:val="none"/>
        </w:rPr>
        <w:t>: Piperacillin/Tazobactam 4g (if not already administered). For penicillin allergy, give Cefuroxime 1.5g.</w:t>
      </w:r>
    </w:p>
    <w:p w14:paraId="3155BA6E" w14:textId="1B904306"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Metronidazole 1.5g</w:t>
      </w:r>
      <w:r w:rsidRPr="0015513A">
        <w:rPr>
          <w:rFonts w:ascii="Times New Roman" w:eastAsia="Times New Roman" w:hAnsi="Times New Roman" w:cs="Times New Roman"/>
          <w:kern w:val="0"/>
          <w:sz w:val="22"/>
          <w:szCs w:val="22"/>
          <w:lang w:val="en-US" w:eastAsia="da-DK"/>
          <w14:ligatures w14:val="none"/>
        </w:rPr>
        <w:t xml:space="preserve"> should be administered if time permits, otherwise it will be administered in Recovery Room </w:t>
      </w:r>
      <w:r w:rsidR="00AB68E5">
        <w:rPr>
          <w:rFonts w:ascii="Times New Roman" w:eastAsia="Times New Roman" w:hAnsi="Times New Roman" w:cs="Times New Roman"/>
          <w:kern w:val="0"/>
          <w:sz w:val="22"/>
          <w:szCs w:val="22"/>
          <w:lang w:val="en-US" w:eastAsia="da-DK"/>
          <w14:ligatures w14:val="none"/>
        </w:rPr>
        <w:t>(PACU)</w:t>
      </w:r>
      <w:r w:rsidRPr="0015513A">
        <w:rPr>
          <w:rFonts w:ascii="Times New Roman" w:eastAsia="Times New Roman" w:hAnsi="Times New Roman" w:cs="Times New Roman"/>
          <w:kern w:val="0"/>
          <w:sz w:val="22"/>
          <w:szCs w:val="22"/>
          <w:lang w:val="en-US" w:eastAsia="da-DK"/>
          <w14:ligatures w14:val="none"/>
        </w:rPr>
        <w:t xml:space="preserve"> or in the operating room.</w:t>
      </w:r>
    </w:p>
    <w:p w14:paraId="40DDDC30"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4682C8C7" w14:textId="130170FE"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Inform the anesthesiologist and surgical on-call resident about the AHA patient who will be received in Recovery Room </w:t>
      </w:r>
      <w:r w:rsidR="004B1B30">
        <w:rPr>
          <w:rFonts w:ascii="Times New Roman" w:eastAsia="Times New Roman" w:hAnsi="Times New Roman" w:cs="Times New Roman"/>
          <w:kern w:val="0"/>
          <w:sz w:val="22"/>
          <w:szCs w:val="22"/>
          <w:lang w:val="en-US" w:eastAsia="da-DK"/>
          <w14:ligatures w14:val="none"/>
        </w:rPr>
        <w:t>(PACU).</w:t>
      </w:r>
    </w:p>
    <w:p w14:paraId="47896DAC" w14:textId="39587313" w:rsidR="00193921" w:rsidRPr="004B1B30"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The anesthesiologist and gastrointestinal surgeon coordinating the acute surgical bed will prioritize the operation.</w:t>
      </w:r>
    </w:p>
    <w:p w14:paraId="7B6014C4"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t>If there is no indication for surgery, the patient will return to the Emergency Department or clinical department.</w:t>
      </w:r>
      <w:r w:rsidRPr="0015513A">
        <w:rPr>
          <w:rFonts w:ascii="Times New Roman" w:eastAsia="Times New Roman" w:hAnsi="Times New Roman" w:cs="Times New Roman"/>
          <w:kern w:val="0"/>
          <w:sz w:val="22"/>
          <w:szCs w:val="22"/>
          <w:lang w:val="en-US" w:eastAsia="da-DK"/>
          <w14:ligatures w14:val="none"/>
        </w:rPr>
        <w:t xml:space="preserve"> A decision should be made about discontinuing orders and further planning.</w:t>
      </w:r>
    </w:p>
    <w:p w14:paraId="3009ABA6"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7FE6015F" w14:textId="11437F9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The patient should be prioritized for surgery on the first available operating table and the case should be booked as an AHA procedure.</w:t>
      </w:r>
    </w:p>
    <w:p w14:paraId="35CF8CD4"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Conference points:</w:t>
      </w:r>
    </w:p>
    <w:p w14:paraId="765A6978"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1. </w:t>
      </w:r>
      <w:r w:rsidRPr="0015513A">
        <w:rPr>
          <w:rFonts w:ascii="Times New Roman" w:eastAsia="Times New Roman" w:hAnsi="Times New Roman" w:cs="Times New Roman"/>
          <w:b/>
          <w:bCs/>
          <w:kern w:val="0"/>
          <w:sz w:val="22"/>
          <w:szCs w:val="22"/>
          <w:lang w:val="en-US" w:eastAsia="da-DK"/>
          <w14:ligatures w14:val="none"/>
        </w:rPr>
        <w:t>Treatment limit</w:t>
      </w:r>
      <w:r w:rsidRPr="0015513A">
        <w:rPr>
          <w:rFonts w:ascii="Times New Roman" w:eastAsia="Times New Roman" w:hAnsi="Times New Roman" w:cs="Times New Roman"/>
          <w:kern w:val="0"/>
          <w:sz w:val="22"/>
          <w:szCs w:val="22"/>
          <w:lang w:val="en-US" w:eastAsia="da-DK"/>
          <w14:ligatures w14:val="none"/>
        </w:rPr>
        <w:t xml:space="preserve"> (in consultation with anesthesiology on-call)</w:t>
      </w:r>
    </w:p>
    <w:p w14:paraId="058D133D"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2. </w:t>
      </w:r>
      <w:r w:rsidRPr="0015513A">
        <w:rPr>
          <w:rFonts w:ascii="Times New Roman" w:eastAsia="Times New Roman" w:hAnsi="Times New Roman" w:cs="Times New Roman"/>
          <w:b/>
          <w:bCs/>
          <w:kern w:val="0"/>
          <w:sz w:val="22"/>
          <w:szCs w:val="22"/>
          <w:lang w:val="en-US" w:eastAsia="da-DK"/>
          <w14:ligatures w14:val="none"/>
        </w:rPr>
        <w:t>ASA ≥4</w:t>
      </w:r>
      <w:r w:rsidRPr="0015513A">
        <w:rPr>
          <w:rFonts w:ascii="Times New Roman" w:eastAsia="Times New Roman" w:hAnsi="Times New Roman" w:cs="Times New Roman"/>
          <w:kern w:val="0"/>
          <w:sz w:val="22"/>
          <w:szCs w:val="22"/>
          <w:lang w:val="en-US" w:eastAsia="da-DK"/>
          <w14:ligatures w14:val="none"/>
        </w:rPr>
        <w:t xml:space="preserve"> or severe comorbidity/organ dysfunction: Involvement of the anesthesiologist before offering surgery to the patient/family (Final decision on the operation is made by the surgical on-call resident)</w:t>
      </w:r>
    </w:p>
    <w:p w14:paraId="1027BB31"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3. </w:t>
      </w:r>
      <w:r w:rsidRPr="0015513A">
        <w:rPr>
          <w:rFonts w:ascii="Times New Roman" w:eastAsia="Times New Roman" w:hAnsi="Times New Roman" w:cs="Times New Roman"/>
          <w:b/>
          <w:bCs/>
          <w:kern w:val="0"/>
          <w:sz w:val="22"/>
          <w:szCs w:val="22"/>
          <w:lang w:val="en-US" w:eastAsia="da-DK"/>
          <w14:ligatures w14:val="none"/>
        </w:rPr>
        <w:t>Indication for laparoscopic vs laparotomy</w:t>
      </w:r>
      <w:r w:rsidRPr="0015513A">
        <w:rPr>
          <w:rFonts w:ascii="Times New Roman" w:eastAsia="Times New Roman" w:hAnsi="Times New Roman" w:cs="Times New Roman"/>
          <w:kern w:val="0"/>
          <w:sz w:val="22"/>
          <w:szCs w:val="22"/>
          <w:lang w:val="en-US" w:eastAsia="da-DK"/>
          <w14:ligatures w14:val="none"/>
        </w:rPr>
        <w:t xml:space="preserve"> and other special considerations</w:t>
      </w:r>
    </w:p>
    <w:p w14:paraId="5F450AD6"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4. </w:t>
      </w:r>
      <w:r w:rsidRPr="0015513A">
        <w:rPr>
          <w:rFonts w:ascii="Times New Roman" w:eastAsia="Times New Roman" w:hAnsi="Times New Roman" w:cs="Times New Roman"/>
          <w:b/>
          <w:bCs/>
          <w:kern w:val="0"/>
          <w:sz w:val="22"/>
          <w:szCs w:val="22"/>
          <w:lang w:val="en-US" w:eastAsia="da-DK"/>
          <w14:ligatures w14:val="none"/>
        </w:rPr>
        <w:t>AHA pre-assessment form</w:t>
      </w:r>
      <w:r w:rsidRPr="0015513A">
        <w:rPr>
          <w:rFonts w:ascii="Times New Roman" w:eastAsia="Times New Roman" w:hAnsi="Times New Roman" w:cs="Times New Roman"/>
          <w:kern w:val="0"/>
          <w:sz w:val="22"/>
          <w:szCs w:val="22"/>
          <w:lang w:val="en-US" w:eastAsia="da-DK"/>
          <w14:ligatures w14:val="none"/>
        </w:rPr>
        <w:t xml:space="preserve"> should be filled out</w:t>
      </w:r>
    </w:p>
    <w:p w14:paraId="76BD8AE1" w14:textId="0C6A57A4"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5. </w:t>
      </w:r>
      <w:r w:rsidR="004B1B30">
        <w:rPr>
          <w:rFonts w:ascii="Times New Roman" w:eastAsia="Times New Roman" w:hAnsi="Times New Roman" w:cs="Times New Roman"/>
          <w:b/>
          <w:bCs/>
          <w:kern w:val="0"/>
          <w:sz w:val="22"/>
          <w:szCs w:val="22"/>
          <w:lang w:val="en-US" w:eastAsia="da-DK"/>
          <w14:ligatures w14:val="none"/>
        </w:rPr>
        <w:t>Preoperative identification and consent</w:t>
      </w:r>
      <w:r w:rsidRPr="0015513A">
        <w:rPr>
          <w:rFonts w:ascii="Times New Roman" w:eastAsia="Times New Roman" w:hAnsi="Times New Roman" w:cs="Times New Roman"/>
          <w:kern w:val="0"/>
          <w:sz w:val="22"/>
          <w:szCs w:val="22"/>
          <w:lang w:val="en-US" w:eastAsia="da-DK"/>
          <w14:ligatures w14:val="none"/>
        </w:rPr>
        <w:t xml:space="preserve"> should be completed</w:t>
      </w:r>
    </w:p>
    <w:p w14:paraId="6085E374"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0B73D3CD"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t>Subacute AHA:</w:t>
      </w:r>
    </w:p>
    <w:p w14:paraId="75912035"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For a patient who requires subacute high-risk abdominal surgery, book the patient via the regular AHA pathway, but change the case booking to “AHA subacute.” The patient remains in the ward until surgery is performed.</w:t>
      </w:r>
    </w:p>
    <w:p w14:paraId="6FB1A102"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b/>
          <w:bCs/>
          <w:kern w:val="0"/>
          <w:sz w:val="22"/>
          <w:szCs w:val="22"/>
          <w:lang w:val="en-US" w:eastAsia="da-DK"/>
          <w14:ligatures w14:val="none"/>
        </w:rPr>
      </w:pPr>
    </w:p>
    <w:p w14:paraId="3749F200" w14:textId="572215D3"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lastRenderedPageBreak/>
        <w:t>Postoperative Course</w:t>
      </w:r>
    </w:p>
    <w:p w14:paraId="2AD5C4E4"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The surgeon writes the operative report, including decisions regarding continued use of tubes (for suction or overflow), nutrition plan, pain management, etc. The completion of the </w:t>
      </w:r>
      <w:proofErr w:type="spellStart"/>
      <w:r w:rsidRPr="0015513A">
        <w:rPr>
          <w:rFonts w:ascii="Times New Roman" w:eastAsia="Times New Roman" w:hAnsi="Times New Roman" w:cs="Times New Roman"/>
          <w:kern w:val="0"/>
          <w:sz w:val="22"/>
          <w:szCs w:val="22"/>
          <w:lang w:val="en-US" w:eastAsia="da-DK"/>
          <w14:ligatures w14:val="none"/>
        </w:rPr>
        <w:t>peroperative</w:t>
      </w:r>
      <w:proofErr w:type="spellEnd"/>
      <w:r w:rsidRPr="0015513A">
        <w:rPr>
          <w:rFonts w:ascii="Times New Roman" w:eastAsia="Times New Roman" w:hAnsi="Times New Roman" w:cs="Times New Roman"/>
          <w:kern w:val="0"/>
          <w:sz w:val="22"/>
          <w:szCs w:val="22"/>
          <w:lang w:val="en-US" w:eastAsia="da-DK"/>
          <w14:ligatures w14:val="none"/>
        </w:rPr>
        <w:t xml:space="preserve"> AHA form should be done with planning.</w:t>
      </w:r>
    </w:p>
    <w:p w14:paraId="38CD1915"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b/>
          <w:bCs/>
          <w:kern w:val="0"/>
          <w:sz w:val="22"/>
          <w:szCs w:val="22"/>
          <w:lang w:val="en-US" w:eastAsia="da-DK"/>
          <w14:ligatures w14:val="none"/>
        </w:rPr>
      </w:pPr>
    </w:p>
    <w:p w14:paraId="00BA82F6" w14:textId="1106E6C1"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t>Recovery</w:t>
      </w:r>
      <w:r>
        <w:rPr>
          <w:rFonts w:ascii="Times New Roman" w:eastAsia="Times New Roman" w:hAnsi="Times New Roman" w:cs="Times New Roman"/>
          <w:b/>
          <w:bCs/>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Postoperative Care Unit (PACU)</w:t>
      </w:r>
    </w:p>
    <w:p w14:paraId="1C0F3A17" w14:textId="55DBA018"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Immediately postoperatively, the patient should be NELA scored by the anesthesiologist, and based on the 30-day mortality, the patient should be assigned to a differentiated postoperative pathway via the Perioperative Risk calculator app.</w:t>
      </w:r>
    </w:p>
    <w:p w14:paraId="0F3443A3"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30-day mortality estimated with NELA score and postoperative recovery status:</w:t>
      </w:r>
    </w:p>
    <w:p w14:paraId="631373AE"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0-4.9%</w:t>
      </w:r>
      <w:r w:rsidRPr="0015513A">
        <w:rPr>
          <w:rFonts w:ascii="Times New Roman" w:eastAsia="Times New Roman" w:hAnsi="Times New Roman" w:cs="Times New Roman"/>
          <w:kern w:val="0"/>
          <w:sz w:val="22"/>
          <w:szCs w:val="22"/>
          <w:lang w:val="en-US" w:eastAsia="da-DK"/>
          <w14:ligatures w14:val="none"/>
        </w:rPr>
        <w:t>: Standard recovery</w:t>
      </w:r>
    </w:p>
    <w:p w14:paraId="7C49C9E3"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5-9.9%</w:t>
      </w:r>
      <w:r w:rsidRPr="0015513A">
        <w:rPr>
          <w:rFonts w:ascii="Times New Roman" w:eastAsia="Times New Roman" w:hAnsi="Times New Roman" w:cs="Times New Roman"/>
          <w:kern w:val="0"/>
          <w:sz w:val="22"/>
          <w:szCs w:val="22"/>
          <w:lang w:val="en-US" w:eastAsia="da-DK"/>
          <w14:ligatures w14:val="none"/>
        </w:rPr>
        <w:t>: 12-hour recovery</w:t>
      </w:r>
    </w:p>
    <w:p w14:paraId="7D828724" w14:textId="6599A4B0"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xml:space="preserve">• </w:t>
      </w:r>
      <w:r w:rsidRPr="0015513A">
        <w:rPr>
          <w:rFonts w:ascii="Times New Roman" w:eastAsia="Times New Roman" w:hAnsi="Times New Roman" w:cs="Times New Roman"/>
          <w:b/>
          <w:bCs/>
          <w:kern w:val="0"/>
          <w:sz w:val="22"/>
          <w:szCs w:val="22"/>
          <w:lang w:val="en-US" w:eastAsia="da-DK"/>
          <w14:ligatures w14:val="none"/>
        </w:rPr>
        <w:t>&gt;10%</w:t>
      </w:r>
      <w:r w:rsidRPr="0015513A">
        <w:rPr>
          <w:rFonts w:ascii="Times New Roman" w:eastAsia="Times New Roman" w:hAnsi="Times New Roman" w:cs="Times New Roman"/>
          <w:kern w:val="0"/>
          <w:sz w:val="22"/>
          <w:szCs w:val="22"/>
          <w:lang w:val="en-US" w:eastAsia="da-DK"/>
          <w14:ligatures w14:val="none"/>
        </w:rPr>
        <w:t>: 24-hour recovery</w:t>
      </w:r>
    </w:p>
    <w:p w14:paraId="13876FE9"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Postoperative rounds should be done by anesthesiology and surgical on-call (or their delegated personnel), focusing on:</w:t>
      </w:r>
    </w:p>
    <w:p w14:paraId="4DDCEC79"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Pain management</w:t>
      </w:r>
    </w:p>
    <w:p w14:paraId="2F68CBF4"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Consciousness – including delirium</w:t>
      </w:r>
    </w:p>
    <w:p w14:paraId="62651BFE"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Respiratory function (PEEP/</w:t>
      </w:r>
      <w:proofErr w:type="spellStart"/>
      <w:r w:rsidRPr="0015513A">
        <w:rPr>
          <w:rFonts w:ascii="Times New Roman" w:eastAsia="Times New Roman" w:hAnsi="Times New Roman" w:cs="Times New Roman"/>
          <w:kern w:val="0"/>
          <w:sz w:val="22"/>
          <w:szCs w:val="22"/>
          <w:lang w:val="en-US" w:eastAsia="da-DK"/>
          <w14:ligatures w14:val="none"/>
        </w:rPr>
        <w:t>cpap</w:t>
      </w:r>
      <w:proofErr w:type="spellEnd"/>
      <w:r w:rsidRPr="0015513A">
        <w:rPr>
          <w:rFonts w:ascii="Times New Roman" w:eastAsia="Times New Roman" w:hAnsi="Times New Roman" w:cs="Times New Roman"/>
          <w:kern w:val="0"/>
          <w:sz w:val="22"/>
          <w:szCs w:val="22"/>
          <w:lang w:val="en-US" w:eastAsia="da-DK"/>
          <w14:ligatures w14:val="none"/>
        </w:rPr>
        <w:t>)</w:t>
      </w:r>
    </w:p>
    <w:p w14:paraId="5BEFBCA2"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Fluid status and fluid management plan</w:t>
      </w:r>
    </w:p>
    <w:p w14:paraId="17247922"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Antibiotic plan (as indicated in operative report)</w:t>
      </w:r>
    </w:p>
    <w:p w14:paraId="6D47BE81"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Thrombosis prophylaxis (initiated postoperatively if not started preoperatively)</w:t>
      </w:r>
    </w:p>
    <w:p w14:paraId="74643AB2"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For NELA ≥5%: Mobilization to a chair (if possible)</w:t>
      </w:r>
    </w:p>
    <w:p w14:paraId="7FBAC966" w14:textId="524FEA53"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 Nutrition (protein drink if possible)</w:t>
      </w:r>
    </w:p>
    <w:p w14:paraId="3BCD3D19" w14:textId="5DE9F218"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lastRenderedPageBreak/>
        <w:t>Upon discharge from Recovery Room</w:t>
      </w:r>
      <w:r w:rsidR="00AB68E5">
        <w:rPr>
          <w:rFonts w:ascii="Times New Roman" w:eastAsia="Times New Roman" w:hAnsi="Times New Roman" w:cs="Times New Roman"/>
          <w:kern w:val="0"/>
          <w:sz w:val="22"/>
          <w:szCs w:val="22"/>
          <w:lang w:val="en-US" w:eastAsia="da-DK"/>
          <w14:ligatures w14:val="none"/>
        </w:rPr>
        <w:t xml:space="preserve"> (PACU)</w:t>
      </w:r>
      <w:r w:rsidRPr="0015513A">
        <w:rPr>
          <w:rFonts w:ascii="Times New Roman" w:eastAsia="Times New Roman" w:hAnsi="Times New Roman" w:cs="Times New Roman"/>
          <w:kern w:val="0"/>
          <w:sz w:val="22"/>
          <w:szCs w:val="22"/>
          <w:lang w:val="en-US" w:eastAsia="da-DK"/>
          <w14:ligatures w14:val="none"/>
        </w:rPr>
        <w:t>, the anesthesiologist provides status and postoperative plan.</w:t>
      </w:r>
    </w:p>
    <w:p w14:paraId="1DBFDE4A"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b/>
          <w:bCs/>
          <w:kern w:val="0"/>
          <w:sz w:val="22"/>
          <w:szCs w:val="22"/>
          <w:lang w:val="en-US" w:eastAsia="da-DK"/>
          <w14:ligatures w14:val="none"/>
        </w:rPr>
      </w:pPr>
    </w:p>
    <w:p w14:paraId="248A9A4C" w14:textId="42164929"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t>Subacute AHA:</w:t>
      </w:r>
    </w:p>
    <w:p w14:paraId="744E1333" w14:textId="777777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Subacute high-risk abdominal surgery patients follow the same postoperative regimen as other AHA patients.</w:t>
      </w:r>
    </w:p>
    <w:p w14:paraId="1B4284A0" w14:textId="77777777" w:rsidR="00193921" w:rsidRPr="0015513A" w:rsidRDefault="00193921"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2A44F6B5" w14:textId="6C019377" w:rsidR="0015513A" w:rsidRP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b/>
          <w:bCs/>
          <w:kern w:val="0"/>
          <w:sz w:val="22"/>
          <w:szCs w:val="22"/>
          <w:lang w:val="en-US" w:eastAsia="da-DK"/>
          <w14:ligatures w14:val="none"/>
        </w:rPr>
        <w:t>Inpatient Care</w:t>
      </w:r>
    </w:p>
    <w:p w14:paraId="32B935E0" w14:textId="77777777" w:rsid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15513A">
        <w:rPr>
          <w:rFonts w:ascii="Times New Roman" w:eastAsia="Times New Roman" w:hAnsi="Times New Roman" w:cs="Times New Roman"/>
          <w:kern w:val="0"/>
          <w:sz w:val="22"/>
          <w:szCs w:val="22"/>
          <w:lang w:val="en-US" w:eastAsia="da-DK"/>
          <w14:ligatures w14:val="none"/>
        </w:rPr>
        <w:t>Referrals should be made according to the diagnosis-specific guidelines and instructions in the Department of Gastrointestinal and Liver Diseases, including mechanical ileus.</w:t>
      </w:r>
    </w:p>
    <w:p w14:paraId="2C4DA486" w14:textId="2AB3460B" w:rsidR="00A9330A" w:rsidRPr="0015513A" w:rsidRDefault="00A9330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sidRPr="00A9330A">
        <w:rPr>
          <w:rFonts w:ascii="Times New Roman" w:eastAsia="Times New Roman" w:hAnsi="Times New Roman" w:cs="Times New Roman"/>
          <w:kern w:val="0"/>
          <w:sz w:val="22"/>
          <w:szCs w:val="22"/>
          <w:lang w:val="en-US" w:eastAsia="da-DK"/>
          <w14:ligatures w14:val="none"/>
        </w:rPr>
        <w:t>The postoperative course involves standardized high-dependency wards, intermediate or intensive care as needed, with daily rounds conducted by dedicated consultant emergency surgeons. A standardized nursing care plan is followed, ensuring optimal pain management, dietician-regulated early nutrition, and physiotherapist-guided mobilization. Regular data audits and quality assessments are performed to ensure the highest standards of care.</w:t>
      </w:r>
    </w:p>
    <w:p w14:paraId="248C703D" w14:textId="77777777" w:rsidR="0015513A" w:rsidRDefault="0015513A"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p>
    <w:p w14:paraId="08CD55AA" w14:textId="69EE08E1" w:rsidR="00EC539D" w:rsidRPr="00193921" w:rsidRDefault="00EC539D" w:rsidP="004B1B30">
      <w:pPr>
        <w:spacing w:before="100" w:beforeAutospacing="1" w:after="100" w:afterAutospacing="1" w:line="360" w:lineRule="auto"/>
        <w:rPr>
          <w:rFonts w:ascii="Times New Roman" w:eastAsia="Times New Roman" w:hAnsi="Times New Roman" w:cs="Times New Roman"/>
          <w:kern w:val="0"/>
          <w:sz w:val="22"/>
          <w:szCs w:val="22"/>
          <w:lang w:val="en-US" w:eastAsia="da-DK"/>
          <w14:ligatures w14:val="none"/>
        </w:rPr>
      </w:pPr>
      <w:r>
        <w:rPr>
          <w:rFonts w:ascii="Times New Roman" w:eastAsia="Times New Roman" w:hAnsi="Times New Roman" w:cs="Times New Roman"/>
          <w:b/>
          <w:bCs/>
          <w:kern w:val="0"/>
          <w:sz w:val="22"/>
          <w:szCs w:val="22"/>
          <w:lang w:val="en-US" w:eastAsia="da-DK"/>
          <w14:ligatures w14:val="none"/>
        </w:rPr>
        <w:t>References</w:t>
      </w:r>
    </w:p>
    <w:p w14:paraId="22E2E322" w14:textId="77777777" w:rsidR="00EC539D" w:rsidRPr="00EC539D" w:rsidRDefault="00EC539D" w:rsidP="00EC539D">
      <w:pPr>
        <w:pStyle w:val="Bibliografi1"/>
      </w:pPr>
      <w:r>
        <w:fldChar w:fldCharType="begin"/>
      </w:r>
      <w:r>
        <w:instrText xml:space="preserve"> ADDIN ZOTERO_BIBL {"uncited":[],"omitted":[],"custom":[]} CSL_BIBLIOGRAPHY </w:instrText>
      </w:r>
      <w:r>
        <w:fldChar w:fldCharType="separate"/>
      </w:r>
      <w:r w:rsidRPr="00EC539D">
        <w:t xml:space="preserve">1. Tengberg LT, Bay-Nielsen M, Bisgaard T, Cihoric M, Lauritsen ML, Foss NB. Multidisciplinary perioperative protocol in patients undergoing acute high-risk  abdominal surgery. The British journal of surgery. 2017;104:463–71. </w:t>
      </w:r>
    </w:p>
    <w:p w14:paraId="75305C00" w14:textId="77777777" w:rsidR="00EC539D" w:rsidRPr="00EC539D" w:rsidRDefault="00EC539D" w:rsidP="00EC539D">
      <w:pPr>
        <w:pStyle w:val="Bibliografi1"/>
      </w:pPr>
      <w:r w:rsidRPr="00EC539D">
        <w:t xml:space="preserve">2. Huddart S, Peden CJ, Swart M, McCormick B, Dickinson M, Mohammed MA, et al. Use of a pathway quality improvement care bundle to reduce mortality after  emergency laparotomy. The British journal of surgery. 2015;102:57–66. </w:t>
      </w:r>
    </w:p>
    <w:p w14:paraId="5B46653C" w14:textId="77777777" w:rsidR="00EC539D" w:rsidRPr="00EC539D" w:rsidRDefault="00EC539D" w:rsidP="00EC539D">
      <w:pPr>
        <w:pStyle w:val="Bibliografi1"/>
      </w:pPr>
      <w:r w:rsidRPr="00EC539D">
        <w:t xml:space="preserve">3. Peden CJ, Aggarwal G, Aitken RJ, Anderson ID, Bang Foss N, Cooper Z, et al. Guidelines for Perioperative Care for Emergency Laparotomy Enhanced Recovery  After Surgery (ERAS) Society Recommendations: Part 1-Preoperative: Diagnosis, Rapid Assessment and Optimization. World journal of surgery. 2021;45:1272–90. </w:t>
      </w:r>
    </w:p>
    <w:p w14:paraId="36A68497" w14:textId="77777777" w:rsidR="00EC539D" w:rsidRPr="00EC539D" w:rsidRDefault="00EC539D" w:rsidP="00EC539D">
      <w:pPr>
        <w:pStyle w:val="Bibliografi1"/>
      </w:pPr>
      <w:r w:rsidRPr="00EC539D">
        <w:t xml:space="preserve">4. Scott MJ, Aggarwal G, Aitken RJ, Anderson ID, Balfour A, Foss NB, et al. Consensus Guidelines for Perioperative Care for Emergency Laparotomy Enhanced  Recovery After Surgery (ERAS(®)) Society Recommendations Part 2-Emergency Laparotomy: Intra- and Postoperative Care. World journal of surgery. 2023;47:1850–80. </w:t>
      </w:r>
    </w:p>
    <w:p w14:paraId="2D396DDF" w14:textId="77777777" w:rsidR="00EC539D" w:rsidRPr="00EC539D" w:rsidRDefault="00EC539D" w:rsidP="00EC539D">
      <w:pPr>
        <w:pStyle w:val="Bibliografi1"/>
      </w:pPr>
      <w:r w:rsidRPr="00EC539D">
        <w:lastRenderedPageBreak/>
        <w:t xml:space="preserve">5. Peden CJ, Aggarwal G, Aitken RJ, Anderson ID, Balfour A, Foss NB, et al. Enhanced Recovery After Surgery (ERAS®) Society Consensus Guidelines for  Emergency Laparotomy Part 3: Organizational Aspects and General Considerations for Management of the Emergency Laparotomy Patient. World journal of surgery. 2023;47:1881–98. </w:t>
      </w:r>
    </w:p>
    <w:p w14:paraId="1D0B4749" w14:textId="3B6947D3" w:rsidR="00706F89" w:rsidRPr="0015513A" w:rsidRDefault="00EC539D" w:rsidP="004B1B30">
      <w:pPr>
        <w:pStyle w:val="p1"/>
        <w:spacing w:line="360" w:lineRule="auto"/>
        <w:rPr>
          <w:rFonts w:ascii="Times New Roman" w:hAnsi="Times New Roman"/>
          <w:sz w:val="22"/>
          <w:szCs w:val="22"/>
          <w:lang w:val="en-US"/>
        </w:rPr>
      </w:pPr>
      <w:r>
        <w:rPr>
          <w:rFonts w:ascii="Times New Roman" w:hAnsi="Times New Roman"/>
          <w:sz w:val="22"/>
          <w:szCs w:val="22"/>
          <w:lang w:val="en-US"/>
        </w:rPr>
        <w:fldChar w:fldCharType="end"/>
      </w:r>
    </w:p>
    <w:sectPr w:rsidR="00706F89" w:rsidRPr="0015513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08"/>
    <w:rsid w:val="000C4EB6"/>
    <w:rsid w:val="00116C37"/>
    <w:rsid w:val="0015513A"/>
    <w:rsid w:val="00187C08"/>
    <w:rsid w:val="00193921"/>
    <w:rsid w:val="001A0E7A"/>
    <w:rsid w:val="003D0473"/>
    <w:rsid w:val="004B1B30"/>
    <w:rsid w:val="005F1CD6"/>
    <w:rsid w:val="00706F89"/>
    <w:rsid w:val="007C4089"/>
    <w:rsid w:val="009447FD"/>
    <w:rsid w:val="00A92779"/>
    <w:rsid w:val="00A9330A"/>
    <w:rsid w:val="00A97722"/>
    <w:rsid w:val="00AB68E5"/>
    <w:rsid w:val="00B05B99"/>
    <w:rsid w:val="00D83EC4"/>
    <w:rsid w:val="00E4296F"/>
    <w:rsid w:val="00EC53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86C625B"/>
  <w15:chartTrackingRefBased/>
  <w15:docId w15:val="{B3F2EF43-CE36-8243-8477-949E4DB0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87C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87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87C0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87C0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87C0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87C08"/>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87C08"/>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87C08"/>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87C08"/>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87C0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87C0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87C0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87C0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87C0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87C0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87C0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87C0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87C08"/>
    <w:rPr>
      <w:rFonts w:eastAsiaTheme="majorEastAsia" w:cstheme="majorBidi"/>
      <w:color w:val="272727" w:themeColor="text1" w:themeTint="D8"/>
    </w:rPr>
  </w:style>
  <w:style w:type="paragraph" w:styleId="Titel">
    <w:name w:val="Title"/>
    <w:basedOn w:val="Normal"/>
    <w:next w:val="Normal"/>
    <w:link w:val="TitelTegn"/>
    <w:uiPriority w:val="10"/>
    <w:qFormat/>
    <w:rsid w:val="00187C08"/>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87C0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87C08"/>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87C0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87C08"/>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187C08"/>
    <w:rPr>
      <w:i/>
      <w:iCs/>
      <w:color w:val="404040" w:themeColor="text1" w:themeTint="BF"/>
    </w:rPr>
  </w:style>
  <w:style w:type="paragraph" w:styleId="Listeafsnit">
    <w:name w:val="List Paragraph"/>
    <w:basedOn w:val="Normal"/>
    <w:uiPriority w:val="34"/>
    <w:qFormat/>
    <w:rsid w:val="00187C08"/>
    <w:pPr>
      <w:ind w:left="720"/>
      <w:contextualSpacing/>
    </w:pPr>
  </w:style>
  <w:style w:type="character" w:styleId="Kraftigfremhvning">
    <w:name w:val="Intense Emphasis"/>
    <w:basedOn w:val="Standardskrifttypeiafsnit"/>
    <w:uiPriority w:val="21"/>
    <w:qFormat/>
    <w:rsid w:val="00187C08"/>
    <w:rPr>
      <w:i/>
      <w:iCs/>
      <w:color w:val="0F4761" w:themeColor="accent1" w:themeShade="BF"/>
    </w:rPr>
  </w:style>
  <w:style w:type="paragraph" w:styleId="Strktcitat">
    <w:name w:val="Intense Quote"/>
    <w:basedOn w:val="Normal"/>
    <w:next w:val="Normal"/>
    <w:link w:val="StrktcitatTegn"/>
    <w:uiPriority w:val="30"/>
    <w:qFormat/>
    <w:rsid w:val="00187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87C08"/>
    <w:rPr>
      <w:i/>
      <w:iCs/>
      <w:color w:val="0F4761" w:themeColor="accent1" w:themeShade="BF"/>
    </w:rPr>
  </w:style>
  <w:style w:type="character" w:styleId="Kraftighenvisning">
    <w:name w:val="Intense Reference"/>
    <w:basedOn w:val="Standardskrifttypeiafsnit"/>
    <w:uiPriority w:val="32"/>
    <w:qFormat/>
    <w:rsid w:val="00187C08"/>
    <w:rPr>
      <w:b/>
      <w:bCs/>
      <w:smallCaps/>
      <w:color w:val="0F4761" w:themeColor="accent1" w:themeShade="BF"/>
      <w:spacing w:val="5"/>
    </w:rPr>
  </w:style>
  <w:style w:type="paragraph" w:customStyle="1" w:styleId="p1">
    <w:name w:val="p1"/>
    <w:basedOn w:val="Normal"/>
    <w:link w:val="p1Tegn"/>
    <w:rsid w:val="00706F89"/>
    <w:rPr>
      <w:rFonts w:ascii="Verdana" w:eastAsia="Times New Roman" w:hAnsi="Verdana" w:cs="Times New Roman"/>
      <w:color w:val="000000"/>
      <w:kern w:val="0"/>
      <w:sz w:val="9"/>
      <w:szCs w:val="9"/>
      <w:lang w:eastAsia="da-DK"/>
      <w14:ligatures w14:val="none"/>
    </w:rPr>
  </w:style>
  <w:style w:type="paragraph" w:customStyle="1" w:styleId="p2">
    <w:name w:val="p2"/>
    <w:basedOn w:val="Normal"/>
    <w:rsid w:val="00706F89"/>
    <w:rPr>
      <w:rFonts w:ascii="Times New Roman" w:eastAsia="Times New Roman" w:hAnsi="Times New Roman" w:cs="Times New Roman"/>
      <w:color w:val="0000E9"/>
      <w:kern w:val="0"/>
      <w:sz w:val="9"/>
      <w:szCs w:val="9"/>
      <w:lang w:eastAsia="da-DK"/>
      <w14:ligatures w14:val="none"/>
    </w:rPr>
  </w:style>
  <w:style w:type="paragraph" w:customStyle="1" w:styleId="p3">
    <w:name w:val="p3"/>
    <w:basedOn w:val="Normal"/>
    <w:rsid w:val="00706F89"/>
    <w:rPr>
      <w:rFonts w:ascii="Times New Roman" w:eastAsia="Times New Roman" w:hAnsi="Times New Roman" w:cs="Times New Roman"/>
      <w:color w:val="000000"/>
      <w:kern w:val="0"/>
      <w:sz w:val="9"/>
      <w:szCs w:val="9"/>
      <w:lang w:eastAsia="da-DK"/>
      <w14:ligatures w14:val="none"/>
    </w:rPr>
  </w:style>
  <w:style w:type="character" w:customStyle="1" w:styleId="s1">
    <w:name w:val="s1"/>
    <w:basedOn w:val="Standardskrifttypeiafsnit"/>
    <w:rsid w:val="00706F89"/>
    <w:rPr>
      <w:color w:val="0000E9"/>
    </w:rPr>
  </w:style>
  <w:style w:type="character" w:customStyle="1" w:styleId="s2">
    <w:name w:val="s2"/>
    <w:basedOn w:val="Standardskrifttypeiafsnit"/>
    <w:rsid w:val="00706F89"/>
    <w:rPr>
      <w:color w:val="000000"/>
    </w:rPr>
  </w:style>
  <w:style w:type="paragraph" w:customStyle="1" w:styleId="p4">
    <w:name w:val="p4"/>
    <w:basedOn w:val="Normal"/>
    <w:rsid w:val="00706F89"/>
    <w:rPr>
      <w:rFonts w:ascii="Times New Roman" w:eastAsia="Times New Roman" w:hAnsi="Times New Roman" w:cs="Times New Roman"/>
      <w:color w:val="0000E9"/>
      <w:kern w:val="0"/>
      <w:sz w:val="9"/>
      <w:szCs w:val="9"/>
      <w:lang w:eastAsia="da-DK"/>
      <w14:ligatures w14:val="none"/>
    </w:rPr>
  </w:style>
  <w:style w:type="paragraph" w:customStyle="1" w:styleId="p5">
    <w:name w:val="p5"/>
    <w:basedOn w:val="Normal"/>
    <w:rsid w:val="00706F89"/>
    <w:rPr>
      <w:rFonts w:ascii="Times New Roman" w:eastAsia="Times New Roman" w:hAnsi="Times New Roman" w:cs="Times New Roman"/>
      <w:color w:val="0000FF"/>
      <w:kern w:val="0"/>
      <w:sz w:val="9"/>
      <w:szCs w:val="9"/>
      <w:lang w:eastAsia="da-DK"/>
      <w14:ligatures w14:val="none"/>
    </w:rPr>
  </w:style>
  <w:style w:type="paragraph" w:customStyle="1" w:styleId="p6">
    <w:name w:val="p6"/>
    <w:basedOn w:val="Normal"/>
    <w:rsid w:val="00706F89"/>
    <w:rPr>
      <w:rFonts w:ascii="Times New Roman" w:eastAsia="Times New Roman" w:hAnsi="Times New Roman" w:cs="Times New Roman"/>
      <w:color w:val="1A1A1A"/>
      <w:kern w:val="0"/>
      <w:sz w:val="9"/>
      <w:szCs w:val="9"/>
      <w:lang w:eastAsia="da-DK"/>
      <w14:ligatures w14:val="none"/>
    </w:rPr>
  </w:style>
  <w:style w:type="character" w:customStyle="1" w:styleId="apple-tab-span">
    <w:name w:val="apple-tab-span"/>
    <w:basedOn w:val="Standardskrifttypeiafsnit"/>
    <w:rsid w:val="00193921"/>
  </w:style>
  <w:style w:type="paragraph" w:customStyle="1" w:styleId="Bibliografi1">
    <w:name w:val="Bibliografi1"/>
    <w:basedOn w:val="Normal"/>
    <w:link w:val="BibliographyTegn"/>
    <w:rsid w:val="00EC539D"/>
    <w:pPr>
      <w:spacing w:after="240"/>
    </w:pPr>
    <w:rPr>
      <w:rFonts w:ascii="Times New Roman" w:eastAsia="Times New Roman" w:hAnsi="Times New Roman" w:cs="Times New Roman"/>
      <w:color w:val="000000"/>
      <w:kern w:val="0"/>
      <w:sz w:val="22"/>
      <w:szCs w:val="22"/>
      <w:lang w:val="en-US" w:eastAsia="da-DK"/>
      <w14:ligatures w14:val="none"/>
    </w:rPr>
  </w:style>
  <w:style w:type="character" w:customStyle="1" w:styleId="p1Tegn">
    <w:name w:val="p1 Tegn"/>
    <w:basedOn w:val="Standardskrifttypeiafsnit"/>
    <w:link w:val="p1"/>
    <w:rsid w:val="00EC539D"/>
    <w:rPr>
      <w:rFonts w:ascii="Verdana" w:eastAsia="Times New Roman" w:hAnsi="Verdana" w:cs="Times New Roman"/>
      <w:color w:val="000000"/>
      <w:kern w:val="0"/>
      <w:sz w:val="9"/>
      <w:szCs w:val="9"/>
      <w:lang w:eastAsia="da-DK"/>
      <w14:ligatures w14:val="none"/>
    </w:rPr>
  </w:style>
  <w:style w:type="character" w:customStyle="1" w:styleId="BibliographyTegn">
    <w:name w:val="Bibliography Tegn"/>
    <w:basedOn w:val="p1Tegn"/>
    <w:link w:val="Bibliografi1"/>
    <w:rsid w:val="00EC539D"/>
    <w:rPr>
      <w:rFonts w:ascii="Times New Roman" w:eastAsia="Times New Roman" w:hAnsi="Times New Roman" w:cs="Times New Roman"/>
      <w:color w:val="000000"/>
      <w:kern w:val="0"/>
      <w:sz w:val="22"/>
      <w:szCs w:val="22"/>
      <w:lang w:val="en-US"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58484">
      <w:bodyDiv w:val="1"/>
      <w:marLeft w:val="0"/>
      <w:marRight w:val="0"/>
      <w:marTop w:val="0"/>
      <w:marBottom w:val="0"/>
      <w:divBdr>
        <w:top w:val="none" w:sz="0" w:space="0" w:color="auto"/>
        <w:left w:val="none" w:sz="0" w:space="0" w:color="auto"/>
        <w:bottom w:val="none" w:sz="0" w:space="0" w:color="auto"/>
        <w:right w:val="none" w:sz="0" w:space="0" w:color="auto"/>
      </w:divBdr>
    </w:div>
    <w:div w:id="701323175">
      <w:bodyDiv w:val="1"/>
      <w:marLeft w:val="0"/>
      <w:marRight w:val="0"/>
      <w:marTop w:val="0"/>
      <w:marBottom w:val="0"/>
      <w:divBdr>
        <w:top w:val="none" w:sz="0" w:space="0" w:color="auto"/>
        <w:left w:val="none" w:sz="0" w:space="0" w:color="auto"/>
        <w:bottom w:val="none" w:sz="0" w:space="0" w:color="auto"/>
        <w:right w:val="none" w:sz="0" w:space="0" w:color="auto"/>
      </w:divBdr>
    </w:div>
    <w:div w:id="719793161">
      <w:bodyDiv w:val="1"/>
      <w:marLeft w:val="0"/>
      <w:marRight w:val="0"/>
      <w:marTop w:val="0"/>
      <w:marBottom w:val="0"/>
      <w:divBdr>
        <w:top w:val="none" w:sz="0" w:space="0" w:color="auto"/>
        <w:left w:val="none" w:sz="0" w:space="0" w:color="auto"/>
        <w:bottom w:val="none" w:sz="0" w:space="0" w:color="auto"/>
        <w:right w:val="none" w:sz="0" w:space="0" w:color="auto"/>
      </w:divBdr>
    </w:div>
    <w:div w:id="810907399">
      <w:bodyDiv w:val="1"/>
      <w:marLeft w:val="0"/>
      <w:marRight w:val="0"/>
      <w:marTop w:val="0"/>
      <w:marBottom w:val="0"/>
      <w:divBdr>
        <w:top w:val="none" w:sz="0" w:space="0" w:color="auto"/>
        <w:left w:val="none" w:sz="0" w:space="0" w:color="auto"/>
        <w:bottom w:val="none" w:sz="0" w:space="0" w:color="auto"/>
        <w:right w:val="none" w:sz="0" w:space="0" w:color="auto"/>
      </w:divBdr>
    </w:div>
    <w:div w:id="836924387">
      <w:bodyDiv w:val="1"/>
      <w:marLeft w:val="0"/>
      <w:marRight w:val="0"/>
      <w:marTop w:val="0"/>
      <w:marBottom w:val="0"/>
      <w:divBdr>
        <w:top w:val="none" w:sz="0" w:space="0" w:color="auto"/>
        <w:left w:val="none" w:sz="0" w:space="0" w:color="auto"/>
        <w:bottom w:val="none" w:sz="0" w:space="0" w:color="auto"/>
        <w:right w:val="none" w:sz="0" w:space="0" w:color="auto"/>
      </w:divBdr>
    </w:div>
    <w:div w:id="1310403627">
      <w:bodyDiv w:val="1"/>
      <w:marLeft w:val="0"/>
      <w:marRight w:val="0"/>
      <w:marTop w:val="0"/>
      <w:marBottom w:val="0"/>
      <w:divBdr>
        <w:top w:val="none" w:sz="0" w:space="0" w:color="auto"/>
        <w:left w:val="none" w:sz="0" w:space="0" w:color="auto"/>
        <w:bottom w:val="none" w:sz="0" w:space="0" w:color="auto"/>
        <w:right w:val="none" w:sz="0" w:space="0" w:color="auto"/>
      </w:divBdr>
    </w:div>
    <w:div w:id="1449860368">
      <w:bodyDiv w:val="1"/>
      <w:marLeft w:val="0"/>
      <w:marRight w:val="0"/>
      <w:marTop w:val="0"/>
      <w:marBottom w:val="0"/>
      <w:divBdr>
        <w:top w:val="none" w:sz="0" w:space="0" w:color="auto"/>
        <w:left w:val="none" w:sz="0" w:space="0" w:color="auto"/>
        <w:bottom w:val="none" w:sz="0" w:space="0" w:color="auto"/>
        <w:right w:val="none" w:sz="0" w:space="0" w:color="auto"/>
      </w:divBdr>
    </w:div>
    <w:div w:id="1665861779">
      <w:bodyDiv w:val="1"/>
      <w:marLeft w:val="0"/>
      <w:marRight w:val="0"/>
      <w:marTop w:val="0"/>
      <w:marBottom w:val="0"/>
      <w:divBdr>
        <w:top w:val="none" w:sz="0" w:space="0" w:color="auto"/>
        <w:left w:val="none" w:sz="0" w:space="0" w:color="auto"/>
        <w:bottom w:val="none" w:sz="0" w:space="0" w:color="auto"/>
        <w:right w:val="none" w:sz="0" w:space="0" w:color="auto"/>
      </w:divBdr>
    </w:div>
    <w:div w:id="1667630380">
      <w:bodyDiv w:val="1"/>
      <w:marLeft w:val="0"/>
      <w:marRight w:val="0"/>
      <w:marTop w:val="0"/>
      <w:marBottom w:val="0"/>
      <w:divBdr>
        <w:top w:val="none" w:sz="0" w:space="0" w:color="auto"/>
        <w:left w:val="none" w:sz="0" w:space="0" w:color="auto"/>
        <w:bottom w:val="none" w:sz="0" w:space="0" w:color="auto"/>
        <w:right w:val="none" w:sz="0" w:space="0" w:color="auto"/>
      </w:divBdr>
    </w:div>
    <w:div w:id="1786578913">
      <w:bodyDiv w:val="1"/>
      <w:marLeft w:val="0"/>
      <w:marRight w:val="0"/>
      <w:marTop w:val="0"/>
      <w:marBottom w:val="0"/>
      <w:divBdr>
        <w:top w:val="none" w:sz="0" w:space="0" w:color="auto"/>
        <w:left w:val="none" w:sz="0" w:space="0" w:color="auto"/>
        <w:bottom w:val="none" w:sz="0" w:space="0" w:color="auto"/>
        <w:right w:val="none" w:sz="0" w:space="0" w:color="auto"/>
      </w:divBdr>
    </w:div>
    <w:div w:id="1802189782">
      <w:bodyDiv w:val="1"/>
      <w:marLeft w:val="0"/>
      <w:marRight w:val="0"/>
      <w:marTop w:val="0"/>
      <w:marBottom w:val="0"/>
      <w:divBdr>
        <w:top w:val="none" w:sz="0" w:space="0" w:color="auto"/>
        <w:left w:val="none" w:sz="0" w:space="0" w:color="auto"/>
        <w:bottom w:val="none" w:sz="0" w:space="0" w:color="auto"/>
        <w:right w:val="none" w:sz="0" w:space="0" w:color="auto"/>
      </w:divBdr>
    </w:div>
    <w:div w:id="1852791271">
      <w:bodyDiv w:val="1"/>
      <w:marLeft w:val="0"/>
      <w:marRight w:val="0"/>
      <w:marTop w:val="0"/>
      <w:marBottom w:val="0"/>
      <w:divBdr>
        <w:top w:val="none" w:sz="0" w:space="0" w:color="auto"/>
        <w:left w:val="none" w:sz="0" w:space="0" w:color="auto"/>
        <w:bottom w:val="none" w:sz="0" w:space="0" w:color="auto"/>
        <w:right w:val="none" w:sz="0" w:space="0" w:color="auto"/>
      </w:divBdr>
    </w:div>
    <w:div w:id="1885092928">
      <w:bodyDiv w:val="1"/>
      <w:marLeft w:val="0"/>
      <w:marRight w:val="0"/>
      <w:marTop w:val="0"/>
      <w:marBottom w:val="0"/>
      <w:divBdr>
        <w:top w:val="none" w:sz="0" w:space="0" w:color="auto"/>
        <w:left w:val="none" w:sz="0" w:space="0" w:color="auto"/>
        <w:bottom w:val="none" w:sz="0" w:space="0" w:color="auto"/>
        <w:right w:val="none" w:sz="0" w:space="0" w:color="auto"/>
      </w:divBdr>
    </w:div>
    <w:div w:id="2045523210">
      <w:bodyDiv w:val="1"/>
      <w:marLeft w:val="0"/>
      <w:marRight w:val="0"/>
      <w:marTop w:val="0"/>
      <w:marBottom w:val="0"/>
      <w:divBdr>
        <w:top w:val="none" w:sz="0" w:space="0" w:color="auto"/>
        <w:left w:val="none" w:sz="0" w:space="0" w:color="auto"/>
        <w:bottom w:val="none" w:sz="0" w:space="0" w:color="auto"/>
        <w:right w:val="none" w:sz="0" w:space="0" w:color="auto"/>
      </w:divBdr>
    </w:div>
    <w:div w:id="212326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3598</Words>
  <Characters>21953</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Lasse Rehné Jensen</dc:creator>
  <cp:keywords/>
  <dc:description/>
  <cp:lastModifiedBy>Lasse Rehné Jensen</cp:lastModifiedBy>
  <cp:revision>10</cp:revision>
  <dcterms:created xsi:type="dcterms:W3CDTF">2025-03-01T15:08:00Z</dcterms:created>
  <dcterms:modified xsi:type="dcterms:W3CDTF">2025-06-19T10:23:00Z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id="D5MfnAyS"/&gt;&lt;style id="http://www.zotero.org/styles/european-journal-of-trauma-and-emergency-surgery" hasBibliography="1" bibliographyStyleHasBeenSet="1"/&gt;&lt;prefs&gt;&lt;pref name="fieldType" value="Fiel</vt:lpwstr>
  </property>
  <property fmtid="{D5CDD505-2E9C-101B-9397-08002B2CF9AE}" pid="3" name="ZOTERO_PREF_2">
    <vt:lpwstr>d"/&gt;&lt;/prefs&gt;&lt;/data&gt;</vt:lpwstr>
  </property>
</Properties>
</file>