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7669" w14:textId="77777777" w:rsidR="00227F3B" w:rsidRPr="00227F3B" w:rsidRDefault="00227F3B" w:rsidP="00227F3B">
      <w:pPr>
        <w:widowControl/>
        <w:shd w:val="clear" w:color="auto" w:fill="FFFFFF"/>
        <w:spacing w:before="360" w:after="240"/>
        <w:jc w:val="left"/>
        <w:outlineLvl w:val="2"/>
        <w:rPr>
          <w:rFonts w:ascii="Times New Roman" w:eastAsia="宋体" w:hAnsi="Times New Roman" w:cs="Times New Roman"/>
          <w:b/>
          <w:bCs/>
          <w:color w:val="000000"/>
          <w:kern w:val="0"/>
          <w:sz w:val="29"/>
          <w:szCs w:val="29"/>
        </w:rPr>
      </w:pPr>
      <w:r w:rsidRPr="00227F3B">
        <w:rPr>
          <w:rFonts w:ascii="Times New Roman" w:eastAsia="宋体" w:hAnsi="Times New Roman" w:cs="Times New Roman"/>
          <w:b/>
          <w:bCs/>
          <w:color w:val="000000"/>
          <w:kern w:val="0"/>
          <w:sz w:val="29"/>
          <w:szCs w:val="29"/>
        </w:rPr>
        <w:t>FIGURE LEGENDS</w:t>
      </w:r>
    </w:p>
    <w:p w14:paraId="4D9455BA" w14:textId="02BC896E"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1</w:t>
      </w:r>
      <w:r w:rsidRPr="00E9384F">
        <w:rPr>
          <w:rFonts w:ascii="Times New Roman" w:eastAsia="宋体" w:hAnsi="Times New Roman" w:cs="Times New Roman"/>
          <w:color w:val="000000"/>
          <w:kern w:val="0"/>
          <w:szCs w:val="21"/>
        </w:rPr>
        <w:t xml:space="preserve">. </w:t>
      </w:r>
      <w:r w:rsidR="00A55B18" w:rsidRPr="00A55B18">
        <w:rPr>
          <w:rFonts w:ascii="Times New Roman" w:eastAsia="宋体" w:hAnsi="Times New Roman" w:cs="Times New Roman"/>
          <w:color w:val="000000"/>
          <w:kern w:val="0"/>
          <w:szCs w:val="21"/>
        </w:rPr>
        <w:t>PRISMA flow diagram of the study selection process. The diagram details the number of records identified, screened, eligible, and included in the meta-analysis, along with reasons for exclusion at each stage.</w:t>
      </w:r>
    </w:p>
    <w:p w14:paraId="4EA9B216"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5F21D6F3" w14:textId="765AF96D" w:rsidR="00E9384F" w:rsidRPr="006A3490"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2</w:t>
      </w:r>
      <w:r w:rsidRPr="00E9384F">
        <w:rPr>
          <w:rFonts w:ascii="Times New Roman" w:eastAsia="宋体" w:hAnsi="Times New Roman" w:cs="Times New Roman"/>
          <w:color w:val="000000"/>
          <w:kern w:val="0"/>
          <w:szCs w:val="21"/>
        </w:rPr>
        <w:t>. Forest plot of pooled sensitivity. The analysis was conducted using a random-effects model (logit transformation). Each square represents the point estimate of an individual study (size proportional to study weight), with the horizontal line in</w:t>
      </w:r>
      <w:r w:rsidRPr="006A3490">
        <w:rPr>
          <w:rFonts w:ascii="Times New Roman" w:eastAsia="宋体" w:hAnsi="Times New Roman" w:cs="Times New Roman"/>
          <w:color w:val="000000"/>
          <w:kern w:val="0"/>
          <w:szCs w:val="21"/>
        </w:rPr>
        <w:t xml:space="preserve">dicating the 95% confidence interval (CI). </w:t>
      </w:r>
      <w:r w:rsidR="00A55B18" w:rsidRPr="006A3490">
        <w:rPr>
          <w:rFonts w:ascii="Times New Roman" w:eastAsia="宋体" w:hAnsi="Times New Roman" w:cs="Times New Roman"/>
          <w:color w:val="000000"/>
          <w:kern w:val="0"/>
          <w:szCs w:val="21"/>
        </w:rPr>
        <w:t xml:space="preserve">The red diamond represents the pooled estimate with its confidence interval. </w:t>
      </w:r>
      <w:r w:rsidR="00A55B18" w:rsidRPr="006A3490">
        <w:rPr>
          <w:rFonts w:ascii="Times New Roman" w:eastAsia="宋体" w:hAnsi="Times New Roman" w:cs="Times New Roman"/>
          <w:i/>
          <w:iCs/>
          <w:color w:val="000000"/>
          <w:kern w:val="0"/>
          <w:szCs w:val="21"/>
        </w:rPr>
        <w:t>I</w:t>
      </w:r>
      <w:r w:rsidR="00A55B18" w:rsidRPr="006A3490">
        <w:rPr>
          <w:rFonts w:ascii="Times New Roman" w:eastAsia="宋体" w:hAnsi="Times New Roman" w:cs="Times New Roman"/>
          <w:i/>
          <w:iCs/>
          <w:color w:val="000000"/>
          <w:kern w:val="0"/>
          <w:szCs w:val="21"/>
          <w:vertAlign w:val="superscript"/>
        </w:rPr>
        <w:t>2</w:t>
      </w:r>
      <w:r w:rsidR="00A55B18" w:rsidRPr="006A3490">
        <w:rPr>
          <w:rFonts w:ascii="Times New Roman" w:eastAsia="宋体" w:hAnsi="Times New Roman" w:cs="Times New Roman"/>
          <w:color w:val="000000"/>
          <w:kern w:val="0"/>
          <w:szCs w:val="21"/>
        </w:rPr>
        <w:t xml:space="preserve"> statistic indicates heterogeneity among studies.</w:t>
      </w:r>
    </w:p>
    <w:p w14:paraId="304003C4" w14:textId="77777777" w:rsidR="00E9384F" w:rsidRPr="006A3490" w:rsidRDefault="00E9384F" w:rsidP="00E9384F">
      <w:pPr>
        <w:widowControl/>
        <w:shd w:val="clear" w:color="auto" w:fill="FFFFFF"/>
        <w:jc w:val="left"/>
        <w:rPr>
          <w:rFonts w:ascii="Times New Roman" w:eastAsia="宋体" w:hAnsi="Times New Roman" w:cs="Times New Roman"/>
          <w:color w:val="000000"/>
          <w:kern w:val="0"/>
          <w:szCs w:val="21"/>
        </w:rPr>
      </w:pPr>
    </w:p>
    <w:p w14:paraId="22DD47BA" w14:textId="45713F2E"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6A3490">
        <w:rPr>
          <w:rFonts w:ascii="Times New Roman" w:eastAsia="宋体" w:hAnsi="Times New Roman" w:cs="Times New Roman"/>
          <w:b/>
          <w:bCs/>
          <w:color w:val="000000"/>
          <w:kern w:val="0"/>
          <w:szCs w:val="21"/>
        </w:rPr>
        <w:t>Figure 3</w:t>
      </w:r>
      <w:r w:rsidRPr="006A3490">
        <w:rPr>
          <w:rFonts w:ascii="Times New Roman" w:eastAsia="宋体" w:hAnsi="Times New Roman" w:cs="Times New Roman"/>
          <w:color w:val="000000"/>
          <w:kern w:val="0"/>
          <w:szCs w:val="21"/>
        </w:rPr>
        <w:t>. Forest plot of pooled specificity. The analysis was conducted using a random-effects model (logit transformation). Each square represents the point estimate of an individual study</w:t>
      </w:r>
      <w:r w:rsidR="006A3490" w:rsidRPr="006A3490">
        <w:rPr>
          <w:rFonts w:ascii="Times New Roman" w:eastAsia="宋体" w:hAnsi="Times New Roman" w:cs="Times New Roman" w:hint="eastAsia"/>
          <w:color w:val="000000"/>
          <w:kern w:val="0"/>
          <w:szCs w:val="21"/>
        </w:rPr>
        <w:t xml:space="preserve"> </w:t>
      </w:r>
      <w:r w:rsidR="006A3490" w:rsidRPr="006A3490">
        <w:rPr>
          <w:rFonts w:ascii="Times New Roman" w:eastAsia="宋体" w:hAnsi="Times New Roman" w:cs="Times New Roman"/>
          <w:color w:val="000000"/>
          <w:kern w:val="0"/>
          <w:szCs w:val="21"/>
        </w:rPr>
        <w:t>(size proportional to study weight)</w:t>
      </w:r>
      <w:r w:rsidRPr="006A3490">
        <w:rPr>
          <w:rFonts w:ascii="Times New Roman" w:eastAsia="宋体" w:hAnsi="Times New Roman" w:cs="Times New Roman"/>
          <w:color w:val="000000"/>
          <w:kern w:val="0"/>
          <w:szCs w:val="21"/>
        </w:rPr>
        <w:t xml:space="preserve">, with the horizontal line indicating the 95% CI. </w:t>
      </w:r>
      <w:r w:rsidR="00A55B18" w:rsidRPr="006A3490">
        <w:rPr>
          <w:rFonts w:ascii="Times New Roman" w:eastAsia="宋体" w:hAnsi="Times New Roman" w:cs="Times New Roman"/>
          <w:color w:val="000000"/>
          <w:kern w:val="0"/>
          <w:szCs w:val="21"/>
        </w:rPr>
        <w:t xml:space="preserve">The red diamond represents the pooled estimate with its confidence interval. </w:t>
      </w:r>
      <w:r w:rsidR="00A55B18" w:rsidRPr="006A3490">
        <w:rPr>
          <w:rFonts w:ascii="Times New Roman" w:eastAsia="宋体" w:hAnsi="Times New Roman" w:cs="Times New Roman"/>
          <w:i/>
          <w:iCs/>
          <w:color w:val="000000"/>
          <w:kern w:val="0"/>
          <w:szCs w:val="21"/>
        </w:rPr>
        <w:t>I</w:t>
      </w:r>
      <w:r w:rsidR="00A55B18" w:rsidRPr="006A3490">
        <w:rPr>
          <w:rFonts w:ascii="Times New Roman" w:eastAsia="宋体" w:hAnsi="Times New Roman" w:cs="Times New Roman"/>
          <w:i/>
          <w:iCs/>
          <w:color w:val="000000"/>
          <w:kern w:val="0"/>
          <w:szCs w:val="21"/>
          <w:vertAlign w:val="superscript"/>
        </w:rPr>
        <w:t>2</w:t>
      </w:r>
      <w:r w:rsidR="00A55B18" w:rsidRPr="006A3490">
        <w:rPr>
          <w:rFonts w:ascii="Times New Roman" w:eastAsia="宋体" w:hAnsi="Times New Roman" w:cs="Times New Roman"/>
          <w:color w:val="000000"/>
          <w:kern w:val="0"/>
          <w:szCs w:val="21"/>
        </w:rPr>
        <w:t xml:space="preserve"> statistic indicates heterogeneity among studies.</w:t>
      </w:r>
    </w:p>
    <w:p w14:paraId="1E157607"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385D9AA6"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4</w:t>
      </w:r>
      <w:r w:rsidRPr="00E9384F">
        <w:rPr>
          <w:rFonts w:ascii="Times New Roman" w:eastAsia="宋体" w:hAnsi="Times New Roman" w:cs="Times New Roman"/>
          <w:color w:val="000000"/>
          <w:kern w:val="0"/>
          <w:szCs w:val="21"/>
        </w:rPr>
        <w:t>. Forest plot of pooled diagnostic odds ratio (DOR). The analysis was conducted using a random-effects model (log transformation). The DOR axis is on a logarithmic scale. The red diamond represents the pooled DOR of all studies: 100.74 (95% CI: 40.08–253.19).</w:t>
      </w:r>
    </w:p>
    <w:p w14:paraId="7A029D4E"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5159B2B8" w14:textId="20CBA70E"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5</w:t>
      </w:r>
      <w:r w:rsidRPr="00E9384F">
        <w:rPr>
          <w:rFonts w:ascii="Times New Roman" w:eastAsia="宋体" w:hAnsi="Times New Roman" w:cs="Times New Roman"/>
          <w:color w:val="000000"/>
          <w:kern w:val="0"/>
          <w:szCs w:val="21"/>
        </w:rPr>
        <w:t xml:space="preserve">. Summary receiver operating characteristic (SROC) curve. Each circle represents an individual study, with the size of the circle proportional to its sample size. </w:t>
      </w:r>
      <w:r w:rsidR="00A55B18" w:rsidRPr="00A55B18">
        <w:rPr>
          <w:rFonts w:ascii="Times New Roman" w:eastAsia="宋体" w:hAnsi="Times New Roman" w:cs="Times New Roman"/>
          <w:color w:val="000000"/>
          <w:kern w:val="0"/>
          <w:szCs w:val="21"/>
        </w:rPr>
        <w:t>The red diamond indicates the summary point estimate for poole</w:t>
      </w:r>
      <w:r w:rsidR="00A55B18" w:rsidRPr="00237DA5">
        <w:rPr>
          <w:rFonts w:ascii="Times New Roman" w:eastAsia="宋体" w:hAnsi="Times New Roman" w:cs="Times New Roman"/>
          <w:color w:val="000000"/>
          <w:kern w:val="0"/>
          <w:szCs w:val="21"/>
        </w:rPr>
        <w:t>d sensitivity and specificity. The curve represents the summary receiver operating characteristic (SROC) relationship. AUC: Area Under the Curve; SENS: Sensitivity; SPEC: Specificity.</w:t>
      </w:r>
    </w:p>
    <w:p w14:paraId="792A2092"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4606A1E7" w14:textId="21DD6639" w:rsidR="001614FF" w:rsidRPr="00E9384F" w:rsidRDefault="001614FF" w:rsidP="001614F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 xml:space="preserve">Figure </w:t>
      </w:r>
      <w:r w:rsidRPr="00453653">
        <w:rPr>
          <w:rFonts w:ascii="Times New Roman" w:eastAsia="宋体" w:hAnsi="Times New Roman" w:cs="Times New Roman" w:hint="eastAsia"/>
          <w:b/>
          <w:bCs/>
          <w:color w:val="000000"/>
          <w:kern w:val="0"/>
          <w:szCs w:val="21"/>
        </w:rPr>
        <w:t>6</w:t>
      </w:r>
      <w:r w:rsidRPr="00E9384F">
        <w:rPr>
          <w:rFonts w:ascii="Times New Roman" w:eastAsia="宋体" w:hAnsi="Times New Roman" w:cs="Times New Roman"/>
          <w:color w:val="000000"/>
          <w:kern w:val="0"/>
          <w:szCs w:val="21"/>
        </w:rPr>
        <w:t>. Forest plot of subgroup analysis based on Study Design. Prospective studies (</w:t>
      </w:r>
      <w:r w:rsidR="006A3490">
        <w:rPr>
          <w:rFonts w:ascii="Times New Roman" w:eastAsia="宋体" w:hAnsi="Times New Roman" w:cs="Times New Roman" w:hint="eastAsia"/>
          <w:color w:val="000000"/>
          <w:kern w:val="0"/>
          <w:szCs w:val="21"/>
        </w:rPr>
        <w:t>red</w:t>
      </w:r>
      <w:r w:rsidRPr="00E9384F">
        <w:rPr>
          <w:rFonts w:ascii="Times New Roman" w:eastAsia="宋体" w:hAnsi="Times New Roman" w:cs="Times New Roman"/>
          <w:color w:val="000000"/>
          <w:kern w:val="0"/>
          <w:szCs w:val="21"/>
        </w:rPr>
        <w:t>) are compared with Retrospective studies (</w:t>
      </w:r>
      <w:r w:rsidR="006A3490">
        <w:rPr>
          <w:rFonts w:ascii="Times New Roman" w:eastAsia="宋体" w:hAnsi="Times New Roman" w:cs="Times New Roman" w:hint="eastAsia"/>
          <w:color w:val="000000"/>
          <w:kern w:val="0"/>
          <w:szCs w:val="21"/>
        </w:rPr>
        <w:t>green</w:t>
      </w:r>
      <w:r w:rsidRPr="00E9384F">
        <w:rPr>
          <w:rFonts w:ascii="Times New Roman" w:eastAsia="宋体" w:hAnsi="Times New Roman" w:cs="Times New Roman"/>
          <w:color w:val="000000"/>
          <w:kern w:val="0"/>
          <w:szCs w:val="21"/>
        </w:rPr>
        <w:t>). The diamond represents the pooled estimate for each subgroup.</w:t>
      </w:r>
    </w:p>
    <w:p w14:paraId="077DFEBA" w14:textId="77777777" w:rsidR="001614FF" w:rsidRPr="00E9384F" w:rsidRDefault="001614FF" w:rsidP="001614FF">
      <w:pPr>
        <w:widowControl/>
        <w:shd w:val="clear" w:color="auto" w:fill="FFFFFF"/>
        <w:jc w:val="left"/>
        <w:rPr>
          <w:rFonts w:ascii="Times New Roman" w:eastAsia="宋体" w:hAnsi="Times New Roman" w:cs="Times New Roman"/>
          <w:color w:val="000000"/>
          <w:kern w:val="0"/>
          <w:szCs w:val="21"/>
        </w:rPr>
      </w:pPr>
    </w:p>
    <w:p w14:paraId="07A1D6F4" w14:textId="35F9055D" w:rsidR="001614FF" w:rsidRPr="00E9384F" w:rsidRDefault="001614FF" w:rsidP="001614F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 xml:space="preserve">Figure </w:t>
      </w:r>
      <w:r w:rsidRPr="00453653">
        <w:rPr>
          <w:rFonts w:ascii="Times New Roman" w:eastAsia="宋体" w:hAnsi="Times New Roman" w:cs="Times New Roman" w:hint="eastAsia"/>
          <w:b/>
          <w:bCs/>
          <w:color w:val="000000"/>
          <w:kern w:val="0"/>
          <w:szCs w:val="21"/>
        </w:rPr>
        <w:t>7</w:t>
      </w:r>
      <w:r w:rsidRPr="00E9384F">
        <w:rPr>
          <w:rFonts w:ascii="Times New Roman" w:eastAsia="宋体" w:hAnsi="Times New Roman" w:cs="Times New Roman"/>
          <w:color w:val="000000"/>
          <w:kern w:val="0"/>
          <w:szCs w:val="21"/>
        </w:rPr>
        <w:t>. Summary receiver operating characteristic (SROC) curves for subgroup analysis based on Study Design. The plot contrasts the diagnostic performance between the Prospective study subgroup (</w:t>
      </w:r>
      <w:r w:rsidR="006A3490">
        <w:rPr>
          <w:rFonts w:ascii="Times New Roman" w:eastAsia="宋体" w:hAnsi="Times New Roman" w:cs="Times New Roman" w:hint="eastAsia"/>
          <w:color w:val="000000"/>
          <w:kern w:val="0"/>
          <w:szCs w:val="21"/>
        </w:rPr>
        <w:t>red</w:t>
      </w:r>
      <w:r w:rsidRPr="00E9384F">
        <w:rPr>
          <w:rFonts w:ascii="Times New Roman" w:eastAsia="宋体" w:hAnsi="Times New Roman" w:cs="Times New Roman"/>
          <w:color w:val="000000"/>
          <w:kern w:val="0"/>
          <w:szCs w:val="21"/>
        </w:rPr>
        <w:t xml:space="preserve"> line) and the Retrospective study subgroup (</w:t>
      </w:r>
      <w:r w:rsidR="006A3490">
        <w:rPr>
          <w:rFonts w:ascii="Times New Roman" w:eastAsia="宋体" w:hAnsi="Times New Roman" w:cs="Times New Roman" w:hint="eastAsia"/>
          <w:color w:val="000000"/>
          <w:kern w:val="0"/>
          <w:szCs w:val="21"/>
        </w:rPr>
        <w:t xml:space="preserve">green </w:t>
      </w:r>
      <w:r w:rsidRPr="00E9384F">
        <w:rPr>
          <w:rFonts w:ascii="Times New Roman" w:eastAsia="宋体" w:hAnsi="Times New Roman" w:cs="Times New Roman"/>
          <w:color w:val="000000"/>
          <w:kern w:val="0"/>
          <w:szCs w:val="21"/>
        </w:rPr>
        <w:t>line).</w:t>
      </w:r>
    </w:p>
    <w:p w14:paraId="3E7F28D8" w14:textId="77777777" w:rsidR="00E9384F" w:rsidRPr="001614FF" w:rsidRDefault="00E9384F" w:rsidP="00E9384F">
      <w:pPr>
        <w:widowControl/>
        <w:shd w:val="clear" w:color="auto" w:fill="FFFFFF"/>
        <w:jc w:val="left"/>
        <w:rPr>
          <w:rFonts w:ascii="Times New Roman" w:eastAsia="宋体" w:hAnsi="Times New Roman" w:cs="Times New Roman"/>
          <w:color w:val="000000"/>
          <w:kern w:val="0"/>
          <w:szCs w:val="21"/>
        </w:rPr>
      </w:pPr>
    </w:p>
    <w:p w14:paraId="2F4EBFC9" w14:textId="34A3AB4A"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 xml:space="preserve">Figure </w:t>
      </w:r>
      <w:r w:rsidR="00453653" w:rsidRPr="00453653">
        <w:rPr>
          <w:rFonts w:ascii="Times New Roman" w:eastAsia="宋体" w:hAnsi="Times New Roman" w:cs="Times New Roman" w:hint="eastAsia"/>
          <w:b/>
          <w:bCs/>
          <w:color w:val="000000"/>
          <w:kern w:val="0"/>
          <w:szCs w:val="21"/>
        </w:rPr>
        <w:t>8</w:t>
      </w:r>
      <w:r w:rsidRPr="00E9384F">
        <w:rPr>
          <w:rFonts w:ascii="Times New Roman" w:eastAsia="宋体" w:hAnsi="Times New Roman" w:cs="Times New Roman"/>
          <w:color w:val="000000"/>
          <w:kern w:val="0"/>
          <w:szCs w:val="21"/>
        </w:rPr>
        <w:t>. Forest plot of subgroup analysis based on the Reference Standard. Studies utilizing MRI as the gold standard (</w:t>
      </w:r>
      <w:r w:rsidR="00FD6F5C">
        <w:rPr>
          <w:rFonts w:ascii="Times New Roman" w:eastAsia="宋体" w:hAnsi="Times New Roman" w:cs="Times New Roman" w:hint="eastAsia"/>
          <w:color w:val="000000"/>
          <w:kern w:val="0"/>
          <w:szCs w:val="21"/>
        </w:rPr>
        <w:t>red</w:t>
      </w:r>
      <w:r w:rsidRPr="00E9384F">
        <w:rPr>
          <w:rFonts w:ascii="Times New Roman" w:eastAsia="宋体" w:hAnsi="Times New Roman" w:cs="Times New Roman"/>
          <w:color w:val="000000"/>
          <w:kern w:val="0"/>
          <w:szCs w:val="21"/>
        </w:rPr>
        <w:t>) are compared with those utilizing Surgery or Arthroscopy (</w:t>
      </w:r>
      <w:r w:rsidR="00FD6F5C">
        <w:rPr>
          <w:rFonts w:ascii="Times New Roman" w:eastAsia="宋体" w:hAnsi="Times New Roman" w:cs="Times New Roman" w:hint="eastAsia"/>
          <w:color w:val="000000"/>
          <w:kern w:val="0"/>
          <w:szCs w:val="21"/>
        </w:rPr>
        <w:t>green</w:t>
      </w:r>
      <w:r w:rsidRPr="00E9384F">
        <w:rPr>
          <w:rFonts w:ascii="Times New Roman" w:eastAsia="宋体" w:hAnsi="Times New Roman" w:cs="Times New Roman"/>
          <w:color w:val="000000"/>
          <w:kern w:val="0"/>
          <w:szCs w:val="21"/>
        </w:rPr>
        <w:t>). The diamond represents the pooled estimate for each subgroup.</w:t>
      </w:r>
    </w:p>
    <w:p w14:paraId="7B204946"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20A7F8AB" w14:textId="7773A62D"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lastRenderedPageBreak/>
        <w:t xml:space="preserve">Figure </w:t>
      </w:r>
      <w:r w:rsidR="00453653" w:rsidRPr="00453653">
        <w:rPr>
          <w:rFonts w:ascii="Times New Roman" w:eastAsia="宋体" w:hAnsi="Times New Roman" w:cs="Times New Roman" w:hint="eastAsia"/>
          <w:b/>
          <w:bCs/>
          <w:color w:val="000000"/>
          <w:kern w:val="0"/>
          <w:szCs w:val="21"/>
        </w:rPr>
        <w:t>9</w:t>
      </w:r>
      <w:r w:rsidRPr="00E9384F">
        <w:rPr>
          <w:rFonts w:ascii="Times New Roman" w:eastAsia="宋体" w:hAnsi="Times New Roman" w:cs="Times New Roman"/>
          <w:color w:val="000000"/>
          <w:kern w:val="0"/>
          <w:szCs w:val="21"/>
        </w:rPr>
        <w:t>. Summary receiver operating characteristic (SROC) curves for subgroup analysis based on the Reference Standard. The plot contrasts the diagnostic performance between the MRI subgroup (</w:t>
      </w:r>
      <w:r w:rsidR="00FD6F5C">
        <w:rPr>
          <w:rFonts w:ascii="Times New Roman" w:eastAsia="宋体" w:hAnsi="Times New Roman" w:cs="Times New Roman" w:hint="eastAsia"/>
          <w:color w:val="000000"/>
          <w:kern w:val="0"/>
          <w:szCs w:val="21"/>
        </w:rPr>
        <w:t>red</w:t>
      </w:r>
      <w:r w:rsidRPr="00E9384F">
        <w:rPr>
          <w:rFonts w:ascii="Times New Roman" w:eastAsia="宋体" w:hAnsi="Times New Roman" w:cs="Times New Roman"/>
          <w:color w:val="000000"/>
          <w:kern w:val="0"/>
          <w:szCs w:val="21"/>
        </w:rPr>
        <w:t xml:space="preserve"> line) and the Surgery/Arthroscopy subgroup (</w:t>
      </w:r>
      <w:r w:rsidR="00FD6F5C">
        <w:rPr>
          <w:rFonts w:ascii="Times New Roman" w:eastAsia="宋体" w:hAnsi="Times New Roman" w:cs="Times New Roman" w:hint="eastAsia"/>
          <w:color w:val="000000"/>
          <w:kern w:val="0"/>
          <w:szCs w:val="21"/>
        </w:rPr>
        <w:t>green</w:t>
      </w:r>
      <w:r w:rsidRPr="00E9384F">
        <w:rPr>
          <w:rFonts w:ascii="Times New Roman" w:eastAsia="宋体" w:hAnsi="Times New Roman" w:cs="Times New Roman"/>
          <w:color w:val="000000"/>
          <w:kern w:val="0"/>
          <w:szCs w:val="21"/>
        </w:rPr>
        <w:t xml:space="preserve"> line).</w:t>
      </w:r>
    </w:p>
    <w:p w14:paraId="66FB83B9"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59F9349C" w14:textId="18E5DB41"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 xml:space="preserve">Figure </w:t>
      </w:r>
      <w:r w:rsidR="00453653" w:rsidRPr="00453653">
        <w:rPr>
          <w:rFonts w:ascii="Times New Roman" w:eastAsia="宋体" w:hAnsi="Times New Roman" w:cs="Times New Roman" w:hint="eastAsia"/>
          <w:b/>
          <w:bCs/>
          <w:color w:val="000000"/>
          <w:kern w:val="0"/>
          <w:szCs w:val="21"/>
        </w:rPr>
        <w:t>10</w:t>
      </w:r>
      <w:r w:rsidRPr="00E9384F">
        <w:rPr>
          <w:rFonts w:ascii="Times New Roman" w:eastAsia="宋体" w:hAnsi="Times New Roman" w:cs="Times New Roman"/>
          <w:color w:val="000000"/>
          <w:kern w:val="0"/>
          <w:szCs w:val="21"/>
        </w:rPr>
        <w:t>. Forest plot of subgroup analysis based on Injury Stage. Studies evaluating Acute injuries (</w:t>
      </w:r>
      <w:r w:rsidR="00FD6F5C">
        <w:rPr>
          <w:rFonts w:ascii="Times New Roman" w:eastAsia="宋体" w:hAnsi="Times New Roman" w:cs="Times New Roman" w:hint="eastAsia"/>
          <w:color w:val="000000"/>
          <w:kern w:val="0"/>
          <w:szCs w:val="21"/>
        </w:rPr>
        <w:t>red</w:t>
      </w:r>
      <w:r w:rsidRPr="00E9384F">
        <w:rPr>
          <w:rFonts w:ascii="Times New Roman" w:eastAsia="宋体" w:hAnsi="Times New Roman" w:cs="Times New Roman"/>
          <w:color w:val="000000"/>
          <w:kern w:val="0"/>
          <w:szCs w:val="21"/>
        </w:rPr>
        <w:t>) are compared with those evaluating Chronic injuries (</w:t>
      </w:r>
      <w:r w:rsidR="00FD6F5C">
        <w:rPr>
          <w:rFonts w:ascii="Times New Roman" w:eastAsia="宋体" w:hAnsi="Times New Roman" w:cs="Times New Roman" w:hint="eastAsia"/>
          <w:color w:val="000000"/>
          <w:kern w:val="0"/>
          <w:szCs w:val="21"/>
        </w:rPr>
        <w:t>green</w:t>
      </w:r>
      <w:r w:rsidRPr="00E9384F">
        <w:rPr>
          <w:rFonts w:ascii="Times New Roman" w:eastAsia="宋体" w:hAnsi="Times New Roman" w:cs="Times New Roman"/>
          <w:color w:val="000000"/>
          <w:kern w:val="0"/>
          <w:szCs w:val="21"/>
        </w:rPr>
        <w:t>). The diamond represents the pooled estimate for each subgroup.</w:t>
      </w:r>
    </w:p>
    <w:p w14:paraId="48642DCC"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463DBEE1" w14:textId="04B3A70B"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 xml:space="preserve">Figure </w:t>
      </w:r>
      <w:r w:rsidR="00453653" w:rsidRPr="00453653">
        <w:rPr>
          <w:rFonts w:ascii="Times New Roman" w:eastAsia="宋体" w:hAnsi="Times New Roman" w:cs="Times New Roman" w:hint="eastAsia"/>
          <w:b/>
          <w:bCs/>
          <w:color w:val="000000"/>
          <w:kern w:val="0"/>
          <w:szCs w:val="21"/>
        </w:rPr>
        <w:t>11</w:t>
      </w:r>
      <w:r w:rsidRPr="00E9384F">
        <w:rPr>
          <w:rFonts w:ascii="Times New Roman" w:eastAsia="宋体" w:hAnsi="Times New Roman" w:cs="Times New Roman"/>
          <w:color w:val="000000"/>
          <w:kern w:val="0"/>
          <w:szCs w:val="21"/>
        </w:rPr>
        <w:t>. Summary receiver operating characteristic (SROC) curves for subgroup analysis based on Injury Stage. The plot contrasts the diagnostic performance between the Acute injury subgroup (</w:t>
      </w:r>
      <w:r w:rsidR="00FD6F5C">
        <w:rPr>
          <w:rFonts w:ascii="Times New Roman" w:eastAsia="宋体" w:hAnsi="Times New Roman" w:cs="Times New Roman" w:hint="eastAsia"/>
          <w:color w:val="000000"/>
          <w:kern w:val="0"/>
          <w:szCs w:val="21"/>
        </w:rPr>
        <w:t>red</w:t>
      </w:r>
      <w:r w:rsidRPr="00E9384F">
        <w:rPr>
          <w:rFonts w:ascii="Times New Roman" w:eastAsia="宋体" w:hAnsi="Times New Roman" w:cs="Times New Roman"/>
          <w:color w:val="000000"/>
          <w:kern w:val="0"/>
          <w:szCs w:val="21"/>
        </w:rPr>
        <w:t xml:space="preserve"> line) and the Chronic injury subgroup (</w:t>
      </w:r>
      <w:r w:rsidR="00FD6F5C">
        <w:rPr>
          <w:rFonts w:ascii="Times New Roman" w:eastAsia="宋体" w:hAnsi="Times New Roman" w:cs="Times New Roman" w:hint="eastAsia"/>
          <w:color w:val="000000"/>
          <w:kern w:val="0"/>
          <w:szCs w:val="21"/>
        </w:rPr>
        <w:t>green</w:t>
      </w:r>
      <w:r w:rsidRPr="00E9384F">
        <w:rPr>
          <w:rFonts w:ascii="Times New Roman" w:eastAsia="宋体" w:hAnsi="Times New Roman" w:cs="Times New Roman"/>
          <w:color w:val="000000"/>
          <w:kern w:val="0"/>
          <w:szCs w:val="21"/>
        </w:rPr>
        <w:t xml:space="preserve"> line).</w:t>
      </w:r>
    </w:p>
    <w:p w14:paraId="49D09A6D"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75887F71" w14:textId="51D3EE37" w:rsidR="001614FF" w:rsidRPr="00E9384F" w:rsidRDefault="001614FF" w:rsidP="001614F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 xml:space="preserve">Figure </w:t>
      </w:r>
      <w:r w:rsidRPr="00453653">
        <w:rPr>
          <w:rFonts w:ascii="Times New Roman" w:eastAsia="宋体" w:hAnsi="Times New Roman" w:cs="Times New Roman" w:hint="eastAsia"/>
          <w:b/>
          <w:bCs/>
          <w:color w:val="000000"/>
          <w:kern w:val="0"/>
          <w:szCs w:val="21"/>
        </w:rPr>
        <w:t>12</w:t>
      </w:r>
      <w:r w:rsidRPr="00E9384F">
        <w:rPr>
          <w:rFonts w:ascii="Times New Roman" w:eastAsia="宋体" w:hAnsi="Times New Roman" w:cs="Times New Roman"/>
          <w:color w:val="000000"/>
          <w:kern w:val="0"/>
          <w:szCs w:val="21"/>
        </w:rPr>
        <w:t xml:space="preserve">. Assessment of threshold effect. This scatter plot shows the relationship between logit(sensitivity) (y-axis) and logit(1-specificity) (x-axis). Each circle represents an individual study. The red dashed line is the regression line. </w:t>
      </w:r>
      <w:r w:rsidR="00657050" w:rsidRPr="00657050">
        <w:rPr>
          <w:rFonts w:ascii="Times New Roman" w:eastAsia="宋体" w:hAnsi="Times New Roman" w:cs="Times New Roman"/>
          <w:color w:val="000000"/>
          <w:kern w:val="0"/>
          <w:szCs w:val="21"/>
        </w:rPr>
        <w:t>The red dashed line represents the regression line. The Spearman correlation coefficient (ρ = -0.224, p = 0.328) indicates no significant threshold effect, suggesting that heterogeneity is likely caused by non-threshold factors.</w:t>
      </w:r>
    </w:p>
    <w:p w14:paraId="68FC928C" w14:textId="77777777" w:rsidR="00E9384F" w:rsidRPr="001614FF" w:rsidRDefault="00E9384F" w:rsidP="00E9384F">
      <w:pPr>
        <w:widowControl/>
        <w:shd w:val="clear" w:color="auto" w:fill="FFFFFF"/>
        <w:jc w:val="left"/>
        <w:rPr>
          <w:rFonts w:ascii="Times New Roman" w:eastAsia="宋体" w:hAnsi="Times New Roman" w:cs="Times New Roman"/>
          <w:color w:val="000000"/>
          <w:kern w:val="0"/>
          <w:szCs w:val="21"/>
        </w:rPr>
      </w:pPr>
    </w:p>
    <w:p w14:paraId="3C8EE777" w14:textId="55D4EA65"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13</w:t>
      </w:r>
      <w:r w:rsidRPr="00E9384F">
        <w:rPr>
          <w:rFonts w:ascii="Times New Roman" w:eastAsia="宋体" w:hAnsi="Times New Roman" w:cs="Times New Roman"/>
          <w:color w:val="000000"/>
          <w:kern w:val="0"/>
          <w:szCs w:val="21"/>
        </w:rPr>
        <w:t xml:space="preserve">. Deeks' funnel plot for the assessment of publication bias. The y-axis represents the log of the DOR, and the x-axis represents the inverse square root of the effective sample size (1/√ESS). The dashed line represents the line of no bias. </w:t>
      </w:r>
      <w:r w:rsidR="00657050" w:rsidRPr="00657050">
        <w:rPr>
          <w:rFonts w:ascii="Times New Roman" w:eastAsia="宋体" w:hAnsi="Times New Roman" w:cs="Times New Roman"/>
          <w:color w:val="000000"/>
          <w:kern w:val="0"/>
          <w:szCs w:val="21"/>
        </w:rPr>
        <w:t>The regression line (red) and its 95% confidence limits are shown. A p-value of 0.1</w:t>
      </w:r>
      <w:r w:rsidR="00FD6F5C">
        <w:rPr>
          <w:rFonts w:ascii="Times New Roman" w:eastAsia="宋体" w:hAnsi="Times New Roman" w:cs="Times New Roman" w:hint="eastAsia"/>
          <w:color w:val="000000"/>
          <w:kern w:val="0"/>
          <w:szCs w:val="21"/>
        </w:rPr>
        <w:t>57</w:t>
      </w:r>
      <w:r w:rsidR="00657050" w:rsidRPr="00657050">
        <w:rPr>
          <w:rFonts w:ascii="Times New Roman" w:eastAsia="宋体" w:hAnsi="Times New Roman" w:cs="Times New Roman"/>
          <w:color w:val="000000"/>
          <w:kern w:val="0"/>
          <w:szCs w:val="21"/>
        </w:rPr>
        <w:t xml:space="preserve"> (Deeks’ test) indicates a lack of significant asymmetry, suggesting a low risk of publication bias. ESS: Effective Sample Size.</w:t>
      </w:r>
    </w:p>
    <w:p w14:paraId="51529B91"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6926F39F"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14</w:t>
      </w:r>
      <w:r w:rsidRPr="00E9384F">
        <w:rPr>
          <w:rFonts w:ascii="Times New Roman" w:eastAsia="宋体" w:hAnsi="Times New Roman" w:cs="Times New Roman"/>
          <w:color w:val="000000"/>
          <w:kern w:val="0"/>
          <w:szCs w:val="21"/>
        </w:rPr>
        <w:t>. Leave-one-out sensitivity analysis. This analysis shows the influence of each individual study on the pooled estimates of (A) sensitivity, (B) specificity, and (C) diagnostic odds ratio (DOR). The red dashed line represents the original pooled estimate, and the pink shaded area represents its 95% CI. The results demonstrate that the pooled estimates remained stable after the exclusion of any single study.</w:t>
      </w:r>
    </w:p>
    <w:p w14:paraId="165D14D3"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0BF49203"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15</w:t>
      </w:r>
      <w:r w:rsidRPr="00E9384F">
        <w:rPr>
          <w:rFonts w:ascii="Times New Roman" w:eastAsia="宋体" w:hAnsi="Times New Roman" w:cs="Times New Roman"/>
          <w:color w:val="000000"/>
          <w:kern w:val="0"/>
          <w:szCs w:val="21"/>
        </w:rPr>
        <w:t>. Likelihood ratio scatter plot. Each point represents an individual included study. The x-axis shows the positive likelihood ratio (PLR) on a logarithmic scale, and the y-axis shows the negative likelihood ratio (NLR) on a logarithmic scale. The vertical dashed line indicates PLR = 1, and the horizontal dashed line indicates NLR = 1. Studies located in the lower-right quadrant (PLR &gt; 1 and NLR &lt; 1) suggest that the diagnostic test has clinical value.</w:t>
      </w:r>
    </w:p>
    <w:p w14:paraId="409228C6"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423309CC" w14:textId="528A487B"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16</w:t>
      </w:r>
      <w:r w:rsidRPr="00E9384F">
        <w:rPr>
          <w:rFonts w:ascii="Times New Roman" w:eastAsia="宋体" w:hAnsi="Times New Roman" w:cs="Times New Roman"/>
          <w:color w:val="000000"/>
          <w:kern w:val="0"/>
          <w:szCs w:val="21"/>
        </w:rPr>
        <w:t xml:space="preserve">. </w:t>
      </w:r>
      <w:r w:rsidR="00657050" w:rsidRPr="00657050">
        <w:rPr>
          <w:rFonts w:ascii="Times New Roman" w:eastAsia="宋体" w:hAnsi="Times New Roman" w:cs="Times New Roman"/>
          <w:color w:val="000000"/>
          <w:kern w:val="0"/>
          <w:szCs w:val="21"/>
        </w:rPr>
        <w:t>Fagan's nomogram for evaluating clinical utility. The left axis represents the pre-test probability, the middle axis represents the likelihood ratio (PLR = 6, NLR = 0.09), and the right axis shows the post-test probability. The lines illustrate how the pre-test probabilities of 20% (A), 50% (B), and 70% (C) are altered by the likelihood ratios.</w:t>
      </w:r>
    </w:p>
    <w:p w14:paraId="3B0BB718" w14:textId="77777777"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p>
    <w:p w14:paraId="1E7FA5F1" w14:textId="4B7BE158" w:rsidR="00E9384F" w:rsidRPr="00E9384F" w:rsidRDefault="00E9384F" w:rsidP="00E9384F">
      <w:pPr>
        <w:widowControl/>
        <w:shd w:val="clear" w:color="auto" w:fill="FFFFFF"/>
        <w:jc w:val="left"/>
        <w:rPr>
          <w:rFonts w:ascii="Times New Roman" w:eastAsia="宋体" w:hAnsi="Times New Roman" w:cs="Times New Roman"/>
          <w:color w:val="000000"/>
          <w:kern w:val="0"/>
          <w:szCs w:val="21"/>
        </w:rPr>
      </w:pPr>
      <w:r w:rsidRPr="00453653">
        <w:rPr>
          <w:rFonts w:ascii="Times New Roman" w:eastAsia="宋体" w:hAnsi="Times New Roman" w:cs="Times New Roman"/>
          <w:b/>
          <w:bCs/>
          <w:color w:val="000000"/>
          <w:kern w:val="0"/>
          <w:szCs w:val="21"/>
        </w:rPr>
        <w:t>Figure 17</w:t>
      </w:r>
      <w:r w:rsidRPr="00E9384F">
        <w:rPr>
          <w:rFonts w:ascii="Times New Roman" w:eastAsia="宋体" w:hAnsi="Times New Roman" w:cs="Times New Roman"/>
          <w:color w:val="000000"/>
          <w:kern w:val="0"/>
          <w:szCs w:val="21"/>
        </w:rPr>
        <w:t xml:space="preserve">. Relationship between predictive values and prevalence. This plot illustrates the changes in positive predictive value (PPV, blue line) and negative predictive value (NPV, red line) </w:t>
      </w:r>
      <w:r w:rsidRPr="00E9384F">
        <w:rPr>
          <w:rFonts w:ascii="Times New Roman" w:eastAsia="宋体" w:hAnsi="Times New Roman" w:cs="Times New Roman"/>
          <w:color w:val="000000"/>
          <w:kern w:val="0"/>
          <w:szCs w:val="21"/>
        </w:rPr>
        <w:lastRenderedPageBreak/>
        <w:t>according to varying prevalence (pre-test probability), based on a pooled sensitivity of 0.934 and specificity of 0.856.</w:t>
      </w:r>
    </w:p>
    <w:sectPr w:rsidR="00E9384F" w:rsidRPr="00E9384F" w:rsidSect="00E54628">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3B"/>
    <w:rsid w:val="000049A8"/>
    <w:rsid w:val="0000588F"/>
    <w:rsid w:val="00016E0B"/>
    <w:rsid w:val="000342FC"/>
    <w:rsid w:val="00036369"/>
    <w:rsid w:val="00040158"/>
    <w:rsid w:val="00041FC5"/>
    <w:rsid w:val="0005396B"/>
    <w:rsid w:val="00054D22"/>
    <w:rsid w:val="000622FE"/>
    <w:rsid w:val="00063BC2"/>
    <w:rsid w:val="00077288"/>
    <w:rsid w:val="000851D4"/>
    <w:rsid w:val="00090250"/>
    <w:rsid w:val="000919D5"/>
    <w:rsid w:val="000A1004"/>
    <w:rsid w:val="000A4817"/>
    <w:rsid w:val="000A5734"/>
    <w:rsid w:val="000A65CF"/>
    <w:rsid w:val="000B5106"/>
    <w:rsid w:val="000B5675"/>
    <w:rsid w:val="000B7E53"/>
    <w:rsid w:val="000D4274"/>
    <w:rsid w:val="000E0CBE"/>
    <w:rsid w:val="001019DA"/>
    <w:rsid w:val="00112E2C"/>
    <w:rsid w:val="00113F38"/>
    <w:rsid w:val="00123FFC"/>
    <w:rsid w:val="001373C3"/>
    <w:rsid w:val="00147FBE"/>
    <w:rsid w:val="001563B1"/>
    <w:rsid w:val="001614FF"/>
    <w:rsid w:val="00164D81"/>
    <w:rsid w:val="00173F8A"/>
    <w:rsid w:val="00180AA3"/>
    <w:rsid w:val="00190850"/>
    <w:rsid w:val="00190A19"/>
    <w:rsid w:val="001A5616"/>
    <w:rsid w:val="001B25C9"/>
    <w:rsid w:val="001B5875"/>
    <w:rsid w:val="001D25F7"/>
    <w:rsid w:val="001E63F4"/>
    <w:rsid w:val="00203851"/>
    <w:rsid w:val="002047A8"/>
    <w:rsid w:val="002053B0"/>
    <w:rsid w:val="00206670"/>
    <w:rsid w:val="0021764A"/>
    <w:rsid w:val="00227F3B"/>
    <w:rsid w:val="00231380"/>
    <w:rsid w:val="002371AF"/>
    <w:rsid w:val="00237DA5"/>
    <w:rsid w:val="00241F50"/>
    <w:rsid w:val="00244ADD"/>
    <w:rsid w:val="002503A4"/>
    <w:rsid w:val="00250825"/>
    <w:rsid w:val="0025422D"/>
    <w:rsid w:val="00255796"/>
    <w:rsid w:val="00260235"/>
    <w:rsid w:val="002607F4"/>
    <w:rsid w:val="00262C03"/>
    <w:rsid w:val="00262ED9"/>
    <w:rsid w:val="00286F07"/>
    <w:rsid w:val="00292CB4"/>
    <w:rsid w:val="0029390F"/>
    <w:rsid w:val="00294C0A"/>
    <w:rsid w:val="00297C03"/>
    <w:rsid w:val="002A000A"/>
    <w:rsid w:val="002B38C2"/>
    <w:rsid w:val="002C0786"/>
    <w:rsid w:val="002C1EA3"/>
    <w:rsid w:val="002C3CFB"/>
    <w:rsid w:val="002C43EF"/>
    <w:rsid w:val="002C7075"/>
    <w:rsid w:val="002D1C31"/>
    <w:rsid w:val="002D1D73"/>
    <w:rsid w:val="002D7C43"/>
    <w:rsid w:val="002D7DED"/>
    <w:rsid w:val="002E118E"/>
    <w:rsid w:val="002E466A"/>
    <w:rsid w:val="002E46E9"/>
    <w:rsid w:val="002E7E5C"/>
    <w:rsid w:val="002F6BF6"/>
    <w:rsid w:val="00304153"/>
    <w:rsid w:val="003140E6"/>
    <w:rsid w:val="00320CC3"/>
    <w:rsid w:val="00326461"/>
    <w:rsid w:val="003347E8"/>
    <w:rsid w:val="00334AE7"/>
    <w:rsid w:val="00340ED9"/>
    <w:rsid w:val="0035167F"/>
    <w:rsid w:val="00353487"/>
    <w:rsid w:val="00375380"/>
    <w:rsid w:val="00390D6C"/>
    <w:rsid w:val="003924EF"/>
    <w:rsid w:val="00392D07"/>
    <w:rsid w:val="003C65E0"/>
    <w:rsid w:val="003D2732"/>
    <w:rsid w:val="003D2797"/>
    <w:rsid w:val="003F3833"/>
    <w:rsid w:val="003F62C2"/>
    <w:rsid w:val="00406313"/>
    <w:rsid w:val="0041054C"/>
    <w:rsid w:val="004178DD"/>
    <w:rsid w:val="00431CD9"/>
    <w:rsid w:val="00434A61"/>
    <w:rsid w:val="004351B1"/>
    <w:rsid w:val="004432E9"/>
    <w:rsid w:val="004434AE"/>
    <w:rsid w:val="004465FC"/>
    <w:rsid w:val="00453653"/>
    <w:rsid w:val="00462B52"/>
    <w:rsid w:val="0046549C"/>
    <w:rsid w:val="00471F91"/>
    <w:rsid w:val="004806AC"/>
    <w:rsid w:val="00483754"/>
    <w:rsid w:val="00486B51"/>
    <w:rsid w:val="00497045"/>
    <w:rsid w:val="004A44FF"/>
    <w:rsid w:val="004B1110"/>
    <w:rsid w:val="004B1182"/>
    <w:rsid w:val="004B34EE"/>
    <w:rsid w:val="004B7640"/>
    <w:rsid w:val="004C5120"/>
    <w:rsid w:val="004C73CD"/>
    <w:rsid w:val="004D505C"/>
    <w:rsid w:val="004E3B82"/>
    <w:rsid w:val="004F4C43"/>
    <w:rsid w:val="005001CE"/>
    <w:rsid w:val="00510D67"/>
    <w:rsid w:val="0051243B"/>
    <w:rsid w:val="00517999"/>
    <w:rsid w:val="005223CF"/>
    <w:rsid w:val="00530988"/>
    <w:rsid w:val="00533AF8"/>
    <w:rsid w:val="00534763"/>
    <w:rsid w:val="00537F8B"/>
    <w:rsid w:val="00540842"/>
    <w:rsid w:val="005427B3"/>
    <w:rsid w:val="005508A6"/>
    <w:rsid w:val="005541F9"/>
    <w:rsid w:val="005603DE"/>
    <w:rsid w:val="005658E8"/>
    <w:rsid w:val="00570650"/>
    <w:rsid w:val="00583BB0"/>
    <w:rsid w:val="005907D3"/>
    <w:rsid w:val="00596D8C"/>
    <w:rsid w:val="005A319A"/>
    <w:rsid w:val="005A7B85"/>
    <w:rsid w:val="005B3F46"/>
    <w:rsid w:val="005B64E5"/>
    <w:rsid w:val="005B6BB9"/>
    <w:rsid w:val="005E33F8"/>
    <w:rsid w:val="005E5506"/>
    <w:rsid w:val="005E6EF9"/>
    <w:rsid w:val="005F08A8"/>
    <w:rsid w:val="00602DF6"/>
    <w:rsid w:val="00611C73"/>
    <w:rsid w:val="006265CD"/>
    <w:rsid w:val="00633D42"/>
    <w:rsid w:val="00634FF8"/>
    <w:rsid w:val="00645D15"/>
    <w:rsid w:val="00657050"/>
    <w:rsid w:val="00661E71"/>
    <w:rsid w:val="00675871"/>
    <w:rsid w:val="006776A5"/>
    <w:rsid w:val="00683266"/>
    <w:rsid w:val="00685C1F"/>
    <w:rsid w:val="00691808"/>
    <w:rsid w:val="00692053"/>
    <w:rsid w:val="00695269"/>
    <w:rsid w:val="006A3490"/>
    <w:rsid w:val="006A3D24"/>
    <w:rsid w:val="006C4370"/>
    <w:rsid w:val="006D00A8"/>
    <w:rsid w:val="006E5508"/>
    <w:rsid w:val="006E6496"/>
    <w:rsid w:val="006F6724"/>
    <w:rsid w:val="006F70A9"/>
    <w:rsid w:val="006F7BC0"/>
    <w:rsid w:val="00707CF9"/>
    <w:rsid w:val="00712FEF"/>
    <w:rsid w:val="007136E0"/>
    <w:rsid w:val="00717060"/>
    <w:rsid w:val="00721D49"/>
    <w:rsid w:val="00721E18"/>
    <w:rsid w:val="007279A0"/>
    <w:rsid w:val="007323ED"/>
    <w:rsid w:val="00735AA7"/>
    <w:rsid w:val="00741F4D"/>
    <w:rsid w:val="007450CC"/>
    <w:rsid w:val="00751187"/>
    <w:rsid w:val="00754B03"/>
    <w:rsid w:val="00755755"/>
    <w:rsid w:val="00760B18"/>
    <w:rsid w:val="00762FDF"/>
    <w:rsid w:val="007702CA"/>
    <w:rsid w:val="00774396"/>
    <w:rsid w:val="007772FA"/>
    <w:rsid w:val="007803D4"/>
    <w:rsid w:val="0078471E"/>
    <w:rsid w:val="00791640"/>
    <w:rsid w:val="00795465"/>
    <w:rsid w:val="007A00A8"/>
    <w:rsid w:val="007A3458"/>
    <w:rsid w:val="007A660A"/>
    <w:rsid w:val="007C224E"/>
    <w:rsid w:val="007C2428"/>
    <w:rsid w:val="007C24AF"/>
    <w:rsid w:val="007C25CA"/>
    <w:rsid w:val="007C26A9"/>
    <w:rsid w:val="007C3F20"/>
    <w:rsid w:val="007C4F44"/>
    <w:rsid w:val="007D0949"/>
    <w:rsid w:val="007D186A"/>
    <w:rsid w:val="007E0BCD"/>
    <w:rsid w:val="007F3D07"/>
    <w:rsid w:val="007F5270"/>
    <w:rsid w:val="007F6537"/>
    <w:rsid w:val="00800E7A"/>
    <w:rsid w:val="00805014"/>
    <w:rsid w:val="00821C31"/>
    <w:rsid w:val="00831CE1"/>
    <w:rsid w:val="00832BE7"/>
    <w:rsid w:val="008357C2"/>
    <w:rsid w:val="00851E4C"/>
    <w:rsid w:val="00865498"/>
    <w:rsid w:val="008701E1"/>
    <w:rsid w:val="00875D09"/>
    <w:rsid w:val="008916AE"/>
    <w:rsid w:val="00892733"/>
    <w:rsid w:val="008A4D25"/>
    <w:rsid w:val="008B04C7"/>
    <w:rsid w:val="008B16EB"/>
    <w:rsid w:val="008B429B"/>
    <w:rsid w:val="008B5421"/>
    <w:rsid w:val="008C1100"/>
    <w:rsid w:val="008C676D"/>
    <w:rsid w:val="008D41F8"/>
    <w:rsid w:val="008D62FA"/>
    <w:rsid w:val="008E49B0"/>
    <w:rsid w:val="008F2879"/>
    <w:rsid w:val="008F6131"/>
    <w:rsid w:val="008F7426"/>
    <w:rsid w:val="009069F8"/>
    <w:rsid w:val="009142B1"/>
    <w:rsid w:val="009257C1"/>
    <w:rsid w:val="0092700C"/>
    <w:rsid w:val="00936D3E"/>
    <w:rsid w:val="00941CAC"/>
    <w:rsid w:val="009435AF"/>
    <w:rsid w:val="00944642"/>
    <w:rsid w:val="00964AEA"/>
    <w:rsid w:val="00967CC4"/>
    <w:rsid w:val="00971A82"/>
    <w:rsid w:val="0097789A"/>
    <w:rsid w:val="0098245C"/>
    <w:rsid w:val="009A3671"/>
    <w:rsid w:val="009B0947"/>
    <w:rsid w:val="009B3CA8"/>
    <w:rsid w:val="009D4017"/>
    <w:rsid w:val="009E2DC5"/>
    <w:rsid w:val="009E642D"/>
    <w:rsid w:val="009F1158"/>
    <w:rsid w:val="00A0257D"/>
    <w:rsid w:val="00A06E16"/>
    <w:rsid w:val="00A14696"/>
    <w:rsid w:val="00A20A25"/>
    <w:rsid w:val="00A35000"/>
    <w:rsid w:val="00A3648F"/>
    <w:rsid w:val="00A42F53"/>
    <w:rsid w:val="00A475BE"/>
    <w:rsid w:val="00A55B18"/>
    <w:rsid w:val="00A57E92"/>
    <w:rsid w:val="00A7037A"/>
    <w:rsid w:val="00A818E4"/>
    <w:rsid w:val="00AA35E3"/>
    <w:rsid w:val="00AA45C6"/>
    <w:rsid w:val="00AA7649"/>
    <w:rsid w:val="00AC087E"/>
    <w:rsid w:val="00AD0E32"/>
    <w:rsid w:val="00AD6F48"/>
    <w:rsid w:val="00AD7315"/>
    <w:rsid w:val="00AD7ED9"/>
    <w:rsid w:val="00AE49F3"/>
    <w:rsid w:val="00B014F1"/>
    <w:rsid w:val="00B01B6D"/>
    <w:rsid w:val="00B0487E"/>
    <w:rsid w:val="00B1166C"/>
    <w:rsid w:val="00B16382"/>
    <w:rsid w:val="00B17FAF"/>
    <w:rsid w:val="00B2104A"/>
    <w:rsid w:val="00B4149A"/>
    <w:rsid w:val="00B4505F"/>
    <w:rsid w:val="00B47550"/>
    <w:rsid w:val="00B478AD"/>
    <w:rsid w:val="00B55470"/>
    <w:rsid w:val="00B62C38"/>
    <w:rsid w:val="00B67A61"/>
    <w:rsid w:val="00B67BCD"/>
    <w:rsid w:val="00B732F7"/>
    <w:rsid w:val="00B746C3"/>
    <w:rsid w:val="00B75778"/>
    <w:rsid w:val="00B808A4"/>
    <w:rsid w:val="00B832F3"/>
    <w:rsid w:val="00B9112E"/>
    <w:rsid w:val="00B921CD"/>
    <w:rsid w:val="00B92880"/>
    <w:rsid w:val="00B96231"/>
    <w:rsid w:val="00B9645E"/>
    <w:rsid w:val="00BA07BE"/>
    <w:rsid w:val="00BA0F70"/>
    <w:rsid w:val="00BA19FF"/>
    <w:rsid w:val="00BA7D55"/>
    <w:rsid w:val="00BB0178"/>
    <w:rsid w:val="00BB2B5F"/>
    <w:rsid w:val="00BB6B4B"/>
    <w:rsid w:val="00BC5D62"/>
    <w:rsid w:val="00BD39BF"/>
    <w:rsid w:val="00BE19A7"/>
    <w:rsid w:val="00BF3C48"/>
    <w:rsid w:val="00BF5F61"/>
    <w:rsid w:val="00C14D30"/>
    <w:rsid w:val="00C15D2E"/>
    <w:rsid w:val="00C16971"/>
    <w:rsid w:val="00C325A9"/>
    <w:rsid w:val="00C36602"/>
    <w:rsid w:val="00C47D4D"/>
    <w:rsid w:val="00C614B7"/>
    <w:rsid w:val="00C61BC1"/>
    <w:rsid w:val="00C66E63"/>
    <w:rsid w:val="00C67578"/>
    <w:rsid w:val="00C67DE1"/>
    <w:rsid w:val="00C70B66"/>
    <w:rsid w:val="00C718C8"/>
    <w:rsid w:val="00C71E35"/>
    <w:rsid w:val="00C74D52"/>
    <w:rsid w:val="00C76C49"/>
    <w:rsid w:val="00C84CC4"/>
    <w:rsid w:val="00C9274A"/>
    <w:rsid w:val="00C95834"/>
    <w:rsid w:val="00C96AA6"/>
    <w:rsid w:val="00C97EBF"/>
    <w:rsid w:val="00CA2C8E"/>
    <w:rsid w:val="00CB2057"/>
    <w:rsid w:val="00CB6E91"/>
    <w:rsid w:val="00CC0806"/>
    <w:rsid w:val="00CC0A47"/>
    <w:rsid w:val="00CC0F5F"/>
    <w:rsid w:val="00CC1F55"/>
    <w:rsid w:val="00CD0F7F"/>
    <w:rsid w:val="00CE1FBB"/>
    <w:rsid w:val="00CE4CDD"/>
    <w:rsid w:val="00D00749"/>
    <w:rsid w:val="00D02033"/>
    <w:rsid w:val="00D02B2B"/>
    <w:rsid w:val="00D07AA2"/>
    <w:rsid w:val="00D11306"/>
    <w:rsid w:val="00D11940"/>
    <w:rsid w:val="00D11E39"/>
    <w:rsid w:val="00D1631B"/>
    <w:rsid w:val="00D1703F"/>
    <w:rsid w:val="00D213B1"/>
    <w:rsid w:val="00D21402"/>
    <w:rsid w:val="00D26627"/>
    <w:rsid w:val="00D35DBF"/>
    <w:rsid w:val="00D62E9D"/>
    <w:rsid w:val="00D777F6"/>
    <w:rsid w:val="00D803B4"/>
    <w:rsid w:val="00D86333"/>
    <w:rsid w:val="00D87CEF"/>
    <w:rsid w:val="00D92D84"/>
    <w:rsid w:val="00D947E7"/>
    <w:rsid w:val="00DA4D85"/>
    <w:rsid w:val="00DB24BD"/>
    <w:rsid w:val="00DB65AF"/>
    <w:rsid w:val="00DB7DAB"/>
    <w:rsid w:val="00DC05B0"/>
    <w:rsid w:val="00DC14C5"/>
    <w:rsid w:val="00DC3032"/>
    <w:rsid w:val="00DC5DE7"/>
    <w:rsid w:val="00DC6B91"/>
    <w:rsid w:val="00DD2E9D"/>
    <w:rsid w:val="00DE4A0B"/>
    <w:rsid w:val="00DF24DC"/>
    <w:rsid w:val="00DF2866"/>
    <w:rsid w:val="00DF4A03"/>
    <w:rsid w:val="00E04727"/>
    <w:rsid w:val="00E10DAC"/>
    <w:rsid w:val="00E1196B"/>
    <w:rsid w:val="00E12102"/>
    <w:rsid w:val="00E15755"/>
    <w:rsid w:val="00E16F20"/>
    <w:rsid w:val="00E20C78"/>
    <w:rsid w:val="00E3631C"/>
    <w:rsid w:val="00E407DA"/>
    <w:rsid w:val="00E54628"/>
    <w:rsid w:val="00E5499E"/>
    <w:rsid w:val="00E55EED"/>
    <w:rsid w:val="00E5704E"/>
    <w:rsid w:val="00E57DB3"/>
    <w:rsid w:val="00E60315"/>
    <w:rsid w:val="00E7417B"/>
    <w:rsid w:val="00E76139"/>
    <w:rsid w:val="00E9306B"/>
    <w:rsid w:val="00E9384F"/>
    <w:rsid w:val="00E938EE"/>
    <w:rsid w:val="00EA28B9"/>
    <w:rsid w:val="00EB2912"/>
    <w:rsid w:val="00EC28C0"/>
    <w:rsid w:val="00EC41B4"/>
    <w:rsid w:val="00EF2C82"/>
    <w:rsid w:val="00F06099"/>
    <w:rsid w:val="00F15FB3"/>
    <w:rsid w:val="00F26AB5"/>
    <w:rsid w:val="00F471A6"/>
    <w:rsid w:val="00F50E6C"/>
    <w:rsid w:val="00F53199"/>
    <w:rsid w:val="00F57CCD"/>
    <w:rsid w:val="00F60225"/>
    <w:rsid w:val="00F6211F"/>
    <w:rsid w:val="00F65205"/>
    <w:rsid w:val="00F65FA0"/>
    <w:rsid w:val="00F66546"/>
    <w:rsid w:val="00F70AC3"/>
    <w:rsid w:val="00F744CC"/>
    <w:rsid w:val="00F74A7A"/>
    <w:rsid w:val="00F779D6"/>
    <w:rsid w:val="00F850E5"/>
    <w:rsid w:val="00F87B48"/>
    <w:rsid w:val="00F93955"/>
    <w:rsid w:val="00F97F2B"/>
    <w:rsid w:val="00FA3C74"/>
    <w:rsid w:val="00FB1BD0"/>
    <w:rsid w:val="00FB3F5D"/>
    <w:rsid w:val="00FB5C7D"/>
    <w:rsid w:val="00FB5EEB"/>
    <w:rsid w:val="00FB6E68"/>
    <w:rsid w:val="00FB7215"/>
    <w:rsid w:val="00FB7538"/>
    <w:rsid w:val="00FC135B"/>
    <w:rsid w:val="00FC47CA"/>
    <w:rsid w:val="00FD6F5C"/>
    <w:rsid w:val="00FD7A6D"/>
    <w:rsid w:val="00FF1364"/>
    <w:rsid w:val="00FF31B7"/>
    <w:rsid w:val="00FF6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562D406"/>
  <w15:chartTrackingRefBased/>
  <w15:docId w15:val="{18EB8A54-F4CC-0D47-8D5C-9DAA53D53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7F3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27F3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227F3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27F3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27F3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27F3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27F3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27F3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27F3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27F3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27F3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227F3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27F3B"/>
    <w:rPr>
      <w:rFonts w:cstheme="majorBidi"/>
      <w:color w:val="0F4761" w:themeColor="accent1" w:themeShade="BF"/>
      <w:sz w:val="28"/>
      <w:szCs w:val="28"/>
    </w:rPr>
  </w:style>
  <w:style w:type="character" w:customStyle="1" w:styleId="50">
    <w:name w:val="标题 5 字符"/>
    <w:basedOn w:val="a0"/>
    <w:link w:val="5"/>
    <w:uiPriority w:val="9"/>
    <w:semiHidden/>
    <w:rsid w:val="00227F3B"/>
    <w:rPr>
      <w:rFonts w:cstheme="majorBidi"/>
      <w:color w:val="0F4761" w:themeColor="accent1" w:themeShade="BF"/>
      <w:sz w:val="24"/>
    </w:rPr>
  </w:style>
  <w:style w:type="character" w:customStyle="1" w:styleId="60">
    <w:name w:val="标题 6 字符"/>
    <w:basedOn w:val="a0"/>
    <w:link w:val="6"/>
    <w:uiPriority w:val="9"/>
    <w:semiHidden/>
    <w:rsid w:val="00227F3B"/>
    <w:rPr>
      <w:rFonts w:cstheme="majorBidi"/>
      <w:b/>
      <w:bCs/>
      <w:color w:val="0F4761" w:themeColor="accent1" w:themeShade="BF"/>
    </w:rPr>
  </w:style>
  <w:style w:type="character" w:customStyle="1" w:styleId="70">
    <w:name w:val="标题 7 字符"/>
    <w:basedOn w:val="a0"/>
    <w:link w:val="7"/>
    <w:uiPriority w:val="9"/>
    <w:semiHidden/>
    <w:rsid w:val="00227F3B"/>
    <w:rPr>
      <w:rFonts w:cstheme="majorBidi"/>
      <w:b/>
      <w:bCs/>
      <w:color w:val="595959" w:themeColor="text1" w:themeTint="A6"/>
    </w:rPr>
  </w:style>
  <w:style w:type="character" w:customStyle="1" w:styleId="80">
    <w:name w:val="标题 8 字符"/>
    <w:basedOn w:val="a0"/>
    <w:link w:val="8"/>
    <w:uiPriority w:val="9"/>
    <w:semiHidden/>
    <w:rsid w:val="00227F3B"/>
    <w:rPr>
      <w:rFonts w:cstheme="majorBidi"/>
      <w:color w:val="595959" w:themeColor="text1" w:themeTint="A6"/>
    </w:rPr>
  </w:style>
  <w:style w:type="character" w:customStyle="1" w:styleId="90">
    <w:name w:val="标题 9 字符"/>
    <w:basedOn w:val="a0"/>
    <w:link w:val="9"/>
    <w:uiPriority w:val="9"/>
    <w:semiHidden/>
    <w:rsid w:val="00227F3B"/>
    <w:rPr>
      <w:rFonts w:eastAsiaTheme="majorEastAsia" w:cstheme="majorBidi"/>
      <w:color w:val="595959" w:themeColor="text1" w:themeTint="A6"/>
    </w:rPr>
  </w:style>
  <w:style w:type="paragraph" w:styleId="a3">
    <w:name w:val="Title"/>
    <w:basedOn w:val="a"/>
    <w:next w:val="a"/>
    <w:link w:val="a4"/>
    <w:uiPriority w:val="10"/>
    <w:qFormat/>
    <w:rsid w:val="00227F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27F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7F3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27F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27F3B"/>
    <w:pPr>
      <w:spacing w:before="160" w:after="160"/>
      <w:jc w:val="center"/>
    </w:pPr>
    <w:rPr>
      <w:i/>
      <w:iCs/>
      <w:color w:val="404040" w:themeColor="text1" w:themeTint="BF"/>
    </w:rPr>
  </w:style>
  <w:style w:type="character" w:customStyle="1" w:styleId="a8">
    <w:name w:val="引用 字符"/>
    <w:basedOn w:val="a0"/>
    <w:link w:val="a7"/>
    <w:uiPriority w:val="29"/>
    <w:rsid w:val="00227F3B"/>
    <w:rPr>
      <w:i/>
      <w:iCs/>
      <w:color w:val="404040" w:themeColor="text1" w:themeTint="BF"/>
    </w:rPr>
  </w:style>
  <w:style w:type="paragraph" w:styleId="a9">
    <w:name w:val="List Paragraph"/>
    <w:basedOn w:val="a"/>
    <w:uiPriority w:val="34"/>
    <w:qFormat/>
    <w:rsid w:val="00227F3B"/>
    <w:pPr>
      <w:ind w:left="720"/>
      <w:contextualSpacing/>
    </w:pPr>
  </w:style>
  <w:style w:type="character" w:styleId="aa">
    <w:name w:val="Intense Emphasis"/>
    <w:basedOn w:val="a0"/>
    <w:uiPriority w:val="21"/>
    <w:qFormat/>
    <w:rsid w:val="00227F3B"/>
    <w:rPr>
      <w:i/>
      <w:iCs/>
      <w:color w:val="0F4761" w:themeColor="accent1" w:themeShade="BF"/>
    </w:rPr>
  </w:style>
  <w:style w:type="paragraph" w:styleId="ab">
    <w:name w:val="Intense Quote"/>
    <w:basedOn w:val="a"/>
    <w:next w:val="a"/>
    <w:link w:val="ac"/>
    <w:uiPriority w:val="30"/>
    <w:qFormat/>
    <w:rsid w:val="00227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27F3B"/>
    <w:rPr>
      <w:i/>
      <w:iCs/>
      <w:color w:val="0F4761" w:themeColor="accent1" w:themeShade="BF"/>
    </w:rPr>
  </w:style>
  <w:style w:type="character" w:styleId="ad">
    <w:name w:val="Intense Reference"/>
    <w:basedOn w:val="a0"/>
    <w:uiPriority w:val="32"/>
    <w:qFormat/>
    <w:rsid w:val="00227F3B"/>
    <w:rPr>
      <w:b/>
      <w:bCs/>
      <w:smallCaps/>
      <w:color w:val="0F4761" w:themeColor="accent1" w:themeShade="BF"/>
      <w:spacing w:val="5"/>
    </w:rPr>
  </w:style>
  <w:style w:type="paragraph" w:styleId="ae">
    <w:name w:val="Normal (Web)"/>
    <w:basedOn w:val="a"/>
    <w:uiPriority w:val="99"/>
    <w:semiHidden/>
    <w:unhideWhenUsed/>
    <w:rsid w:val="00227F3B"/>
    <w:pPr>
      <w:widowControl/>
      <w:spacing w:before="100" w:beforeAutospacing="1" w:after="100" w:afterAutospacing="1"/>
      <w:jc w:val="left"/>
    </w:pPr>
    <w:rPr>
      <w:rFonts w:ascii="宋体" w:eastAsia="宋体" w:hAnsi="宋体" w:cs="宋体"/>
      <w:kern w:val="0"/>
      <w:sz w:val="24"/>
    </w:rPr>
  </w:style>
  <w:style w:type="character" w:styleId="af">
    <w:name w:val="Strong"/>
    <w:basedOn w:val="a0"/>
    <w:uiPriority w:val="22"/>
    <w:qFormat/>
    <w:rsid w:val="00227F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851</Words>
  <Characters>4852</Characters>
  <Application>Microsoft Office Word</Application>
  <DocSecurity>0</DocSecurity>
  <Lines>40</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dc:creator>
  <cp:keywords/>
  <dc:description/>
  <cp:lastModifiedBy>529656286@qq.com</cp:lastModifiedBy>
  <cp:revision>10</cp:revision>
  <dcterms:created xsi:type="dcterms:W3CDTF">2025-11-05T15:12:00Z</dcterms:created>
  <dcterms:modified xsi:type="dcterms:W3CDTF">2025-11-28T13:42:00Z</dcterms:modified>
</cp:coreProperties>
</file>