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7208B" w14:textId="225DB5CE" w:rsidR="003564F5" w:rsidRPr="003564F5" w:rsidRDefault="003564F5" w:rsidP="003A60B6">
      <w:pPr>
        <w:spacing w:line="276" w:lineRule="auto"/>
        <w:jc w:val="center"/>
        <w:rPr>
          <w:b/>
          <w:bCs/>
          <w:u w:val="single"/>
        </w:rPr>
      </w:pPr>
      <w:r>
        <w:rPr>
          <w:b/>
          <w:bCs/>
          <w:u w:val="single"/>
        </w:rPr>
        <w:t>Supplemental Information – Statistical Modeling</w:t>
      </w:r>
    </w:p>
    <w:p w14:paraId="4FA9C251" w14:textId="09D966A8" w:rsidR="003A60B6" w:rsidRPr="003A60B6" w:rsidRDefault="003A60B6" w:rsidP="003A60B6">
      <w:pPr>
        <w:spacing w:line="276" w:lineRule="auto"/>
        <w:jc w:val="both"/>
        <w:rPr>
          <w:b/>
          <w:bCs/>
        </w:rPr>
      </w:pPr>
      <w:r>
        <w:rPr>
          <w:b/>
          <w:bCs/>
        </w:rPr>
        <w:t>CV</w:t>
      </w:r>
      <w:r w:rsidR="002C7626">
        <w:rPr>
          <w:b/>
          <w:bCs/>
        </w:rPr>
        <w:t>-</w:t>
      </w:r>
      <w:r>
        <w:rPr>
          <w:b/>
          <w:bCs/>
        </w:rPr>
        <w:t>K</w:t>
      </w:r>
      <w:r>
        <w:rPr>
          <w:b/>
          <w:bCs/>
          <w:vertAlign w:val="superscript"/>
        </w:rPr>
        <w:t>+</w:t>
      </w:r>
      <w:r>
        <w:rPr>
          <w:b/>
          <w:bCs/>
        </w:rPr>
        <w:t xml:space="preserve"> as a function of perfusate Na</w:t>
      </w:r>
      <w:r w:rsidRPr="003A60B6">
        <w:rPr>
          <w:b/>
          <w:bCs/>
          <w:vertAlign w:val="superscript"/>
        </w:rPr>
        <w:t>+</w:t>
      </w:r>
      <w:r>
        <w:rPr>
          <w:b/>
          <w:bCs/>
        </w:rPr>
        <w:t xml:space="preserve"> and Ca</w:t>
      </w:r>
      <w:r w:rsidRPr="003A60B6">
        <w:rPr>
          <w:b/>
          <w:bCs/>
          <w:vertAlign w:val="superscript"/>
        </w:rPr>
        <w:t>2+</w:t>
      </w:r>
      <w:r>
        <w:rPr>
          <w:b/>
          <w:bCs/>
        </w:rPr>
        <w:t xml:space="preserve"> </w:t>
      </w:r>
    </w:p>
    <w:p w14:paraId="357A7024" w14:textId="23FF4347" w:rsidR="003564F5" w:rsidRDefault="003564F5" w:rsidP="003A60B6">
      <w:pPr>
        <w:spacing w:line="276" w:lineRule="auto"/>
        <w:jc w:val="both"/>
      </w:pPr>
      <w:r>
        <w:t>A linear model was fit to determine if the change in CV due to elevation of K</w:t>
      </w:r>
      <w:r w:rsidRPr="003564F5">
        <w:rPr>
          <w:vertAlign w:val="superscript"/>
        </w:rPr>
        <w:t>+</w:t>
      </w:r>
      <w:r>
        <w:t xml:space="preserve"> differed across perfusate groups (varied Na</w:t>
      </w:r>
      <w:r w:rsidRPr="003564F5">
        <w:rPr>
          <w:vertAlign w:val="superscript"/>
        </w:rPr>
        <w:t>+</w:t>
      </w:r>
      <w:r>
        <w:t xml:space="preserve"> and Ca</w:t>
      </w:r>
      <w:r w:rsidRPr="003564F5">
        <w:rPr>
          <w:vertAlign w:val="superscript"/>
        </w:rPr>
        <w:t>2+</w:t>
      </w:r>
      <w:r>
        <w:t>). Models for CV</w:t>
      </w:r>
      <w:r>
        <w:rPr>
          <w:vertAlign w:val="subscript"/>
        </w:rPr>
        <w:t>L</w:t>
      </w:r>
      <w:r>
        <w:t xml:space="preserve"> and CV</w:t>
      </w:r>
      <w:r>
        <w:rPr>
          <w:vertAlign w:val="subscript"/>
        </w:rPr>
        <w:t>T</w:t>
      </w:r>
      <w:r>
        <w:t xml:space="preserve"> were fit independently. In both cases, 145mM Na</w:t>
      </w:r>
      <w:r w:rsidRPr="003564F5">
        <w:rPr>
          <w:vertAlign w:val="superscript"/>
        </w:rPr>
        <w:t>+</w:t>
      </w:r>
      <w:r>
        <w:t xml:space="preserve"> / 1.25mM Ca</w:t>
      </w:r>
      <w:r w:rsidRPr="003564F5">
        <w:rPr>
          <w:vertAlign w:val="superscript"/>
        </w:rPr>
        <w:t>2+</w:t>
      </w:r>
      <w:r>
        <w:t xml:space="preserve"> was chosen as the baseline condition and a separate effect fit was generated for each of the four Na</w:t>
      </w:r>
      <w:r w:rsidRPr="003564F5">
        <w:rPr>
          <w:vertAlign w:val="superscript"/>
        </w:rPr>
        <w:t>+</w:t>
      </w:r>
      <w:r>
        <w:t>/Ca</w:t>
      </w:r>
      <w:r w:rsidRPr="003564F5">
        <w:rPr>
          <w:vertAlign w:val="superscript"/>
        </w:rPr>
        <w:t>2+</w:t>
      </w:r>
      <w:r>
        <w:t xml:space="preserve"> concentration variations. These data are presented in Supplemental Figure 1, Supplemental Table 1, and Supplemental Table 2.</w:t>
      </w:r>
    </w:p>
    <w:p w14:paraId="31575E1E" w14:textId="77777777" w:rsidR="003564F5" w:rsidRPr="003564F5" w:rsidRDefault="003564F5" w:rsidP="003A60B6">
      <w:pPr>
        <w:spacing w:line="276" w:lineRule="auto"/>
        <w:jc w:val="both"/>
      </w:pPr>
    </w:p>
    <w:p w14:paraId="4CC40E2E" w14:textId="001455B7" w:rsidR="00532FA6" w:rsidRDefault="003564F5" w:rsidP="003A60B6">
      <w:pPr>
        <w:spacing w:line="276" w:lineRule="auto"/>
      </w:pPr>
      <w:r>
        <w:rPr>
          <w:noProof/>
        </w:rPr>
        <w:drawing>
          <wp:inline distT="0" distB="0" distL="0" distR="0" wp14:anchorId="77A79745" wp14:editId="19D3ECD0">
            <wp:extent cx="4911969" cy="4210259"/>
            <wp:effectExtent l="0" t="0" r="3175" b="6350"/>
            <wp:docPr id="1" name="Picture" descr="Figure 1: Boxplots of changes in velocity going from 4.6k to 10.0k for each of the four ion combinations. Panels correspond to CVL and CVT"/>
            <wp:cNvGraphicFramePr/>
            <a:graphic xmlns:a="http://schemas.openxmlformats.org/drawingml/2006/main">
              <a:graphicData uri="http://schemas.openxmlformats.org/drawingml/2006/picture">
                <pic:pic xmlns:pic="http://schemas.openxmlformats.org/drawingml/2006/picture">
                  <pic:nvPicPr>
                    <pic:cNvPr id="0" name="Picture" descr="2021-01-08_ions_report_files/figure-docx/deltakBox-1.png"/>
                    <pic:cNvPicPr>
                      <a:picLocks noChangeAspect="1" noChangeArrowheads="1"/>
                    </pic:cNvPicPr>
                  </pic:nvPicPr>
                  <pic:blipFill>
                    <a:blip r:embed="rId4"/>
                    <a:stretch>
                      <a:fillRect/>
                    </a:stretch>
                  </pic:blipFill>
                  <pic:spPr bwMode="auto">
                    <a:xfrm>
                      <a:off x="0" y="0"/>
                      <a:ext cx="4931479" cy="4226982"/>
                    </a:xfrm>
                    <a:prstGeom prst="rect">
                      <a:avLst/>
                    </a:prstGeom>
                    <a:noFill/>
                    <a:ln w="9525">
                      <a:noFill/>
                      <a:headEnd/>
                      <a:tailEnd/>
                    </a:ln>
                  </pic:spPr>
                </pic:pic>
              </a:graphicData>
            </a:graphic>
          </wp:inline>
        </w:drawing>
      </w:r>
    </w:p>
    <w:p w14:paraId="2728F199" w14:textId="7FC2652F" w:rsidR="003564F5" w:rsidRDefault="003564F5" w:rsidP="003A60B6">
      <w:pPr>
        <w:spacing w:line="276" w:lineRule="auto"/>
        <w:jc w:val="both"/>
      </w:pPr>
      <w:r w:rsidRPr="006D026B">
        <w:rPr>
          <w:b/>
        </w:rPr>
        <w:t>Supplemental Figure 1</w:t>
      </w:r>
      <w:r>
        <w:t>. Boxplots of change in CV</w:t>
      </w:r>
      <w:r>
        <w:rPr>
          <w:vertAlign w:val="subscript"/>
        </w:rPr>
        <w:t xml:space="preserve">L </w:t>
      </w:r>
      <w:r>
        <w:t>and CV</w:t>
      </w:r>
      <w:r>
        <w:rPr>
          <w:vertAlign w:val="subscript"/>
        </w:rPr>
        <w:t>T</w:t>
      </w:r>
      <w:r>
        <w:t xml:space="preserve"> between K</w:t>
      </w:r>
      <w:r>
        <w:rPr>
          <w:vertAlign w:val="superscript"/>
        </w:rPr>
        <w:t>+</w:t>
      </w:r>
      <w:r>
        <w:t>=4.6mM and K</w:t>
      </w:r>
      <w:r>
        <w:rPr>
          <w:vertAlign w:val="superscript"/>
        </w:rPr>
        <w:t>+</w:t>
      </w:r>
      <w:r>
        <w:t xml:space="preserve">=10.0mM within perfusate groups. </w:t>
      </w:r>
    </w:p>
    <w:p w14:paraId="5FB0B66E" w14:textId="19538BA1" w:rsidR="003564F5" w:rsidRDefault="003564F5" w:rsidP="003A60B6">
      <w:pPr>
        <w:spacing w:line="276" w:lineRule="auto"/>
        <w:jc w:val="both"/>
      </w:pPr>
    </w:p>
    <w:p w14:paraId="05154B86" w14:textId="61D57718" w:rsidR="001939D9" w:rsidRDefault="001939D9" w:rsidP="001939D9">
      <w:pPr>
        <w:spacing w:line="276" w:lineRule="auto"/>
      </w:pPr>
      <w:r>
        <w:t>Supplemental Table 1: Model coefficients for changes in CV</w:t>
      </w:r>
      <w:r>
        <w:rPr>
          <w:vertAlign w:val="subscript"/>
        </w:rPr>
        <w:t>T</w:t>
      </w:r>
      <w:r>
        <w:t xml:space="preserve"> from 4.6mM K</w:t>
      </w:r>
      <w:r w:rsidRPr="003564F5">
        <w:rPr>
          <w:vertAlign w:val="superscript"/>
        </w:rPr>
        <w:t>+</w:t>
      </w:r>
      <w:r>
        <w:t xml:space="preserve"> to 10.0mM K</w:t>
      </w:r>
      <w:r w:rsidRPr="003564F5">
        <w:rPr>
          <w:vertAlign w:val="superscript"/>
        </w:rPr>
        <w:t>+</w:t>
      </w:r>
    </w:p>
    <w:tbl>
      <w:tblPr>
        <w:tblStyle w:val="Table"/>
        <w:tblW w:w="5000" w:type="pct"/>
        <w:jc w:val="center"/>
        <w:tblLook w:val="0420" w:firstRow="1" w:lastRow="0" w:firstColumn="0" w:lastColumn="0" w:noHBand="0" w:noVBand="1"/>
      </w:tblPr>
      <w:tblGrid>
        <w:gridCol w:w="4284"/>
        <w:gridCol w:w="1585"/>
        <w:gridCol w:w="1127"/>
        <w:gridCol w:w="1237"/>
        <w:gridCol w:w="1127"/>
      </w:tblGrid>
      <w:tr w:rsidR="001939D9" w14:paraId="73D18209" w14:textId="77777777" w:rsidTr="00544836">
        <w:trPr>
          <w:cantSplit/>
          <w:tblHeader/>
          <w:jc w:val="center"/>
        </w:trPr>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1CFF0177" w14:textId="77777777" w:rsidR="001939D9" w:rsidRDefault="001939D9" w:rsidP="00544836">
            <w:pPr>
              <w:spacing w:before="40" w:after="40" w:line="276" w:lineRule="auto"/>
              <w:ind w:left="100" w:right="100"/>
            </w:pPr>
            <w:r>
              <w:rPr>
                <w:rFonts w:ascii="Arial" w:eastAsia="Arial" w:hAnsi="Arial" w:cs="Arial"/>
                <w:color w:val="111111"/>
                <w:sz w:val="22"/>
                <w:szCs w:val="22"/>
              </w:rPr>
              <w:t xml:space="preserve"> </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7DE7E507"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Estimate</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444A4397"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SD</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700FD00B"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T</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29AD2E2F"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p</w:t>
            </w:r>
          </w:p>
        </w:tc>
      </w:tr>
      <w:tr w:rsidR="001939D9" w14:paraId="2B13C48F" w14:textId="77777777" w:rsidTr="00544836">
        <w:trPr>
          <w:cantSplit/>
          <w:jc w:val="center"/>
        </w:trPr>
        <w:tc>
          <w:tcPr>
            <w:tcW w:w="0" w:type="auto"/>
            <w:shd w:val="clear" w:color="auto" w:fill="FFFFFF"/>
            <w:tcMar>
              <w:top w:w="0" w:type="dxa"/>
              <w:left w:w="0" w:type="dxa"/>
              <w:bottom w:w="0" w:type="dxa"/>
              <w:right w:w="0" w:type="dxa"/>
            </w:tcMar>
            <w:vAlign w:val="center"/>
          </w:tcPr>
          <w:p w14:paraId="47767F9E" w14:textId="77777777" w:rsidR="001939D9" w:rsidRDefault="001939D9" w:rsidP="00544836">
            <w:pPr>
              <w:spacing w:before="40" w:after="40" w:line="276" w:lineRule="auto"/>
              <w:ind w:left="100" w:right="100"/>
            </w:pPr>
            <w:r>
              <w:rPr>
                <w:rFonts w:ascii="Arial" w:eastAsia="Arial" w:hAnsi="Arial" w:cs="Arial"/>
                <w:color w:val="111111"/>
                <w:sz w:val="22"/>
                <w:szCs w:val="22"/>
              </w:rPr>
              <w:t>Baseline (Na 145; Ca 1.25)</w:t>
            </w:r>
          </w:p>
        </w:tc>
        <w:tc>
          <w:tcPr>
            <w:tcW w:w="0" w:type="auto"/>
            <w:shd w:val="clear" w:color="auto" w:fill="FFFFFF"/>
            <w:tcMar>
              <w:top w:w="0" w:type="dxa"/>
              <w:left w:w="0" w:type="dxa"/>
              <w:bottom w:w="0" w:type="dxa"/>
              <w:right w:w="0" w:type="dxa"/>
            </w:tcMar>
            <w:vAlign w:val="center"/>
          </w:tcPr>
          <w:p w14:paraId="280A9D0D"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-4.923</w:t>
            </w:r>
          </w:p>
        </w:tc>
        <w:tc>
          <w:tcPr>
            <w:tcW w:w="0" w:type="auto"/>
            <w:shd w:val="clear" w:color="auto" w:fill="FFFFFF"/>
            <w:tcMar>
              <w:top w:w="0" w:type="dxa"/>
              <w:left w:w="0" w:type="dxa"/>
              <w:bottom w:w="0" w:type="dxa"/>
              <w:right w:w="0" w:type="dxa"/>
            </w:tcMar>
            <w:vAlign w:val="center"/>
          </w:tcPr>
          <w:p w14:paraId="3A37CE98"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0.778</w:t>
            </w:r>
          </w:p>
        </w:tc>
        <w:tc>
          <w:tcPr>
            <w:tcW w:w="0" w:type="auto"/>
            <w:shd w:val="clear" w:color="auto" w:fill="FFFFFF"/>
            <w:tcMar>
              <w:top w:w="0" w:type="dxa"/>
              <w:left w:w="0" w:type="dxa"/>
              <w:bottom w:w="0" w:type="dxa"/>
              <w:right w:w="0" w:type="dxa"/>
            </w:tcMar>
            <w:vAlign w:val="center"/>
          </w:tcPr>
          <w:p w14:paraId="09FD7304"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-6.332</w:t>
            </w:r>
          </w:p>
        </w:tc>
        <w:tc>
          <w:tcPr>
            <w:tcW w:w="0" w:type="auto"/>
            <w:shd w:val="clear" w:color="auto" w:fill="FFFFFF"/>
            <w:tcMar>
              <w:top w:w="0" w:type="dxa"/>
              <w:left w:w="0" w:type="dxa"/>
              <w:bottom w:w="0" w:type="dxa"/>
              <w:right w:w="0" w:type="dxa"/>
            </w:tcMar>
            <w:vAlign w:val="center"/>
          </w:tcPr>
          <w:p w14:paraId="5B32131A"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0.000</w:t>
            </w:r>
          </w:p>
        </w:tc>
      </w:tr>
      <w:tr w:rsidR="001939D9" w14:paraId="2485D3ED" w14:textId="77777777" w:rsidTr="00544836">
        <w:trPr>
          <w:cantSplit/>
          <w:jc w:val="center"/>
        </w:trPr>
        <w:tc>
          <w:tcPr>
            <w:tcW w:w="0" w:type="auto"/>
            <w:shd w:val="clear" w:color="auto" w:fill="FFFFFF"/>
            <w:tcMar>
              <w:top w:w="0" w:type="dxa"/>
              <w:left w:w="0" w:type="dxa"/>
              <w:bottom w:w="0" w:type="dxa"/>
              <w:right w:w="0" w:type="dxa"/>
            </w:tcMar>
            <w:vAlign w:val="center"/>
          </w:tcPr>
          <w:p w14:paraId="30685BF2" w14:textId="77777777" w:rsidR="001939D9" w:rsidRDefault="001939D9" w:rsidP="00544836">
            <w:pPr>
              <w:spacing w:before="40" w:after="40" w:line="276" w:lineRule="auto"/>
              <w:ind w:left="100" w:right="100"/>
            </w:pPr>
            <w:r>
              <w:rPr>
                <w:rFonts w:ascii="Arial" w:eastAsia="Arial" w:hAnsi="Arial" w:cs="Arial"/>
                <w:color w:val="111111"/>
                <w:sz w:val="22"/>
                <w:szCs w:val="22"/>
              </w:rPr>
              <w:t>Na 145; Ca 2</w:t>
            </w:r>
          </w:p>
        </w:tc>
        <w:tc>
          <w:tcPr>
            <w:tcW w:w="0" w:type="auto"/>
            <w:shd w:val="clear" w:color="auto" w:fill="FFFFFF"/>
            <w:tcMar>
              <w:top w:w="0" w:type="dxa"/>
              <w:left w:w="0" w:type="dxa"/>
              <w:bottom w:w="0" w:type="dxa"/>
              <w:right w:w="0" w:type="dxa"/>
            </w:tcMar>
            <w:vAlign w:val="center"/>
          </w:tcPr>
          <w:p w14:paraId="2E9C1D05"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0.691</w:t>
            </w:r>
          </w:p>
        </w:tc>
        <w:tc>
          <w:tcPr>
            <w:tcW w:w="0" w:type="auto"/>
            <w:shd w:val="clear" w:color="auto" w:fill="FFFFFF"/>
            <w:tcMar>
              <w:top w:w="0" w:type="dxa"/>
              <w:left w:w="0" w:type="dxa"/>
              <w:bottom w:w="0" w:type="dxa"/>
              <w:right w:w="0" w:type="dxa"/>
            </w:tcMar>
            <w:vAlign w:val="center"/>
          </w:tcPr>
          <w:p w14:paraId="361214F2"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1.080</w:t>
            </w:r>
          </w:p>
        </w:tc>
        <w:tc>
          <w:tcPr>
            <w:tcW w:w="0" w:type="auto"/>
            <w:shd w:val="clear" w:color="auto" w:fill="FFFFFF"/>
            <w:tcMar>
              <w:top w:w="0" w:type="dxa"/>
              <w:left w:w="0" w:type="dxa"/>
              <w:bottom w:w="0" w:type="dxa"/>
              <w:right w:w="0" w:type="dxa"/>
            </w:tcMar>
            <w:vAlign w:val="center"/>
          </w:tcPr>
          <w:p w14:paraId="6EBA505E"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0.640</w:t>
            </w:r>
          </w:p>
        </w:tc>
        <w:tc>
          <w:tcPr>
            <w:tcW w:w="0" w:type="auto"/>
            <w:shd w:val="clear" w:color="auto" w:fill="FFFFFF"/>
            <w:tcMar>
              <w:top w:w="0" w:type="dxa"/>
              <w:left w:w="0" w:type="dxa"/>
              <w:bottom w:w="0" w:type="dxa"/>
              <w:right w:w="0" w:type="dxa"/>
            </w:tcMar>
            <w:vAlign w:val="center"/>
          </w:tcPr>
          <w:p w14:paraId="7CAA18C9"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0.525</w:t>
            </w:r>
          </w:p>
        </w:tc>
      </w:tr>
      <w:tr w:rsidR="001939D9" w14:paraId="593598EC" w14:textId="77777777" w:rsidTr="00544836">
        <w:trPr>
          <w:cantSplit/>
          <w:jc w:val="center"/>
        </w:trPr>
        <w:tc>
          <w:tcPr>
            <w:tcW w:w="0" w:type="auto"/>
            <w:shd w:val="clear" w:color="auto" w:fill="FFFFFF"/>
            <w:tcMar>
              <w:top w:w="0" w:type="dxa"/>
              <w:left w:w="0" w:type="dxa"/>
              <w:bottom w:w="0" w:type="dxa"/>
              <w:right w:w="0" w:type="dxa"/>
            </w:tcMar>
            <w:vAlign w:val="center"/>
          </w:tcPr>
          <w:p w14:paraId="3D1FFD25" w14:textId="77777777" w:rsidR="001939D9" w:rsidRDefault="001939D9" w:rsidP="00544836">
            <w:pPr>
              <w:spacing w:before="40" w:after="40" w:line="276" w:lineRule="auto"/>
              <w:ind w:left="100" w:right="100"/>
            </w:pPr>
            <w:r>
              <w:rPr>
                <w:rFonts w:ascii="Arial" w:eastAsia="Arial" w:hAnsi="Arial" w:cs="Arial"/>
                <w:color w:val="111111"/>
                <w:sz w:val="22"/>
                <w:szCs w:val="22"/>
              </w:rPr>
              <w:t>Na 155; Ca 1.25</w:t>
            </w:r>
          </w:p>
        </w:tc>
        <w:tc>
          <w:tcPr>
            <w:tcW w:w="0" w:type="auto"/>
            <w:shd w:val="clear" w:color="auto" w:fill="FFFFFF"/>
            <w:tcMar>
              <w:top w:w="0" w:type="dxa"/>
              <w:left w:w="0" w:type="dxa"/>
              <w:bottom w:w="0" w:type="dxa"/>
              <w:right w:w="0" w:type="dxa"/>
            </w:tcMar>
            <w:vAlign w:val="center"/>
          </w:tcPr>
          <w:p w14:paraId="0F3F4A50"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1.590</w:t>
            </w:r>
          </w:p>
        </w:tc>
        <w:tc>
          <w:tcPr>
            <w:tcW w:w="0" w:type="auto"/>
            <w:shd w:val="clear" w:color="auto" w:fill="FFFFFF"/>
            <w:tcMar>
              <w:top w:w="0" w:type="dxa"/>
              <w:left w:w="0" w:type="dxa"/>
              <w:bottom w:w="0" w:type="dxa"/>
              <w:right w:w="0" w:type="dxa"/>
            </w:tcMar>
            <w:vAlign w:val="center"/>
          </w:tcPr>
          <w:p w14:paraId="0A1298B0"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1.062</w:t>
            </w:r>
          </w:p>
        </w:tc>
        <w:tc>
          <w:tcPr>
            <w:tcW w:w="0" w:type="auto"/>
            <w:shd w:val="clear" w:color="auto" w:fill="FFFFFF"/>
            <w:tcMar>
              <w:top w:w="0" w:type="dxa"/>
              <w:left w:w="0" w:type="dxa"/>
              <w:bottom w:w="0" w:type="dxa"/>
              <w:right w:w="0" w:type="dxa"/>
            </w:tcMar>
            <w:vAlign w:val="center"/>
          </w:tcPr>
          <w:p w14:paraId="06783F34"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1.496</w:t>
            </w:r>
          </w:p>
        </w:tc>
        <w:tc>
          <w:tcPr>
            <w:tcW w:w="0" w:type="auto"/>
            <w:shd w:val="clear" w:color="auto" w:fill="FFFFFF"/>
            <w:tcMar>
              <w:top w:w="0" w:type="dxa"/>
              <w:left w:w="0" w:type="dxa"/>
              <w:bottom w:w="0" w:type="dxa"/>
              <w:right w:w="0" w:type="dxa"/>
            </w:tcMar>
            <w:vAlign w:val="center"/>
          </w:tcPr>
          <w:p w14:paraId="4E1D6842"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0.140</w:t>
            </w:r>
          </w:p>
        </w:tc>
      </w:tr>
      <w:tr w:rsidR="001939D9" w14:paraId="0A07510C" w14:textId="77777777" w:rsidTr="00544836">
        <w:trPr>
          <w:cantSplit/>
          <w:jc w:val="center"/>
        </w:trPr>
        <w:tc>
          <w:tcPr>
            <w:tcW w:w="0" w:type="auto"/>
            <w:tcBorders>
              <w:bottom w:val="single" w:sz="16" w:space="0" w:color="000000"/>
            </w:tcBorders>
            <w:shd w:val="clear" w:color="auto" w:fill="FFFFFF"/>
            <w:tcMar>
              <w:top w:w="0" w:type="dxa"/>
              <w:left w:w="0" w:type="dxa"/>
              <w:bottom w:w="0" w:type="dxa"/>
              <w:right w:w="0" w:type="dxa"/>
            </w:tcMar>
            <w:vAlign w:val="center"/>
          </w:tcPr>
          <w:p w14:paraId="7838739E" w14:textId="77777777" w:rsidR="001939D9" w:rsidRDefault="001939D9" w:rsidP="00544836">
            <w:pPr>
              <w:spacing w:before="40" w:after="40" w:line="276" w:lineRule="auto"/>
              <w:ind w:left="100" w:right="100"/>
            </w:pPr>
            <w:r>
              <w:rPr>
                <w:rFonts w:ascii="Arial" w:eastAsia="Arial" w:hAnsi="Arial" w:cs="Arial"/>
                <w:color w:val="111111"/>
                <w:sz w:val="22"/>
                <w:szCs w:val="22"/>
              </w:rPr>
              <w:t>Na 155; Ca 2</w:t>
            </w:r>
          </w:p>
        </w:tc>
        <w:tc>
          <w:tcPr>
            <w:tcW w:w="0" w:type="auto"/>
            <w:tcBorders>
              <w:bottom w:val="single" w:sz="16" w:space="0" w:color="000000"/>
            </w:tcBorders>
            <w:shd w:val="clear" w:color="auto" w:fill="FFFFFF"/>
            <w:tcMar>
              <w:top w:w="0" w:type="dxa"/>
              <w:left w:w="0" w:type="dxa"/>
              <w:bottom w:w="0" w:type="dxa"/>
              <w:right w:w="0" w:type="dxa"/>
            </w:tcMar>
            <w:vAlign w:val="center"/>
          </w:tcPr>
          <w:p w14:paraId="28B86518"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3.273</w:t>
            </w:r>
          </w:p>
        </w:tc>
        <w:tc>
          <w:tcPr>
            <w:tcW w:w="0" w:type="auto"/>
            <w:tcBorders>
              <w:bottom w:val="single" w:sz="16" w:space="0" w:color="000000"/>
            </w:tcBorders>
            <w:shd w:val="clear" w:color="auto" w:fill="FFFFFF"/>
            <w:tcMar>
              <w:top w:w="0" w:type="dxa"/>
              <w:left w:w="0" w:type="dxa"/>
              <w:bottom w:w="0" w:type="dxa"/>
              <w:right w:w="0" w:type="dxa"/>
            </w:tcMar>
            <w:vAlign w:val="center"/>
          </w:tcPr>
          <w:p w14:paraId="450B0463"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1.062</w:t>
            </w:r>
          </w:p>
        </w:tc>
        <w:tc>
          <w:tcPr>
            <w:tcW w:w="0" w:type="auto"/>
            <w:tcBorders>
              <w:bottom w:val="single" w:sz="16" w:space="0" w:color="000000"/>
            </w:tcBorders>
            <w:shd w:val="clear" w:color="auto" w:fill="FFFFFF"/>
            <w:tcMar>
              <w:top w:w="0" w:type="dxa"/>
              <w:left w:w="0" w:type="dxa"/>
              <w:bottom w:w="0" w:type="dxa"/>
              <w:right w:w="0" w:type="dxa"/>
            </w:tcMar>
            <w:vAlign w:val="center"/>
          </w:tcPr>
          <w:p w14:paraId="52B42C6B"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3.081</w:t>
            </w:r>
          </w:p>
        </w:tc>
        <w:tc>
          <w:tcPr>
            <w:tcW w:w="0" w:type="auto"/>
            <w:tcBorders>
              <w:bottom w:val="single" w:sz="16" w:space="0" w:color="000000"/>
            </w:tcBorders>
            <w:shd w:val="clear" w:color="auto" w:fill="FFFFFF"/>
            <w:tcMar>
              <w:top w:w="0" w:type="dxa"/>
              <w:left w:w="0" w:type="dxa"/>
              <w:bottom w:w="0" w:type="dxa"/>
              <w:right w:w="0" w:type="dxa"/>
            </w:tcMar>
            <w:vAlign w:val="center"/>
          </w:tcPr>
          <w:p w14:paraId="6518F8A2" w14:textId="77777777" w:rsidR="001939D9" w:rsidRDefault="001939D9" w:rsidP="00544836">
            <w:pPr>
              <w:spacing w:before="40" w:after="40" w:line="276" w:lineRule="auto"/>
              <w:ind w:left="100" w:right="100"/>
              <w:jc w:val="right"/>
            </w:pPr>
            <w:r>
              <w:rPr>
                <w:rFonts w:ascii="Arial" w:eastAsia="Arial" w:hAnsi="Arial" w:cs="Arial"/>
                <w:color w:val="111111"/>
                <w:sz w:val="22"/>
                <w:szCs w:val="22"/>
              </w:rPr>
              <w:t>0.003</w:t>
            </w:r>
          </w:p>
        </w:tc>
      </w:tr>
    </w:tbl>
    <w:p w14:paraId="55BCE5F1" w14:textId="77777777" w:rsidR="001939D9" w:rsidRDefault="001939D9" w:rsidP="001939D9">
      <w:pPr>
        <w:spacing w:line="276" w:lineRule="auto"/>
        <w:jc w:val="both"/>
      </w:pPr>
    </w:p>
    <w:p w14:paraId="64B08849" w14:textId="1834624F" w:rsidR="003564F5" w:rsidRDefault="003564F5" w:rsidP="003A60B6">
      <w:pPr>
        <w:spacing w:line="276" w:lineRule="auto"/>
      </w:pPr>
      <w:r>
        <w:t xml:space="preserve">Supplemental Table </w:t>
      </w:r>
      <w:r w:rsidR="001939D9">
        <w:t>2</w:t>
      </w:r>
      <w:r>
        <w:t>: Model coefficients for changes in CV</w:t>
      </w:r>
      <w:r>
        <w:rPr>
          <w:vertAlign w:val="subscript"/>
        </w:rPr>
        <w:t>L</w:t>
      </w:r>
      <w:r>
        <w:t xml:space="preserve"> from 4.6mM K</w:t>
      </w:r>
      <w:r w:rsidRPr="003564F5">
        <w:rPr>
          <w:vertAlign w:val="superscript"/>
        </w:rPr>
        <w:t>+</w:t>
      </w:r>
      <w:r>
        <w:t xml:space="preserve"> to 10.0mM K</w:t>
      </w:r>
      <w:r w:rsidRPr="003564F5">
        <w:rPr>
          <w:vertAlign w:val="superscript"/>
        </w:rPr>
        <w:t>+</w:t>
      </w:r>
    </w:p>
    <w:tbl>
      <w:tblPr>
        <w:tblStyle w:val="Table"/>
        <w:tblW w:w="5000" w:type="pct"/>
        <w:jc w:val="center"/>
        <w:tblLook w:val="0420" w:firstRow="1" w:lastRow="0" w:firstColumn="0" w:lastColumn="0" w:noHBand="0" w:noVBand="1"/>
      </w:tblPr>
      <w:tblGrid>
        <w:gridCol w:w="4284"/>
        <w:gridCol w:w="1585"/>
        <w:gridCol w:w="1127"/>
        <w:gridCol w:w="1237"/>
        <w:gridCol w:w="1127"/>
      </w:tblGrid>
      <w:tr w:rsidR="003564F5" w14:paraId="2D3280F3" w14:textId="77777777" w:rsidTr="00037E28">
        <w:trPr>
          <w:cantSplit/>
          <w:tblHeader/>
          <w:jc w:val="center"/>
        </w:trPr>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63693B59" w14:textId="77777777" w:rsidR="003564F5" w:rsidRDefault="003564F5" w:rsidP="003A60B6">
            <w:pPr>
              <w:spacing w:before="40" w:after="40" w:line="276" w:lineRule="auto"/>
              <w:ind w:left="100" w:right="100"/>
            </w:pPr>
            <w:r>
              <w:rPr>
                <w:rFonts w:ascii="Arial" w:eastAsia="Arial" w:hAnsi="Arial" w:cs="Arial"/>
                <w:color w:val="111111"/>
                <w:sz w:val="22"/>
                <w:szCs w:val="22"/>
              </w:rPr>
              <w:t xml:space="preserve"> </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5716B593"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Estimate</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1D40A5FD"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SD</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542CAFBA"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T</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515E6416"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p</w:t>
            </w:r>
          </w:p>
        </w:tc>
      </w:tr>
      <w:tr w:rsidR="003564F5" w14:paraId="4D1A4CB8" w14:textId="77777777" w:rsidTr="00037E28">
        <w:trPr>
          <w:cantSplit/>
          <w:jc w:val="center"/>
        </w:trPr>
        <w:tc>
          <w:tcPr>
            <w:tcW w:w="0" w:type="auto"/>
            <w:shd w:val="clear" w:color="auto" w:fill="FFFFFF"/>
            <w:tcMar>
              <w:top w:w="0" w:type="dxa"/>
              <w:left w:w="0" w:type="dxa"/>
              <w:bottom w:w="0" w:type="dxa"/>
              <w:right w:w="0" w:type="dxa"/>
            </w:tcMar>
            <w:vAlign w:val="center"/>
          </w:tcPr>
          <w:p w14:paraId="0589C5C5" w14:textId="77777777" w:rsidR="003564F5" w:rsidRDefault="003564F5" w:rsidP="003A60B6">
            <w:pPr>
              <w:spacing w:before="40" w:after="40" w:line="276" w:lineRule="auto"/>
              <w:ind w:left="100" w:right="100"/>
            </w:pPr>
            <w:r>
              <w:rPr>
                <w:rFonts w:ascii="Arial" w:eastAsia="Arial" w:hAnsi="Arial" w:cs="Arial"/>
                <w:color w:val="111111"/>
                <w:sz w:val="22"/>
                <w:szCs w:val="22"/>
              </w:rPr>
              <w:t>Baseline (Na 145; Ca 1.25)</w:t>
            </w:r>
          </w:p>
        </w:tc>
        <w:tc>
          <w:tcPr>
            <w:tcW w:w="0" w:type="auto"/>
            <w:shd w:val="clear" w:color="auto" w:fill="FFFFFF"/>
            <w:tcMar>
              <w:top w:w="0" w:type="dxa"/>
              <w:left w:w="0" w:type="dxa"/>
              <w:bottom w:w="0" w:type="dxa"/>
              <w:right w:w="0" w:type="dxa"/>
            </w:tcMar>
            <w:vAlign w:val="center"/>
          </w:tcPr>
          <w:p w14:paraId="1174C1BA"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-9.542</w:t>
            </w:r>
          </w:p>
        </w:tc>
        <w:tc>
          <w:tcPr>
            <w:tcW w:w="0" w:type="auto"/>
            <w:shd w:val="clear" w:color="auto" w:fill="FFFFFF"/>
            <w:tcMar>
              <w:top w:w="0" w:type="dxa"/>
              <w:left w:w="0" w:type="dxa"/>
              <w:bottom w:w="0" w:type="dxa"/>
              <w:right w:w="0" w:type="dxa"/>
            </w:tcMar>
            <w:vAlign w:val="center"/>
          </w:tcPr>
          <w:p w14:paraId="4738C806"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2.324</w:t>
            </w:r>
          </w:p>
        </w:tc>
        <w:tc>
          <w:tcPr>
            <w:tcW w:w="0" w:type="auto"/>
            <w:shd w:val="clear" w:color="auto" w:fill="FFFFFF"/>
            <w:tcMar>
              <w:top w:w="0" w:type="dxa"/>
              <w:left w:w="0" w:type="dxa"/>
              <w:bottom w:w="0" w:type="dxa"/>
              <w:right w:w="0" w:type="dxa"/>
            </w:tcMar>
            <w:vAlign w:val="center"/>
          </w:tcPr>
          <w:p w14:paraId="685E64A5"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-4.105</w:t>
            </w:r>
          </w:p>
        </w:tc>
        <w:tc>
          <w:tcPr>
            <w:tcW w:w="0" w:type="auto"/>
            <w:shd w:val="clear" w:color="auto" w:fill="FFFFFF"/>
            <w:tcMar>
              <w:top w:w="0" w:type="dxa"/>
              <w:left w:w="0" w:type="dxa"/>
              <w:bottom w:w="0" w:type="dxa"/>
              <w:right w:w="0" w:type="dxa"/>
            </w:tcMar>
            <w:vAlign w:val="center"/>
          </w:tcPr>
          <w:p w14:paraId="0847FF50"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0.000</w:t>
            </w:r>
          </w:p>
        </w:tc>
      </w:tr>
      <w:tr w:rsidR="003564F5" w14:paraId="359702BE" w14:textId="77777777" w:rsidTr="00037E28">
        <w:trPr>
          <w:cantSplit/>
          <w:jc w:val="center"/>
        </w:trPr>
        <w:tc>
          <w:tcPr>
            <w:tcW w:w="0" w:type="auto"/>
            <w:shd w:val="clear" w:color="auto" w:fill="FFFFFF"/>
            <w:tcMar>
              <w:top w:w="0" w:type="dxa"/>
              <w:left w:w="0" w:type="dxa"/>
              <w:bottom w:w="0" w:type="dxa"/>
              <w:right w:w="0" w:type="dxa"/>
            </w:tcMar>
            <w:vAlign w:val="center"/>
          </w:tcPr>
          <w:p w14:paraId="04FE1294" w14:textId="77777777" w:rsidR="003564F5" w:rsidRDefault="003564F5" w:rsidP="003A60B6">
            <w:pPr>
              <w:spacing w:before="40" w:after="40" w:line="276" w:lineRule="auto"/>
              <w:ind w:left="100" w:right="100"/>
            </w:pPr>
            <w:r>
              <w:rPr>
                <w:rFonts w:ascii="Arial" w:eastAsia="Arial" w:hAnsi="Arial" w:cs="Arial"/>
                <w:color w:val="111111"/>
                <w:sz w:val="22"/>
                <w:szCs w:val="22"/>
              </w:rPr>
              <w:t>Na 145; Ca 2</w:t>
            </w:r>
          </w:p>
        </w:tc>
        <w:tc>
          <w:tcPr>
            <w:tcW w:w="0" w:type="auto"/>
            <w:shd w:val="clear" w:color="auto" w:fill="FFFFFF"/>
            <w:tcMar>
              <w:top w:w="0" w:type="dxa"/>
              <w:left w:w="0" w:type="dxa"/>
              <w:bottom w:w="0" w:type="dxa"/>
              <w:right w:w="0" w:type="dxa"/>
            </w:tcMar>
            <w:vAlign w:val="center"/>
          </w:tcPr>
          <w:p w14:paraId="221B622D"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-1.744</w:t>
            </w:r>
          </w:p>
        </w:tc>
        <w:tc>
          <w:tcPr>
            <w:tcW w:w="0" w:type="auto"/>
            <w:shd w:val="clear" w:color="auto" w:fill="FFFFFF"/>
            <w:tcMar>
              <w:top w:w="0" w:type="dxa"/>
              <w:left w:w="0" w:type="dxa"/>
              <w:bottom w:w="0" w:type="dxa"/>
              <w:right w:w="0" w:type="dxa"/>
            </w:tcMar>
            <w:vAlign w:val="center"/>
          </w:tcPr>
          <w:p w14:paraId="0F922AD9"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3.168</w:t>
            </w:r>
          </w:p>
        </w:tc>
        <w:tc>
          <w:tcPr>
            <w:tcW w:w="0" w:type="auto"/>
            <w:shd w:val="clear" w:color="auto" w:fill="FFFFFF"/>
            <w:tcMar>
              <w:top w:w="0" w:type="dxa"/>
              <w:left w:w="0" w:type="dxa"/>
              <w:bottom w:w="0" w:type="dxa"/>
              <w:right w:w="0" w:type="dxa"/>
            </w:tcMar>
            <w:vAlign w:val="center"/>
          </w:tcPr>
          <w:p w14:paraId="758279C8"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-0.551</w:t>
            </w:r>
          </w:p>
        </w:tc>
        <w:tc>
          <w:tcPr>
            <w:tcW w:w="0" w:type="auto"/>
            <w:shd w:val="clear" w:color="auto" w:fill="FFFFFF"/>
            <w:tcMar>
              <w:top w:w="0" w:type="dxa"/>
              <w:left w:w="0" w:type="dxa"/>
              <w:bottom w:w="0" w:type="dxa"/>
              <w:right w:w="0" w:type="dxa"/>
            </w:tcMar>
            <w:vAlign w:val="center"/>
          </w:tcPr>
          <w:p w14:paraId="2986DB47"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0.584</w:t>
            </w:r>
          </w:p>
        </w:tc>
      </w:tr>
      <w:tr w:rsidR="003564F5" w14:paraId="569A1FE1" w14:textId="77777777" w:rsidTr="00037E28">
        <w:trPr>
          <w:cantSplit/>
          <w:jc w:val="center"/>
        </w:trPr>
        <w:tc>
          <w:tcPr>
            <w:tcW w:w="0" w:type="auto"/>
            <w:shd w:val="clear" w:color="auto" w:fill="FFFFFF"/>
            <w:tcMar>
              <w:top w:w="0" w:type="dxa"/>
              <w:left w:w="0" w:type="dxa"/>
              <w:bottom w:w="0" w:type="dxa"/>
              <w:right w:w="0" w:type="dxa"/>
            </w:tcMar>
            <w:vAlign w:val="center"/>
          </w:tcPr>
          <w:p w14:paraId="7D510597" w14:textId="77777777" w:rsidR="003564F5" w:rsidRDefault="003564F5" w:rsidP="003A60B6">
            <w:pPr>
              <w:spacing w:before="40" w:after="40" w:line="276" w:lineRule="auto"/>
              <w:ind w:left="100" w:right="100"/>
            </w:pPr>
            <w:r>
              <w:rPr>
                <w:rFonts w:ascii="Arial" w:eastAsia="Arial" w:hAnsi="Arial" w:cs="Arial"/>
                <w:color w:val="111111"/>
                <w:sz w:val="22"/>
                <w:szCs w:val="22"/>
              </w:rPr>
              <w:t>Na 155; Ca 1.25</w:t>
            </w:r>
          </w:p>
        </w:tc>
        <w:tc>
          <w:tcPr>
            <w:tcW w:w="0" w:type="auto"/>
            <w:shd w:val="clear" w:color="auto" w:fill="FFFFFF"/>
            <w:tcMar>
              <w:top w:w="0" w:type="dxa"/>
              <w:left w:w="0" w:type="dxa"/>
              <w:bottom w:w="0" w:type="dxa"/>
              <w:right w:w="0" w:type="dxa"/>
            </w:tcMar>
            <w:vAlign w:val="center"/>
          </w:tcPr>
          <w:p w14:paraId="28507881"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2.692</w:t>
            </w:r>
          </w:p>
        </w:tc>
        <w:tc>
          <w:tcPr>
            <w:tcW w:w="0" w:type="auto"/>
            <w:shd w:val="clear" w:color="auto" w:fill="FFFFFF"/>
            <w:tcMar>
              <w:top w:w="0" w:type="dxa"/>
              <w:left w:w="0" w:type="dxa"/>
              <w:bottom w:w="0" w:type="dxa"/>
              <w:right w:w="0" w:type="dxa"/>
            </w:tcMar>
            <w:vAlign w:val="center"/>
          </w:tcPr>
          <w:p w14:paraId="322BB013"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3.119</w:t>
            </w:r>
          </w:p>
        </w:tc>
        <w:tc>
          <w:tcPr>
            <w:tcW w:w="0" w:type="auto"/>
            <w:shd w:val="clear" w:color="auto" w:fill="FFFFFF"/>
            <w:tcMar>
              <w:top w:w="0" w:type="dxa"/>
              <w:left w:w="0" w:type="dxa"/>
              <w:bottom w:w="0" w:type="dxa"/>
              <w:right w:w="0" w:type="dxa"/>
            </w:tcMar>
            <w:vAlign w:val="center"/>
          </w:tcPr>
          <w:p w14:paraId="510EA01E"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0.863</w:t>
            </w:r>
          </w:p>
        </w:tc>
        <w:tc>
          <w:tcPr>
            <w:tcW w:w="0" w:type="auto"/>
            <w:shd w:val="clear" w:color="auto" w:fill="FFFFFF"/>
            <w:tcMar>
              <w:top w:w="0" w:type="dxa"/>
              <w:left w:w="0" w:type="dxa"/>
              <w:bottom w:w="0" w:type="dxa"/>
              <w:right w:w="0" w:type="dxa"/>
            </w:tcMar>
            <w:vAlign w:val="center"/>
          </w:tcPr>
          <w:p w14:paraId="39218939"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0.392</w:t>
            </w:r>
          </w:p>
        </w:tc>
      </w:tr>
      <w:tr w:rsidR="003564F5" w14:paraId="02EA02FF" w14:textId="77777777" w:rsidTr="00037E28">
        <w:trPr>
          <w:cantSplit/>
          <w:jc w:val="center"/>
        </w:trPr>
        <w:tc>
          <w:tcPr>
            <w:tcW w:w="0" w:type="auto"/>
            <w:tcBorders>
              <w:bottom w:val="single" w:sz="16" w:space="0" w:color="000000"/>
            </w:tcBorders>
            <w:shd w:val="clear" w:color="auto" w:fill="FFFFFF"/>
            <w:tcMar>
              <w:top w:w="0" w:type="dxa"/>
              <w:left w:w="0" w:type="dxa"/>
              <w:bottom w:w="0" w:type="dxa"/>
              <w:right w:w="0" w:type="dxa"/>
            </w:tcMar>
            <w:vAlign w:val="center"/>
          </w:tcPr>
          <w:p w14:paraId="71C5E236" w14:textId="77777777" w:rsidR="003564F5" w:rsidRDefault="003564F5" w:rsidP="003A60B6">
            <w:pPr>
              <w:spacing w:before="40" w:after="40" w:line="276" w:lineRule="auto"/>
              <w:ind w:left="100" w:right="100"/>
            </w:pPr>
            <w:r>
              <w:rPr>
                <w:rFonts w:ascii="Arial" w:eastAsia="Arial" w:hAnsi="Arial" w:cs="Arial"/>
                <w:color w:val="111111"/>
                <w:sz w:val="22"/>
                <w:szCs w:val="22"/>
              </w:rPr>
              <w:t>Na 155; Ca 2</w:t>
            </w:r>
          </w:p>
        </w:tc>
        <w:tc>
          <w:tcPr>
            <w:tcW w:w="0" w:type="auto"/>
            <w:tcBorders>
              <w:bottom w:val="single" w:sz="16" w:space="0" w:color="000000"/>
            </w:tcBorders>
            <w:shd w:val="clear" w:color="auto" w:fill="FFFFFF"/>
            <w:tcMar>
              <w:top w:w="0" w:type="dxa"/>
              <w:left w:w="0" w:type="dxa"/>
              <w:bottom w:w="0" w:type="dxa"/>
              <w:right w:w="0" w:type="dxa"/>
            </w:tcMar>
            <w:vAlign w:val="center"/>
          </w:tcPr>
          <w:p w14:paraId="4F842BE6"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4.842</w:t>
            </w:r>
          </w:p>
        </w:tc>
        <w:tc>
          <w:tcPr>
            <w:tcW w:w="0" w:type="auto"/>
            <w:tcBorders>
              <w:bottom w:val="single" w:sz="16" w:space="0" w:color="000000"/>
            </w:tcBorders>
            <w:shd w:val="clear" w:color="auto" w:fill="FFFFFF"/>
            <w:tcMar>
              <w:top w:w="0" w:type="dxa"/>
              <w:left w:w="0" w:type="dxa"/>
              <w:bottom w:w="0" w:type="dxa"/>
              <w:right w:w="0" w:type="dxa"/>
            </w:tcMar>
            <w:vAlign w:val="center"/>
          </w:tcPr>
          <w:p w14:paraId="1C95012E"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3.119</w:t>
            </w:r>
          </w:p>
        </w:tc>
        <w:tc>
          <w:tcPr>
            <w:tcW w:w="0" w:type="auto"/>
            <w:tcBorders>
              <w:bottom w:val="single" w:sz="16" w:space="0" w:color="000000"/>
            </w:tcBorders>
            <w:shd w:val="clear" w:color="auto" w:fill="FFFFFF"/>
            <w:tcMar>
              <w:top w:w="0" w:type="dxa"/>
              <w:left w:w="0" w:type="dxa"/>
              <w:bottom w:w="0" w:type="dxa"/>
              <w:right w:w="0" w:type="dxa"/>
            </w:tcMar>
            <w:vAlign w:val="center"/>
          </w:tcPr>
          <w:p w14:paraId="1B5B0766"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1.553</w:t>
            </w:r>
          </w:p>
        </w:tc>
        <w:tc>
          <w:tcPr>
            <w:tcW w:w="0" w:type="auto"/>
            <w:tcBorders>
              <w:bottom w:val="single" w:sz="16" w:space="0" w:color="000000"/>
            </w:tcBorders>
            <w:shd w:val="clear" w:color="auto" w:fill="FFFFFF"/>
            <w:tcMar>
              <w:top w:w="0" w:type="dxa"/>
              <w:left w:w="0" w:type="dxa"/>
              <w:bottom w:w="0" w:type="dxa"/>
              <w:right w:w="0" w:type="dxa"/>
            </w:tcMar>
            <w:vAlign w:val="center"/>
          </w:tcPr>
          <w:p w14:paraId="0E3784B0" w14:textId="77777777" w:rsidR="003564F5" w:rsidRDefault="003564F5" w:rsidP="003A60B6">
            <w:pPr>
              <w:spacing w:before="40" w:after="40" w:line="276" w:lineRule="auto"/>
              <w:ind w:left="100" w:right="100"/>
              <w:jc w:val="right"/>
            </w:pPr>
            <w:r>
              <w:rPr>
                <w:rFonts w:ascii="Arial" w:eastAsia="Arial" w:hAnsi="Arial" w:cs="Arial"/>
                <w:color w:val="111111"/>
                <w:sz w:val="22"/>
                <w:szCs w:val="22"/>
              </w:rPr>
              <w:t>0.127</w:t>
            </w:r>
          </w:p>
        </w:tc>
      </w:tr>
    </w:tbl>
    <w:p w14:paraId="657F7A7F" w14:textId="1A271C43" w:rsidR="0017212C" w:rsidRDefault="0017212C" w:rsidP="00447F21">
      <w:pPr>
        <w:pStyle w:val="BodyText"/>
        <w:jc w:val="both"/>
      </w:pPr>
      <w:r>
        <w:t>The results in Supplemental Table 1 show that, at the 0.05 level, none of the CV</w:t>
      </w:r>
      <w:r w:rsidRPr="00447F21">
        <w:rPr>
          <w:vertAlign w:val="subscript"/>
        </w:rPr>
        <w:t>L</w:t>
      </w:r>
      <w:r>
        <w:t xml:space="preserve"> changes for any of the perfusate groups differ from that of the baseline concentration. </w:t>
      </w:r>
      <w:r w:rsidR="00F364B0">
        <w:t>Supplemental</w:t>
      </w:r>
      <w:r>
        <w:t xml:space="preserve"> Table 2 </w:t>
      </w:r>
      <w:r w:rsidR="00F364B0">
        <w:t>shows</w:t>
      </w:r>
      <w:r>
        <w:t xml:space="preserve"> that when both </w:t>
      </w:r>
      <w:r w:rsidR="00F364B0">
        <w:t>Na</w:t>
      </w:r>
      <w:r w:rsidR="00F364B0" w:rsidRPr="00447F21">
        <w:rPr>
          <w:vertAlign w:val="superscript"/>
        </w:rPr>
        <w:t>+</w:t>
      </w:r>
      <w:r>
        <w:t xml:space="preserve"> and </w:t>
      </w:r>
      <w:r w:rsidR="00F364B0">
        <w:t>Ca</w:t>
      </w:r>
      <w:r w:rsidR="00F364B0" w:rsidRPr="00447F21">
        <w:rPr>
          <w:vertAlign w:val="superscript"/>
        </w:rPr>
        <w:t>2+</w:t>
      </w:r>
      <w:r>
        <w:t xml:space="preserve"> are </w:t>
      </w:r>
      <w:r w:rsidR="00F364B0">
        <w:t>elevated</w:t>
      </w:r>
      <w:r>
        <w:t>, the CV</w:t>
      </w:r>
      <w:r w:rsidRPr="00447F21">
        <w:rPr>
          <w:vertAlign w:val="subscript"/>
        </w:rPr>
        <w:t>T</w:t>
      </w:r>
      <w:r>
        <w:t xml:space="preserve"> change</w:t>
      </w:r>
      <w:r w:rsidR="00F364B0">
        <w:t xml:space="preserve"> between 4.6mM K</w:t>
      </w:r>
      <w:r w:rsidR="00F364B0" w:rsidRPr="00447F21">
        <w:rPr>
          <w:vertAlign w:val="superscript"/>
        </w:rPr>
        <w:t>+</w:t>
      </w:r>
      <w:r w:rsidR="00F364B0">
        <w:t xml:space="preserve"> and 10.0mM K</w:t>
      </w:r>
      <w:r w:rsidR="00F364B0" w:rsidRPr="00447F21">
        <w:rPr>
          <w:vertAlign w:val="superscript"/>
        </w:rPr>
        <w:t>+</w:t>
      </w:r>
      <w:r>
        <w:t xml:space="preserve"> is significantly different </w:t>
      </w:r>
      <w:r w:rsidR="00F364B0">
        <w:t>from</w:t>
      </w:r>
      <w:r>
        <w:t xml:space="preserve"> baseline. If either </w:t>
      </w:r>
      <w:r w:rsidR="00F364B0">
        <w:t>Na</w:t>
      </w:r>
      <w:r w:rsidR="00F364B0" w:rsidRPr="00447F21">
        <w:rPr>
          <w:vertAlign w:val="superscript"/>
        </w:rPr>
        <w:t>+</w:t>
      </w:r>
      <w:r>
        <w:t xml:space="preserve"> or </w:t>
      </w:r>
      <w:r w:rsidR="00F364B0">
        <w:t>Ca</w:t>
      </w:r>
      <w:r w:rsidR="00F364B0" w:rsidRPr="00447F21">
        <w:rPr>
          <w:vertAlign w:val="superscript"/>
        </w:rPr>
        <w:t>2+</w:t>
      </w:r>
      <w:r>
        <w:t xml:space="preserve"> are </w:t>
      </w:r>
      <w:r w:rsidR="00F364B0">
        <w:t>elevated independently</w:t>
      </w:r>
      <w:r>
        <w:t xml:space="preserve"> the difference</w:t>
      </w:r>
      <w:r w:rsidR="00F364B0">
        <w:t xml:space="preserve"> in CV</w:t>
      </w:r>
      <w:r w:rsidR="00F364B0">
        <w:rPr>
          <w:vertAlign w:val="subscript"/>
        </w:rPr>
        <w:t>T</w:t>
      </w:r>
      <w:r>
        <w:t xml:space="preserve"> is not significant. For the baseline group, the average CV</w:t>
      </w:r>
      <w:r w:rsidRPr="00447F21">
        <w:rPr>
          <w:vertAlign w:val="subscript"/>
        </w:rPr>
        <w:t>T</w:t>
      </w:r>
      <w:r>
        <w:t xml:space="preserve"> is lower when K</w:t>
      </w:r>
      <w:r w:rsidRPr="003564F5">
        <w:rPr>
          <w:vertAlign w:val="superscript"/>
        </w:rPr>
        <w:t>+</w:t>
      </w:r>
      <w:r>
        <w:t xml:space="preserve"> = 10mM versus when K</w:t>
      </w:r>
      <w:r w:rsidRPr="003564F5">
        <w:rPr>
          <w:vertAlign w:val="superscript"/>
        </w:rPr>
        <w:t>+</w:t>
      </w:r>
      <w:r>
        <w:t xml:space="preserve"> = 4.6mM by 4.923 </w:t>
      </w:r>
      <w:r w:rsidR="00F364B0">
        <w:t>cm/s</w:t>
      </w:r>
      <w:r>
        <w:t xml:space="preserve">. When both </w:t>
      </w:r>
      <w:r w:rsidR="00F364B0">
        <w:t>Na</w:t>
      </w:r>
      <w:r w:rsidR="00F364B0" w:rsidRPr="00447F21">
        <w:rPr>
          <w:vertAlign w:val="superscript"/>
        </w:rPr>
        <w:t>+</w:t>
      </w:r>
      <w:r>
        <w:t xml:space="preserve"> and </w:t>
      </w:r>
      <w:r w:rsidR="00F364B0">
        <w:t>Ca</w:t>
      </w:r>
      <w:r w:rsidR="00F364B0" w:rsidRPr="00447F21">
        <w:rPr>
          <w:vertAlign w:val="superscript"/>
        </w:rPr>
        <w:t>2+</w:t>
      </w:r>
      <w:r>
        <w:t xml:space="preserve"> are </w:t>
      </w:r>
      <w:r w:rsidR="00F364B0">
        <w:t>elevated</w:t>
      </w:r>
      <w:r>
        <w:t xml:space="preserve"> CV</w:t>
      </w:r>
      <w:r w:rsidRPr="00447F21">
        <w:rPr>
          <w:vertAlign w:val="subscript"/>
        </w:rPr>
        <w:t>T</w:t>
      </w:r>
      <w:r>
        <w:t xml:space="preserve"> is lower by 1.65 </w:t>
      </w:r>
      <w:r w:rsidR="00F364B0">
        <w:t>cm/s</w:t>
      </w:r>
      <w:r>
        <w:t>.</w:t>
      </w:r>
    </w:p>
    <w:p w14:paraId="3CE7D5ED" w14:textId="2506B400" w:rsidR="003A60B6" w:rsidRDefault="003A60B6" w:rsidP="003A60B6">
      <w:pPr>
        <w:spacing w:line="276" w:lineRule="auto"/>
        <w:jc w:val="both"/>
      </w:pPr>
    </w:p>
    <w:p w14:paraId="0F256B8A" w14:textId="77777777" w:rsidR="005B5948" w:rsidRDefault="005B5948">
      <w:pPr>
        <w:rPr>
          <w:b/>
          <w:bCs/>
        </w:rPr>
      </w:pPr>
      <w:r>
        <w:rPr>
          <w:b/>
          <w:bCs/>
        </w:rPr>
        <w:br w:type="page"/>
      </w:r>
    </w:p>
    <w:p w14:paraId="0D3421BF" w14:textId="0546FB5A" w:rsidR="003A60B6" w:rsidRDefault="003A60B6" w:rsidP="003A60B6">
      <w:pPr>
        <w:spacing w:line="276" w:lineRule="auto"/>
        <w:jc w:val="both"/>
        <w:rPr>
          <w:b/>
          <w:bCs/>
        </w:rPr>
      </w:pPr>
      <w:r>
        <w:rPr>
          <w:b/>
          <w:bCs/>
        </w:rPr>
        <w:lastRenderedPageBreak/>
        <w:t>Parabolic Fits</w:t>
      </w:r>
    </w:p>
    <w:p w14:paraId="1F948D3D" w14:textId="239EFA86" w:rsidR="003A60B6" w:rsidRDefault="003A60B6" w:rsidP="003A60B6">
      <w:pPr>
        <w:spacing w:line="276" w:lineRule="auto"/>
        <w:jc w:val="both"/>
      </w:pPr>
      <w:r>
        <w:t>Mixed effects models (</w:t>
      </w:r>
      <w:proofErr w:type="spellStart"/>
      <w:r w:rsidRPr="003A60B6">
        <w:t>doi</w:t>
      </w:r>
      <w:proofErr w:type="spellEnd"/>
      <w:r w:rsidRPr="003A60B6">
        <w:t>: 10.18637/jss.v067.i01</w:t>
      </w:r>
      <w:r>
        <w:t>) were fit to estimate CV as a quadratic function of K</w:t>
      </w:r>
      <w:r w:rsidRPr="003A60B6">
        <w:rPr>
          <w:vertAlign w:val="superscript"/>
        </w:rPr>
        <w:t>+</w:t>
      </w:r>
      <w:r>
        <w:t>. A parabola was fit for each Na</w:t>
      </w:r>
      <w:r w:rsidRPr="00B23B51">
        <w:rPr>
          <w:vertAlign w:val="superscript"/>
        </w:rPr>
        <w:t>+</w:t>
      </w:r>
      <w:r>
        <w:t xml:space="preserve"> and Ca</w:t>
      </w:r>
      <w:r w:rsidRPr="00B23B51">
        <w:rPr>
          <w:vertAlign w:val="superscript"/>
        </w:rPr>
        <w:t>2+</w:t>
      </w:r>
      <w:r>
        <w:t xml:space="preserve"> concentration simultaneously and random intercepts were included to account for correlation within the hearts. The fitted parabolas for CV</w:t>
      </w:r>
      <w:r>
        <w:rPr>
          <w:vertAlign w:val="subscript"/>
        </w:rPr>
        <w:t>L</w:t>
      </w:r>
      <w:r>
        <w:t xml:space="preserve"> and CV</w:t>
      </w:r>
      <w:r>
        <w:rPr>
          <w:vertAlign w:val="subscript"/>
        </w:rPr>
        <w:t>T</w:t>
      </w:r>
      <w:r>
        <w:softHyphen/>
        <w:t xml:space="preserve"> appear in Supplemental Figure 2; their corresponding parabolic coefficients are included in Supplemental Table 3 and Supplemental Table 4. </w:t>
      </w:r>
    </w:p>
    <w:p w14:paraId="24FDA0D3" w14:textId="77777777" w:rsidR="005B5948" w:rsidRDefault="005B5948" w:rsidP="003A60B6">
      <w:pPr>
        <w:spacing w:line="276" w:lineRule="auto"/>
        <w:jc w:val="both"/>
      </w:pPr>
    </w:p>
    <w:p w14:paraId="1D1BDCF6" w14:textId="67472022" w:rsidR="005B5948" w:rsidRDefault="005B5948" w:rsidP="003A60B6">
      <w:pPr>
        <w:spacing w:line="276" w:lineRule="auto"/>
        <w:jc w:val="both"/>
      </w:pPr>
      <w:r>
        <w:rPr>
          <w:noProof/>
        </w:rPr>
        <w:drawing>
          <wp:inline distT="0" distB="0" distL="0" distR="0" wp14:anchorId="2EA896FD" wp14:editId="14B52B33">
            <wp:extent cx="5334000" cy="4572000"/>
            <wp:effectExtent l="0" t="0" r="0" b="0"/>
            <wp:docPr id="2" name="Picture" descr="Figure 2: Velocities are fitted as quadratic functions of K. The points on the curves indicate the averages of the corresponding measurements."/>
            <wp:cNvGraphicFramePr/>
            <a:graphic xmlns:a="http://schemas.openxmlformats.org/drawingml/2006/main">
              <a:graphicData uri="http://schemas.openxmlformats.org/drawingml/2006/picture">
                <pic:pic xmlns:pic="http://schemas.openxmlformats.org/drawingml/2006/picture">
                  <pic:nvPicPr>
                    <pic:cNvPr id="0" name="Picture" descr="2021-01-08_ions_report_files/figure-docx/parabolas-1.png"/>
                    <pic:cNvPicPr>
                      <a:picLocks noChangeAspect="1" noChangeArrowheads="1"/>
                    </pic:cNvPicPr>
                  </pic:nvPicPr>
                  <pic:blipFill>
                    <a:blip r:embed="rId5"/>
                    <a:stretch>
                      <a:fillRect/>
                    </a:stretch>
                  </pic:blipFill>
                  <pic:spPr bwMode="auto">
                    <a:xfrm>
                      <a:off x="0" y="0"/>
                      <a:ext cx="5334000" cy="4572000"/>
                    </a:xfrm>
                    <a:prstGeom prst="rect">
                      <a:avLst/>
                    </a:prstGeom>
                    <a:noFill/>
                    <a:ln w="9525">
                      <a:noFill/>
                      <a:headEnd/>
                      <a:tailEnd/>
                    </a:ln>
                  </pic:spPr>
                </pic:pic>
              </a:graphicData>
            </a:graphic>
          </wp:inline>
        </w:drawing>
      </w:r>
    </w:p>
    <w:p w14:paraId="6D604051" w14:textId="2090632E" w:rsidR="005B5948" w:rsidRDefault="005B5948" w:rsidP="003A60B6">
      <w:pPr>
        <w:spacing w:line="276" w:lineRule="auto"/>
        <w:jc w:val="both"/>
      </w:pPr>
      <w:r w:rsidRPr="006D026B">
        <w:rPr>
          <w:b/>
        </w:rPr>
        <w:t>Supplemental Figure 2.</w:t>
      </w:r>
      <w:r>
        <w:t xml:space="preserve"> Quadratic fits of CV as a function of K</w:t>
      </w:r>
      <w:r>
        <w:rPr>
          <w:vertAlign w:val="superscript"/>
        </w:rPr>
        <w:t>+</w:t>
      </w:r>
      <w:r>
        <w:t xml:space="preserve"> for each Na</w:t>
      </w:r>
      <w:r w:rsidRPr="005B5948">
        <w:rPr>
          <w:vertAlign w:val="superscript"/>
        </w:rPr>
        <w:t>+</w:t>
      </w:r>
      <w:r>
        <w:t>/Ca</w:t>
      </w:r>
      <w:r w:rsidRPr="005B5948">
        <w:rPr>
          <w:vertAlign w:val="superscript"/>
        </w:rPr>
        <w:t>2+</w:t>
      </w:r>
      <w:r>
        <w:t xml:space="preserve"> combination. The points on the curves indicate the mean values for each K</w:t>
      </w:r>
      <w:r w:rsidRPr="00B23B51">
        <w:rPr>
          <w:vertAlign w:val="superscript"/>
        </w:rPr>
        <w:t>+</w:t>
      </w:r>
      <w:r>
        <w:t xml:space="preserve"> as obtained experimentally (Figure 3). </w:t>
      </w:r>
    </w:p>
    <w:p w14:paraId="3FDFE3EF" w14:textId="5209B88D" w:rsidR="005B5948" w:rsidRDefault="005B5948" w:rsidP="005B5948">
      <w:pPr>
        <w:pStyle w:val="BodyText"/>
        <w:jc w:val="both"/>
      </w:pPr>
      <w:r>
        <w:t>The parabolic fit of the 145mM Na</w:t>
      </w:r>
      <w:r w:rsidRPr="003564F5">
        <w:rPr>
          <w:vertAlign w:val="superscript"/>
        </w:rPr>
        <w:t>+</w:t>
      </w:r>
      <w:r>
        <w:t xml:space="preserve"> / 1.25mM Ca</w:t>
      </w:r>
      <w:r w:rsidRPr="003564F5">
        <w:rPr>
          <w:vertAlign w:val="superscript"/>
        </w:rPr>
        <w:t>2+</w:t>
      </w:r>
      <w:r>
        <w:rPr>
          <w:vertAlign w:val="superscript"/>
        </w:rPr>
        <w:t xml:space="preserve"> </w:t>
      </w:r>
      <w:r>
        <w:t xml:space="preserve">perfusate group was chosen as baseline for all comparisons. None of the values of the parameters for the other ion concentrations differed from the baseline values at the 0.05 level. In the remainder of the analysis, we highlight trends and patterns in an exploratory way, noting none of the fits are statistically different from one another. </w:t>
      </w:r>
    </w:p>
    <w:p w14:paraId="0B381C0C" w14:textId="7443E18B" w:rsidR="005B5948" w:rsidRDefault="005B5948" w:rsidP="005B5948">
      <w:pPr>
        <w:pStyle w:val="BodyText"/>
        <w:jc w:val="both"/>
      </w:pPr>
      <w:r>
        <w:lastRenderedPageBreak/>
        <w:t>The coefficients of the parabolic models for CV</w:t>
      </w:r>
      <w:r w:rsidRPr="005B5948">
        <w:rPr>
          <w:vertAlign w:val="subscript"/>
        </w:rPr>
        <w:t>L</w:t>
      </w:r>
      <w:r>
        <w:t xml:space="preserve"> are given in Table 3 and for CV</w:t>
      </w:r>
      <w:r w:rsidRPr="005B5948">
        <w:rPr>
          <w:vertAlign w:val="subscript"/>
        </w:rPr>
        <w:t>T</w:t>
      </w:r>
      <w:r>
        <w:t xml:space="preserve"> in Table 4. For each parabola, the apex gives the K</w:t>
      </w:r>
      <w:r>
        <w:rPr>
          <w:vertAlign w:val="superscript"/>
        </w:rPr>
        <w:t>+</w:t>
      </w:r>
      <w:r>
        <w:t xml:space="preserve"> at which the velocity is highest. It is also the point at which the direction of the relationship between </w:t>
      </w:r>
      <w:r w:rsidR="008F3BD3">
        <w:t>K</w:t>
      </w:r>
      <w:r w:rsidR="008F3BD3">
        <w:rPr>
          <w:vertAlign w:val="superscript"/>
        </w:rPr>
        <w:t>+</w:t>
      </w:r>
      <w:r>
        <w:t xml:space="preserve"> and </w:t>
      </w:r>
      <w:r w:rsidR="008F3BD3">
        <w:t>CV</w:t>
      </w:r>
      <w:r>
        <w:t xml:space="preserve"> changes. As </w:t>
      </w:r>
      <w:r w:rsidR="008F3BD3">
        <w:t>K</w:t>
      </w:r>
      <w:r w:rsidR="008F3BD3">
        <w:rPr>
          <w:vertAlign w:val="superscript"/>
        </w:rPr>
        <w:t>+</w:t>
      </w:r>
      <w:r>
        <w:t xml:space="preserve"> increases, </w:t>
      </w:r>
      <w:r w:rsidR="002C7626">
        <w:t xml:space="preserve">CV </w:t>
      </w:r>
      <w:r>
        <w:t xml:space="preserve">increases as long as </w:t>
      </w:r>
      <w:r w:rsidR="008F3BD3">
        <w:t>K</w:t>
      </w:r>
      <w:r w:rsidR="008F3BD3">
        <w:rPr>
          <w:vertAlign w:val="superscript"/>
        </w:rPr>
        <w:t>+</w:t>
      </w:r>
      <w:r>
        <w:t xml:space="preserve"> is below this value and decreases when </w:t>
      </w:r>
      <w:r w:rsidR="008F3BD3">
        <w:t>K</w:t>
      </w:r>
      <w:r w:rsidR="008F3BD3">
        <w:rPr>
          <w:vertAlign w:val="superscript"/>
        </w:rPr>
        <w:t>+</w:t>
      </w:r>
      <w:r>
        <w:t xml:space="preserve"> is above this value.</w:t>
      </w:r>
    </w:p>
    <w:p w14:paraId="0298B222" w14:textId="159813C2" w:rsidR="005B5948" w:rsidRDefault="005B5948" w:rsidP="005B5948">
      <w:pPr>
        <w:pStyle w:val="BodyText"/>
        <w:jc w:val="both"/>
      </w:pPr>
      <w:r>
        <w:t xml:space="preserve">The curvature is the absolute value of the second derivative of the function and is a measure of how quickly the function falls off. Large curvatures indicate that </w:t>
      </w:r>
      <w:r w:rsidR="00B23B51">
        <w:t xml:space="preserve">CV </w:t>
      </w:r>
      <w:r>
        <w:t xml:space="preserve">decreases rapidly as </w:t>
      </w:r>
      <w:r w:rsidR="008F3BD3">
        <w:t>K</w:t>
      </w:r>
      <w:r w:rsidR="008F3BD3">
        <w:rPr>
          <w:vertAlign w:val="superscript"/>
        </w:rPr>
        <w:t>+</w:t>
      </w:r>
      <w:r>
        <w:t xml:space="preserve"> increases past the apex. Curvatures close to zero indicate that velocity decreases slowly as </w:t>
      </w:r>
      <w:r w:rsidR="002C7626">
        <w:t>K</w:t>
      </w:r>
      <w:r w:rsidR="002C7626">
        <w:rPr>
          <w:vertAlign w:val="superscript"/>
        </w:rPr>
        <w:t>+</w:t>
      </w:r>
      <w:r w:rsidR="00B23B51">
        <w:rPr>
          <w:vertAlign w:val="superscript"/>
        </w:rPr>
        <w:t xml:space="preserve"> </w:t>
      </w:r>
      <w:r>
        <w:t>increases past the apex.</w:t>
      </w:r>
    </w:p>
    <w:p w14:paraId="36F6778D" w14:textId="77777777" w:rsidR="005B5948" w:rsidRDefault="005B5948" w:rsidP="005B5948"/>
    <w:p w14:paraId="285534B8" w14:textId="77777777" w:rsidR="005B5948" w:rsidRDefault="005B5948" w:rsidP="005B5948">
      <w:r>
        <w:t>Table 3: Parabolic coefficients as well as the apex and curvature for the CV</w:t>
      </w:r>
      <w:r w:rsidRPr="005B5948">
        <w:rPr>
          <w:vertAlign w:val="subscript"/>
        </w:rPr>
        <w:t>L</w:t>
      </w:r>
      <w:r>
        <w:t xml:space="preserve"> parabolas</w:t>
      </w:r>
    </w:p>
    <w:tbl>
      <w:tblPr>
        <w:tblStyle w:val="Table"/>
        <w:tblW w:w="5000" w:type="pct"/>
        <w:jc w:val="center"/>
        <w:tblLook w:val="0420" w:firstRow="1" w:lastRow="0" w:firstColumn="0" w:lastColumn="0" w:noHBand="0" w:noVBand="1"/>
      </w:tblPr>
      <w:tblGrid>
        <w:gridCol w:w="3391"/>
        <w:gridCol w:w="1284"/>
        <w:gridCol w:w="1037"/>
        <w:gridCol w:w="1371"/>
        <w:gridCol w:w="892"/>
        <w:gridCol w:w="1385"/>
      </w:tblGrid>
      <w:tr w:rsidR="005B5948" w14:paraId="5F64D3AB" w14:textId="77777777" w:rsidTr="00037E28">
        <w:trPr>
          <w:cantSplit/>
          <w:tblHeader/>
          <w:jc w:val="center"/>
        </w:trPr>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67D42ED0" w14:textId="77777777" w:rsidR="005B5948" w:rsidRDefault="005B5948" w:rsidP="00037E28">
            <w:pPr>
              <w:spacing w:before="40" w:after="40"/>
              <w:ind w:left="100" w:right="100"/>
            </w:pPr>
            <w:r>
              <w:rPr>
                <w:rFonts w:ascii="Arial" w:eastAsia="Arial" w:hAnsi="Arial" w:cs="Arial"/>
                <w:color w:val="111111"/>
                <w:sz w:val="22"/>
                <w:szCs w:val="22"/>
              </w:rPr>
              <w:t xml:space="preserve"> </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5214D5B3" w14:textId="77777777" w:rsidR="005B5948" w:rsidRDefault="005B5948" w:rsidP="00037E28">
            <w:pPr>
              <w:spacing w:before="40" w:after="40"/>
              <w:ind w:left="100" w:right="100"/>
              <w:jc w:val="right"/>
            </w:pPr>
            <w:r>
              <w:rPr>
                <w:rFonts w:ascii="Arial" w:eastAsia="Arial" w:hAnsi="Arial" w:cs="Arial"/>
                <w:color w:val="111111"/>
                <w:sz w:val="22"/>
                <w:szCs w:val="22"/>
              </w:rPr>
              <w:t>Constant</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045722B3" w14:textId="77777777" w:rsidR="005B5948" w:rsidRDefault="005B5948" w:rsidP="00037E28">
            <w:pPr>
              <w:spacing w:before="40" w:after="40"/>
              <w:ind w:left="100" w:right="100"/>
              <w:jc w:val="right"/>
            </w:pPr>
            <w:r>
              <w:rPr>
                <w:rFonts w:ascii="Arial" w:eastAsia="Arial" w:hAnsi="Arial" w:cs="Arial"/>
                <w:color w:val="111111"/>
                <w:sz w:val="22"/>
                <w:szCs w:val="22"/>
              </w:rPr>
              <w:t>Linear</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1DDAEB5F" w14:textId="77777777" w:rsidR="005B5948" w:rsidRDefault="005B5948" w:rsidP="00037E28">
            <w:pPr>
              <w:spacing w:before="40" w:after="40"/>
              <w:ind w:left="100" w:right="100"/>
              <w:jc w:val="right"/>
            </w:pPr>
            <w:r>
              <w:rPr>
                <w:rFonts w:ascii="Arial" w:eastAsia="Arial" w:hAnsi="Arial" w:cs="Arial"/>
                <w:color w:val="111111"/>
                <w:sz w:val="22"/>
                <w:szCs w:val="22"/>
              </w:rPr>
              <w:t>Quadratic</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728453C8" w14:textId="77777777" w:rsidR="005B5948" w:rsidRDefault="005B5948" w:rsidP="00037E28">
            <w:pPr>
              <w:spacing w:before="40" w:after="40"/>
              <w:ind w:left="100" w:right="100"/>
              <w:jc w:val="right"/>
            </w:pPr>
            <w:r>
              <w:rPr>
                <w:rFonts w:ascii="Arial" w:eastAsia="Arial" w:hAnsi="Arial" w:cs="Arial"/>
                <w:color w:val="111111"/>
                <w:sz w:val="22"/>
                <w:szCs w:val="22"/>
              </w:rPr>
              <w:t>Apex</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598F094E" w14:textId="77777777" w:rsidR="005B5948" w:rsidRDefault="005B5948" w:rsidP="00037E28">
            <w:pPr>
              <w:spacing w:before="40" w:after="40"/>
              <w:ind w:left="100" w:right="100"/>
              <w:jc w:val="right"/>
            </w:pPr>
            <w:r>
              <w:rPr>
                <w:rFonts w:ascii="Arial" w:eastAsia="Arial" w:hAnsi="Arial" w:cs="Arial"/>
                <w:color w:val="111111"/>
                <w:sz w:val="22"/>
                <w:szCs w:val="22"/>
              </w:rPr>
              <w:t>Curvature</w:t>
            </w:r>
          </w:p>
        </w:tc>
      </w:tr>
      <w:tr w:rsidR="005B5948" w14:paraId="2C50968F" w14:textId="77777777" w:rsidTr="00037E28">
        <w:trPr>
          <w:cantSplit/>
          <w:jc w:val="center"/>
        </w:trPr>
        <w:tc>
          <w:tcPr>
            <w:tcW w:w="0" w:type="auto"/>
            <w:shd w:val="clear" w:color="auto" w:fill="FFFFFF"/>
            <w:tcMar>
              <w:top w:w="0" w:type="dxa"/>
              <w:left w:w="0" w:type="dxa"/>
              <w:bottom w:w="0" w:type="dxa"/>
              <w:right w:w="0" w:type="dxa"/>
            </w:tcMar>
            <w:vAlign w:val="center"/>
          </w:tcPr>
          <w:p w14:paraId="3A193B43" w14:textId="77777777" w:rsidR="005B5948" w:rsidRDefault="005B5948" w:rsidP="00037E28">
            <w:pPr>
              <w:spacing w:before="40" w:after="40"/>
              <w:ind w:left="100" w:right="100"/>
            </w:pPr>
            <w:r>
              <w:rPr>
                <w:rFonts w:ascii="Arial" w:eastAsia="Arial" w:hAnsi="Arial" w:cs="Arial"/>
                <w:color w:val="111111"/>
                <w:sz w:val="22"/>
                <w:szCs w:val="22"/>
              </w:rPr>
              <w:t>Baseline (Na 145; Ca 1.25)</w:t>
            </w:r>
          </w:p>
        </w:tc>
        <w:tc>
          <w:tcPr>
            <w:tcW w:w="0" w:type="auto"/>
            <w:shd w:val="clear" w:color="auto" w:fill="FFFFFF"/>
            <w:tcMar>
              <w:top w:w="0" w:type="dxa"/>
              <w:left w:w="0" w:type="dxa"/>
              <w:bottom w:w="0" w:type="dxa"/>
              <w:right w:w="0" w:type="dxa"/>
            </w:tcMar>
            <w:vAlign w:val="center"/>
          </w:tcPr>
          <w:p w14:paraId="750341A5" w14:textId="77777777" w:rsidR="005B5948" w:rsidRDefault="005B5948" w:rsidP="00037E28">
            <w:pPr>
              <w:spacing w:before="40" w:after="40"/>
              <w:ind w:left="100" w:right="100"/>
              <w:jc w:val="right"/>
            </w:pPr>
            <w:r>
              <w:rPr>
                <w:rFonts w:ascii="Arial" w:eastAsia="Arial" w:hAnsi="Arial" w:cs="Arial"/>
                <w:color w:val="111111"/>
                <w:sz w:val="22"/>
                <w:szCs w:val="22"/>
              </w:rPr>
              <w:t>3.819</w:t>
            </w:r>
          </w:p>
        </w:tc>
        <w:tc>
          <w:tcPr>
            <w:tcW w:w="0" w:type="auto"/>
            <w:shd w:val="clear" w:color="auto" w:fill="FFFFFF"/>
            <w:tcMar>
              <w:top w:w="0" w:type="dxa"/>
              <w:left w:w="0" w:type="dxa"/>
              <w:bottom w:w="0" w:type="dxa"/>
              <w:right w:w="0" w:type="dxa"/>
            </w:tcMar>
            <w:vAlign w:val="center"/>
          </w:tcPr>
          <w:p w14:paraId="18FA3BA6" w14:textId="77777777" w:rsidR="005B5948" w:rsidRDefault="005B5948" w:rsidP="00037E28">
            <w:pPr>
              <w:spacing w:before="40" w:after="40"/>
              <w:ind w:left="100" w:right="100"/>
              <w:jc w:val="right"/>
            </w:pPr>
            <w:r>
              <w:rPr>
                <w:rFonts w:ascii="Arial" w:eastAsia="Arial" w:hAnsi="Arial" w:cs="Arial"/>
                <w:color w:val="111111"/>
                <w:sz w:val="22"/>
                <w:szCs w:val="22"/>
              </w:rPr>
              <w:t>16.493</w:t>
            </w:r>
          </w:p>
        </w:tc>
        <w:tc>
          <w:tcPr>
            <w:tcW w:w="0" w:type="auto"/>
            <w:shd w:val="clear" w:color="auto" w:fill="FFFFFF"/>
            <w:tcMar>
              <w:top w:w="0" w:type="dxa"/>
              <w:left w:w="0" w:type="dxa"/>
              <w:bottom w:w="0" w:type="dxa"/>
              <w:right w:w="0" w:type="dxa"/>
            </w:tcMar>
            <w:vAlign w:val="center"/>
          </w:tcPr>
          <w:p w14:paraId="52CF0793" w14:textId="77777777" w:rsidR="005B5948" w:rsidRDefault="005B5948" w:rsidP="00037E28">
            <w:pPr>
              <w:spacing w:before="40" w:after="40"/>
              <w:ind w:left="100" w:right="100"/>
              <w:jc w:val="right"/>
            </w:pPr>
            <w:r>
              <w:rPr>
                <w:rFonts w:ascii="Arial" w:eastAsia="Arial" w:hAnsi="Arial" w:cs="Arial"/>
                <w:color w:val="111111"/>
                <w:sz w:val="22"/>
                <w:szCs w:val="22"/>
              </w:rPr>
              <w:t>-1.255</w:t>
            </w:r>
          </w:p>
        </w:tc>
        <w:tc>
          <w:tcPr>
            <w:tcW w:w="0" w:type="auto"/>
            <w:shd w:val="clear" w:color="auto" w:fill="FFFFFF"/>
            <w:tcMar>
              <w:top w:w="0" w:type="dxa"/>
              <w:left w:w="0" w:type="dxa"/>
              <w:bottom w:w="0" w:type="dxa"/>
              <w:right w:w="0" w:type="dxa"/>
            </w:tcMar>
            <w:vAlign w:val="center"/>
          </w:tcPr>
          <w:p w14:paraId="6B627C0D" w14:textId="77777777" w:rsidR="005B5948" w:rsidRDefault="005B5948" w:rsidP="00037E28">
            <w:pPr>
              <w:spacing w:before="40" w:after="40"/>
              <w:ind w:left="100" w:right="100"/>
              <w:jc w:val="right"/>
            </w:pPr>
            <w:r>
              <w:rPr>
                <w:rFonts w:ascii="Arial" w:eastAsia="Arial" w:hAnsi="Arial" w:cs="Arial"/>
                <w:color w:val="111111"/>
                <w:sz w:val="22"/>
                <w:szCs w:val="22"/>
              </w:rPr>
              <w:t>6.572</w:t>
            </w:r>
          </w:p>
        </w:tc>
        <w:tc>
          <w:tcPr>
            <w:tcW w:w="0" w:type="auto"/>
            <w:shd w:val="clear" w:color="auto" w:fill="FFFFFF"/>
            <w:tcMar>
              <w:top w:w="0" w:type="dxa"/>
              <w:left w:w="0" w:type="dxa"/>
              <w:bottom w:w="0" w:type="dxa"/>
              <w:right w:w="0" w:type="dxa"/>
            </w:tcMar>
            <w:vAlign w:val="center"/>
          </w:tcPr>
          <w:p w14:paraId="3C3DDCE8" w14:textId="77777777" w:rsidR="005B5948" w:rsidRDefault="005B5948" w:rsidP="00037E28">
            <w:pPr>
              <w:spacing w:before="40" w:after="40"/>
              <w:ind w:left="100" w:right="100"/>
              <w:jc w:val="right"/>
            </w:pPr>
            <w:r>
              <w:rPr>
                <w:rFonts w:ascii="Arial" w:eastAsia="Arial" w:hAnsi="Arial" w:cs="Arial"/>
                <w:color w:val="111111"/>
                <w:sz w:val="22"/>
                <w:szCs w:val="22"/>
              </w:rPr>
              <w:t>2.510</w:t>
            </w:r>
          </w:p>
        </w:tc>
      </w:tr>
      <w:tr w:rsidR="005B5948" w14:paraId="09D53430" w14:textId="77777777" w:rsidTr="00037E28">
        <w:trPr>
          <w:cantSplit/>
          <w:jc w:val="center"/>
        </w:trPr>
        <w:tc>
          <w:tcPr>
            <w:tcW w:w="0" w:type="auto"/>
            <w:shd w:val="clear" w:color="auto" w:fill="FFFFFF"/>
            <w:tcMar>
              <w:top w:w="0" w:type="dxa"/>
              <w:left w:w="0" w:type="dxa"/>
              <w:bottom w:w="0" w:type="dxa"/>
              <w:right w:w="0" w:type="dxa"/>
            </w:tcMar>
            <w:vAlign w:val="center"/>
          </w:tcPr>
          <w:p w14:paraId="2AACC378" w14:textId="77777777" w:rsidR="005B5948" w:rsidRDefault="005B5948" w:rsidP="00037E28">
            <w:pPr>
              <w:spacing w:before="40" w:after="40"/>
              <w:ind w:left="100" w:right="100"/>
            </w:pPr>
            <w:r>
              <w:rPr>
                <w:rFonts w:ascii="Arial" w:eastAsia="Arial" w:hAnsi="Arial" w:cs="Arial"/>
                <w:color w:val="111111"/>
                <w:sz w:val="22"/>
                <w:szCs w:val="22"/>
              </w:rPr>
              <w:t>Na 145; Ca 2</w:t>
            </w:r>
          </w:p>
        </w:tc>
        <w:tc>
          <w:tcPr>
            <w:tcW w:w="0" w:type="auto"/>
            <w:shd w:val="clear" w:color="auto" w:fill="FFFFFF"/>
            <w:tcMar>
              <w:top w:w="0" w:type="dxa"/>
              <w:left w:w="0" w:type="dxa"/>
              <w:bottom w:w="0" w:type="dxa"/>
              <w:right w:w="0" w:type="dxa"/>
            </w:tcMar>
            <w:vAlign w:val="center"/>
          </w:tcPr>
          <w:p w14:paraId="40D38C10" w14:textId="77777777" w:rsidR="005B5948" w:rsidRDefault="005B5948" w:rsidP="00037E28">
            <w:pPr>
              <w:spacing w:before="40" w:after="40"/>
              <w:ind w:left="100" w:right="100"/>
              <w:jc w:val="right"/>
            </w:pPr>
            <w:r>
              <w:rPr>
                <w:rFonts w:ascii="Arial" w:eastAsia="Arial" w:hAnsi="Arial" w:cs="Arial"/>
                <w:color w:val="111111"/>
                <w:sz w:val="22"/>
                <w:szCs w:val="22"/>
              </w:rPr>
              <w:t>21.666</w:t>
            </w:r>
          </w:p>
        </w:tc>
        <w:tc>
          <w:tcPr>
            <w:tcW w:w="0" w:type="auto"/>
            <w:shd w:val="clear" w:color="auto" w:fill="FFFFFF"/>
            <w:tcMar>
              <w:top w:w="0" w:type="dxa"/>
              <w:left w:w="0" w:type="dxa"/>
              <w:bottom w:w="0" w:type="dxa"/>
              <w:right w:w="0" w:type="dxa"/>
            </w:tcMar>
            <w:vAlign w:val="center"/>
          </w:tcPr>
          <w:p w14:paraId="0EB127DE" w14:textId="77777777" w:rsidR="005B5948" w:rsidRDefault="005B5948" w:rsidP="00037E28">
            <w:pPr>
              <w:spacing w:before="40" w:after="40"/>
              <w:ind w:left="100" w:right="100"/>
              <w:jc w:val="right"/>
            </w:pPr>
            <w:r>
              <w:rPr>
                <w:rFonts w:ascii="Arial" w:eastAsia="Arial" w:hAnsi="Arial" w:cs="Arial"/>
                <w:color w:val="111111"/>
                <w:sz w:val="22"/>
                <w:szCs w:val="22"/>
              </w:rPr>
              <w:t>12.811</w:t>
            </w:r>
          </w:p>
        </w:tc>
        <w:tc>
          <w:tcPr>
            <w:tcW w:w="0" w:type="auto"/>
            <w:shd w:val="clear" w:color="auto" w:fill="FFFFFF"/>
            <w:tcMar>
              <w:top w:w="0" w:type="dxa"/>
              <w:left w:w="0" w:type="dxa"/>
              <w:bottom w:w="0" w:type="dxa"/>
              <w:right w:w="0" w:type="dxa"/>
            </w:tcMar>
            <w:vAlign w:val="center"/>
          </w:tcPr>
          <w:p w14:paraId="3D533243" w14:textId="77777777" w:rsidR="005B5948" w:rsidRDefault="005B5948" w:rsidP="00037E28">
            <w:pPr>
              <w:spacing w:before="40" w:after="40"/>
              <w:ind w:left="100" w:right="100"/>
              <w:jc w:val="right"/>
            </w:pPr>
            <w:r>
              <w:rPr>
                <w:rFonts w:ascii="Arial" w:eastAsia="Arial" w:hAnsi="Arial" w:cs="Arial"/>
                <w:color w:val="111111"/>
                <w:sz w:val="22"/>
                <w:szCs w:val="22"/>
              </w:rPr>
              <w:t>-1.017</w:t>
            </w:r>
          </w:p>
        </w:tc>
        <w:tc>
          <w:tcPr>
            <w:tcW w:w="0" w:type="auto"/>
            <w:shd w:val="clear" w:color="auto" w:fill="FFFFFF"/>
            <w:tcMar>
              <w:top w:w="0" w:type="dxa"/>
              <w:left w:w="0" w:type="dxa"/>
              <w:bottom w:w="0" w:type="dxa"/>
              <w:right w:w="0" w:type="dxa"/>
            </w:tcMar>
            <w:vAlign w:val="center"/>
          </w:tcPr>
          <w:p w14:paraId="3BBBFA2C" w14:textId="77777777" w:rsidR="005B5948" w:rsidRDefault="005B5948" w:rsidP="00037E28">
            <w:pPr>
              <w:spacing w:before="40" w:after="40"/>
              <w:ind w:left="100" w:right="100"/>
              <w:jc w:val="right"/>
            </w:pPr>
            <w:r>
              <w:rPr>
                <w:rFonts w:ascii="Arial" w:eastAsia="Arial" w:hAnsi="Arial" w:cs="Arial"/>
                <w:color w:val="111111"/>
                <w:sz w:val="22"/>
                <w:szCs w:val="22"/>
              </w:rPr>
              <w:t>6.297</w:t>
            </w:r>
          </w:p>
        </w:tc>
        <w:tc>
          <w:tcPr>
            <w:tcW w:w="0" w:type="auto"/>
            <w:shd w:val="clear" w:color="auto" w:fill="FFFFFF"/>
            <w:tcMar>
              <w:top w:w="0" w:type="dxa"/>
              <w:left w:w="0" w:type="dxa"/>
              <w:bottom w:w="0" w:type="dxa"/>
              <w:right w:w="0" w:type="dxa"/>
            </w:tcMar>
            <w:vAlign w:val="center"/>
          </w:tcPr>
          <w:p w14:paraId="35794EEA" w14:textId="77777777" w:rsidR="005B5948" w:rsidRDefault="005B5948" w:rsidP="00037E28">
            <w:pPr>
              <w:spacing w:before="40" w:after="40"/>
              <w:ind w:left="100" w:right="100"/>
              <w:jc w:val="right"/>
            </w:pPr>
            <w:r>
              <w:rPr>
                <w:rFonts w:ascii="Arial" w:eastAsia="Arial" w:hAnsi="Arial" w:cs="Arial"/>
                <w:color w:val="111111"/>
                <w:sz w:val="22"/>
                <w:szCs w:val="22"/>
              </w:rPr>
              <w:t>2.035</w:t>
            </w:r>
          </w:p>
        </w:tc>
      </w:tr>
      <w:tr w:rsidR="005B5948" w14:paraId="179B2E27" w14:textId="77777777" w:rsidTr="00037E28">
        <w:trPr>
          <w:cantSplit/>
          <w:jc w:val="center"/>
        </w:trPr>
        <w:tc>
          <w:tcPr>
            <w:tcW w:w="0" w:type="auto"/>
            <w:shd w:val="clear" w:color="auto" w:fill="FFFFFF"/>
            <w:tcMar>
              <w:top w:w="0" w:type="dxa"/>
              <w:left w:w="0" w:type="dxa"/>
              <w:bottom w:w="0" w:type="dxa"/>
              <w:right w:w="0" w:type="dxa"/>
            </w:tcMar>
            <w:vAlign w:val="center"/>
          </w:tcPr>
          <w:p w14:paraId="533FCC5C" w14:textId="77777777" w:rsidR="005B5948" w:rsidRDefault="005B5948" w:rsidP="00037E28">
            <w:pPr>
              <w:spacing w:before="40" w:after="40"/>
              <w:ind w:left="100" w:right="100"/>
            </w:pPr>
            <w:r>
              <w:rPr>
                <w:rFonts w:ascii="Arial" w:eastAsia="Arial" w:hAnsi="Arial" w:cs="Arial"/>
                <w:color w:val="111111"/>
                <w:sz w:val="22"/>
                <w:szCs w:val="22"/>
              </w:rPr>
              <w:t>Na 155; Ca 1.25</w:t>
            </w:r>
          </w:p>
        </w:tc>
        <w:tc>
          <w:tcPr>
            <w:tcW w:w="0" w:type="auto"/>
            <w:shd w:val="clear" w:color="auto" w:fill="FFFFFF"/>
            <w:tcMar>
              <w:top w:w="0" w:type="dxa"/>
              <w:left w:w="0" w:type="dxa"/>
              <w:bottom w:w="0" w:type="dxa"/>
              <w:right w:w="0" w:type="dxa"/>
            </w:tcMar>
            <w:vAlign w:val="center"/>
          </w:tcPr>
          <w:p w14:paraId="518FC4BB" w14:textId="77777777" w:rsidR="005B5948" w:rsidRDefault="005B5948" w:rsidP="00037E28">
            <w:pPr>
              <w:spacing w:before="40" w:after="40"/>
              <w:ind w:left="100" w:right="100"/>
              <w:jc w:val="right"/>
            </w:pPr>
            <w:r>
              <w:rPr>
                <w:rFonts w:ascii="Arial" w:eastAsia="Arial" w:hAnsi="Arial" w:cs="Arial"/>
                <w:color w:val="111111"/>
                <w:sz w:val="22"/>
                <w:szCs w:val="22"/>
              </w:rPr>
              <w:t>20.363</w:t>
            </w:r>
          </w:p>
        </w:tc>
        <w:tc>
          <w:tcPr>
            <w:tcW w:w="0" w:type="auto"/>
            <w:shd w:val="clear" w:color="auto" w:fill="FFFFFF"/>
            <w:tcMar>
              <w:top w:w="0" w:type="dxa"/>
              <w:left w:w="0" w:type="dxa"/>
              <w:bottom w:w="0" w:type="dxa"/>
              <w:right w:w="0" w:type="dxa"/>
            </w:tcMar>
            <w:vAlign w:val="center"/>
          </w:tcPr>
          <w:p w14:paraId="137B1593" w14:textId="77777777" w:rsidR="005B5948" w:rsidRDefault="005B5948" w:rsidP="00037E28">
            <w:pPr>
              <w:spacing w:before="40" w:after="40"/>
              <w:ind w:left="100" w:right="100"/>
              <w:jc w:val="right"/>
            </w:pPr>
            <w:r>
              <w:rPr>
                <w:rFonts w:ascii="Arial" w:eastAsia="Arial" w:hAnsi="Arial" w:cs="Arial"/>
                <w:color w:val="111111"/>
                <w:sz w:val="22"/>
                <w:szCs w:val="22"/>
              </w:rPr>
              <w:t>12.323</w:t>
            </w:r>
          </w:p>
        </w:tc>
        <w:tc>
          <w:tcPr>
            <w:tcW w:w="0" w:type="auto"/>
            <w:shd w:val="clear" w:color="auto" w:fill="FFFFFF"/>
            <w:tcMar>
              <w:top w:w="0" w:type="dxa"/>
              <w:left w:w="0" w:type="dxa"/>
              <w:bottom w:w="0" w:type="dxa"/>
              <w:right w:w="0" w:type="dxa"/>
            </w:tcMar>
            <w:vAlign w:val="center"/>
          </w:tcPr>
          <w:p w14:paraId="73F7617F" w14:textId="77777777" w:rsidR="005B5948" w:rsidRDefault="005B5948" w:rsidP="00037E28">
            <w:pPr>
              <w:spacing w:before="40" w:after="40"/>
              <w:ind w:left="100" w:right="100"/>
              <w:jc w:val="right"/>
            </w:pPr>
            <w:r>
              <w:rPr>
                <w:rFonts w:ascii="Arial" w:eastAsia="Arial" w:hAnsi="Arial" w:cs="Arial"/>
                <w:color w:val="111111"/>
                <w:sz w:val="22"/>
                <w:szCs w:val="22"/>
              </w:rPr>
              <w:t>-0.931</w:t>
            </w:r>
          </w:p>
        </w:tc>
        <w:tc>
          <w:tcPr>
            <w:tcW w:w="0" w:type="auto"/>
            <w:shd w:val="clear" w:color="auto" w:fill="FFFFFF"/>
            <w:tcMar>
              <w:top w:w="0" w:type="dxa"/>
              <w:left w:w="0" w:type="dxa"/>
              <w:bottom w:w="0" w:type="dxa"/>
              <w:right w:w="0" w:type="dxa"/>
            </w:tcMar>
            <w:vAlign w:val="center"/>
          </w:tcPr>
          <w:p w14:paraId="74642EB5" w14:textId="77777777" w:rsidR="005B5948" w:rsidRDefault="005B5948" w:rsidP="00037E28">
            <w:pPr>
              <w:spacing w:before="40" w:after="40"/>
              <w:ind w:left="100" w:right="100"/>
              <w:jc w:val="right"/>
            </w:pPr>
            <w:r>
              <w:rPr>
                <w:rFonts w:ascii="Arial" w:eastAsia="Arial" w:hAnsi="Arial" w:cs="Arial"/>
                <w:color w:val="111111"/>
                <w:sz w:val="22"/>
                <w:szCs w:val="22"/>
              </w:rPr>
              <w:t>6.619</w:t>
            </w:r>
          </w:p>
        </w:tc>
        <w:tc>
          <w:tcPr>
            <w:tcW w:w="0" w:type="auto"/>
            <w:shd w:val="clear" w:color="auto" w:fill="FFFFFF"/>
            <w:tcMar>
              <w:top w:w="0" w:type="dxa"/>
              <w:left w:w="0" w:type="dxa"/>
              <w:bottom w:w="0" w:type="dxa"/>
              <w:right w:w="0" w:type="dxa"/>
            </w:tcMar>
            <w:vAlign w:val="center"/>
          </w:tcPr>
          <w:p w14:paraId="4260D369" w14:textId="77777777" w:rsidR="005B5948" w:rsidRDefault="005B5948" w:rsidP="00037E28">
            <w:pPr>
              <w:spacing w:before="40" w:after="40"/>
              <w:ind w:left="100" w:right="100"/>
              <w:jc w:val="right"/>
            </w:pPr>
            <w:r>
              <w:rPr>
                <w:rFonts w:ascii="Arial" w:eastAsia="Arial" w:hAnsi="Arial" w:cs="Arial"/>
                <w:color w:val="111111"/>
                <w:sz w:val="22"/>
                <w:szCs w:val="22"/>
              </w:rPr>
              <w:t>1.862</w:t>
            </w:r>
          </w:p>
        </w:tc>
      </w:tr>
      <w:tr w:rsidR="005B5948" w14:paraId="7D5E334D" w14:textId="77777777" w:rsidTr="00037E28">
        <w:trPr>
          <w:cantSplit/>
          <w:jc w:val="center"/>
        </w:trPr>
        <w:tc>
          <w:tcPr>
            <w:tcW w:w="0" w:type="auto"/>
            <w:tcBorders>
              <w:bottom w:val="single" w:sz="16" w:space="0" w:color="000000"/>
            </w:tcBorders>
            <w:shd w:val="clear" w:color="auto" w:fill="FFFFFF"/>
            <w:tcMar>
              <w:top w:w="0" w:type="dxa"/>
              <w:left w:w="0" w:type="dxa"/>
              <w:bottom w:w="0" w:type="dxa"/>
              <w:right w:w="0" w:type="dxa"/>
            </w:tcMar>
            <w:vAlign w:val="center"/>
          </w:tcPr>
          <w:p w14:paraId="37463AD3" w14:textId="77777777" w:rsidR="005B5948" w:rsidRDefault="005B5948" w:rsidP="00037E28">
            <w:pPr>
              <w:spacing w:before="40" w:after="40"/>
              <w:ind w:left="100" w:right="100"/>
            </w:pPr>
            <w:r>
              <w:rPr>
                <w:rFonts w:ascii="Arial" w:eastAsia="Arial" w:hAnsi="Arial" w:cs="Arial"/>
                <w:color w:val="111111"/>
                <w:sz w:val="22"/>
                <w:szCs w:val="22"/>
              </w:rPr>
              <w:t>Na 155; Ca 2</w:t>
            </w:r>
          </w:p>
        </w:tc>
        <w:tc>
          <w:tcPr>
            <w:tcW w:w="0" w:type="auto"/>
            <w:tcBorders>
              <w:bottom w:val="single" w:sz="16" w:space="0" w:color="000000"/>
            </w:tcBorders>
            <w:shd w:val="clear" w:color="auto" w:fill="FFFFFF"/>
            <w:tcMar>
              <w:top w:w="0" w:type="dxa"/>
              <w:left w:w="0" w:type="dxa"/>
              <w:bottom w:w="0" w:type="dxa"/>
              <w:right w:w="0" w:type="dxa"/>
            </w:tcMar>
            <w:vAlign w:val="center"/>
          </w:tcPr>
          <w:p w14:paraId="1C4B9462" w14:textId="77777777" w:rsidR="005B5948" w:rsidRDefault="005B5948" w:rsidP="00037E28">
            <w:pPr>
              <w:spacing w:before="40" w:after="40"/>
              <w:ind w:left="100" w:right="100"/>
              <w:jc w:val="right"/>
            </w:pPr>
            <w:r>
              <w:rPr>
                <w:rFonts w:ascii="Arial" w:eastAsia="Arial" w:hAnsi="Arial" w:cs="Arial"/>
                <w:color w:val="111111"/>
                <w:sz w:val="22"/>
                <w:szCs w:val="22"/>
              </w:rPr>
              <w:t>23.833</w:t>
            </w:r>
          </w:p>
        </w:tc>
        <w:tc>
          <w:tcPr>
            <w:tcW w:w="0" w:type="auto"/>
            <w:tcBorders>
              <w:bottom w:val="single" w:sz="16" w:space="0" w:color="000000"/>
            </w:tcBorders>
            <w:shd w:val="clear" w:color="auto" w:fill="FFFFFF"/>
            <w:tcMar>
              <w:top w:w="0" w:type="dxa"/>
              <w:left w:w="0" w:type="dxa"/>
              <w:bottom w:w="0" w:type="dxa"/>
              <w:right w:w="0" w:type="dxa"/>
            </w:tcMar>
            <w:vAlign w:val="center"/>
          </w:tcPr>
          <w:p w14:paraId="1A884460" w14:textId="77777777" w:rsidR="005B5948" w:rsidRDefault="005B5948" w:rsidP="00037E28">
            <w:pPr>
              <w:spacing w:before="40" w:after="40"/>
              <w:ind w:left="100" w:right="100"/>
              <w:jc w:val="right"/>
            </w:pPr>
            <w:r>
              <w:rPr>
                <w:rFonts w:ascii="Arial" w:eastAsia="Arial" w:hAnsi="Arial" w:cs="Arial"/>
                <w:color w:val="111111"/>
                <w:sz w:val="22"/>
                <w:szCs w:val="22"/>
              </w:rPr>
              <w:t>10.901</w:t>
            </w:r>
          </w:p>
        </w:tc>
        <w:tc>
          <w:tcPr>
            <w:tcW w:w="0" w:type="auto"/>
            <w:tcBorders>
              <w:bottom w:val="single" w:sz="16" w:space="0" w:color="000000"/>
            </w:tcBorders>
            <w:shd w:val="clear" w:color="auto" w:fill="FFFFFF"/>
            <w:tcMar>
              <w:top w:w="0" w:type="dxa"/>
              <w:left w:w="0" w:type="dxa"/>
              <w:bottom w:w="0" w:type="dxa"/>
              <w:right w:w="0" w:type="dxa"/>
            </w:tcMar>
            <w:vAlign w:val="center"/>
          </w:tcPr>
          <w:p w14:paraId="78B3E95E" w14:textId="77777777" w:rsidR="005B5948" w:rsidRDefault="005B5948" w:rsidP="00037E28">
            <w:pPr>
              <w:spacing w:before="40" w:after="40"/>
              <w:ind w:left="100" w:right="100"/>
              <w:jc w:val="right"/>
            </w:pPr>
            <w:r>
              <w:rPr>
                <w:rFonts w:ascii="Arial" w:eastAsia="Arial" w:hAnsi="Arial" w:cs="Arial"/>
                <w:color w:val="111111"/>
                <w:sz w:val="22"/>
                <w:szCs w:val="22"/>
              </w:rPr>
              <w:t>-0.809</w:t>
            </w:r>
          </w:p>
        </w:tc>
        <w:tc>
          <w:tcPr>
            <w:tcW w:w="0" w:type="auto"/>
            <w:tcBorders>
              <w:bottom w:val="single" w:sz="16" w:space="0" w:color="000000"/>
            </w:tcBorders>
            <w:shd w:val="clear" w:color="auto" w:fill="FFFFFF"/>
            <w:tcMar>
              <w:top w:w="0" w:type="dxa"/>
              <w:left w:w="0" w:type="dxa"/>
              <w:bottom w:w="0" w:type="dxa"/>
              <w:right w:w="0" w:type="dxa"/>
            </w:tcMar>
            <w:vAlign w:val="center"/>
          </w:tcPr>
          <w:p w14:paraId="290CBAD4" w14:textId="77777777" w:rsidR="005B5948" w:rsidRDefault="005B5948" w:rsidP="00037E28">
            <w:pPr>
              <w:spacing w:before="40" w:after="40"/>
              <w:ind w:left="100" w:right="100"/>
              <w:jc w:val="right"/>
            </w:pPr>
            <w:r>
              <w:rPr>
                <w:rFonts w:ascii="Arial" w:eastAsia="Arial" w:hAnsi="Arial" w:cs="Arial"/>
                <w:color w:val="111111"/>
                <w:sz w:val="22"/>
                <w:szCs w:val="22"/>
              </w:rPr>
              <w:t>6.740</w:t>
            </w:r>
          </w:p>
        </w:tc>
        <w:tc>
          <w:tcPr>
            <w:tcW w:w="0" w:type="auto"/>
            <w:tcBorders>
              <w:bottom w:val="single" w:sz="16" w:space="0" w:color="000000"/>
            </w:tcBorders>
            <w:shd w:val="clear" w:color="auto" w:fill="FFFFFF"/>
            <w:tcMar>
              <w:top w:w="0" w:type="dxa"/>
              <w:left w:w="0" w:type="dxa"/>
              <w:bottom w:w="0" w:type="dxa"/>
              <w:right w:w="0" w:type="dxa"/>
            </w:tcMar>
            <w:vAlign w:val="center"/>
          </w:tcPr>
          <w:p w14:paraId="68681E45" w14:textId="77777777" w:rsidR="005B5948" w:rsidRDefault="005B5948" w:rsidP="00037E28">
            <w:pPr>
              <w:spacing w:before="40" w:after="40"/>
              <w:ind w:left="100" w:right="100"/>
              <w:jc w:val="right"/>
            </w:pPr>
            <w:r>
              <w:rPr>
                <w:rFonts w:ascii="Arial" w:eastAsia="Arial" w:hAnsi="Arial" w:cs="Arial"/>
                <w:color w:val="111111"/>
                <w:sz w:val="22"/>
                <w:szCs w:val="22"/>
              </w:rPr>
              <w:t>1.617</w:t>
            </w:r>
          </w:p>
        </w:tc>
      </w:tr>
    </w:tbl>
    <w:p w14:paraId="61EEC9CA" w14:textId="77777777" w:rsidR="005B5948" w:rsidRDefault="005B5948" w:rsidP="005B5948"/>
    <w:p w14:paraId="21E302F1" w14:textId="59F9DF0D" w:rsidR="005B5948" w:rsidRDefault="005B5948" w:rsidP="005B5948">
      <w:r>
        <w:t>Table 4: Parabolic coefficients as well as the apex and curvature for the CV</w:t>
      </w:r>
      <w:r w:rsidRPr="005B5948">
        <w:rPr>
          <w:vertAlign w:val="subscript"/>
        </w:rPr>
        <w:t>T</w:t>
      </w:r>
      <w:r>
        <w:t xml:space="preserve"> parabolas.</w:t>
      </w:r>
    </w:p>
    <w:tbl>
      <w:tblPr>
        <w:tblStyle w:val="Table"/>
        <w:tblW w:w="5000" w:type="pct"/>
        <w:jc w:val="center"/>
        <w:tblLook w:val="0420" w:firstRow="1" w:lastRow="0" w:firstColumn="0" w:lastColumn="0" w:noHBand="0" w:noVBand="1"/>
      </w:tblPr>
      <w:tblGrid>
        <w:gridCol w:w="3417"/>
        <w:gridCol w:w="1294"/>
        <w:gridCol w:w="972"/>
        <w:gridCol w:w="1382"/>
        <w:gridCol w:w="899"/>
        <w:gridCol w:w="1396"/>
      </w:tblGrid>
      <w:tr w:rsidR="005B5948" w14:paraId="481C3211" w14:textId="77777777" w:rsidTr="00037E28">
        <w:trPr>
          <w:cantSplit/>
          <w:tblHeader/>
          <w:jc w:val="center"/>
        </w:trPr>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1CF495AB" w14:textId="77777777" w:rsidR="005B5948" w:rsidRDefault="005B5948" w:rsidP="00037E28">
            <w:pPr>
              <w:spacing w:before="40" w:after="40"/>
              <w:ind w:left="100" w:right="100"/>
            </w:pPr>
            <w:r>
              <w:rPr>
                <w:rFonts w:ascii="Arial" w:eastAsia="Arial" w:hAnsi="Arial" w:cs="Arial"/>
                <w:color w:val="111111"/>
                <w:sz w:val="22"/>
                <w:szCs w:val="22"/>
              </w:rPr>
              <w:t xml:space="preserve"> </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6E1E8AD9" w14:textId="77777777" w:rsidR="005B5948" w:rsidRDefault="005B5948" w:rsidP="00037E28">
            <w:pPr>
              <w:spacing w:before="40" w:after="40"/>
              <w:ind w:left="100" w:right="100"/>
              <w:jc w:val="right"/>
            </w:pPr>
            <w:r>
              <w:rPr>
                <w:rFonts w:ascii="Arial" w:eastAsia="Arial" w:hAnsi="Arial" w:cs="Arial"/>
                <w:color w:val="111111"/>
                <w:sz w:val="22"/>
                <w:szCs w:val="22"/>
              </w:rPr>
              <w:t>Constant</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24C19CD9" w14:textId="77777777" w:rsidR="005B5948" w:rsidRDefault="005B5948" w:rsidP="00037E28">
            <w:pPr>
              <w:spacing w:before="40" w:after="40"/>
              <w:ind w:left="100" w:right="100"/>
              <w:jc w:val="right"/>
            </w:pPr>
            <w:r>
              <w:rPr>
                <w:rFonts w:ascii="Arial" w:eastAsia="Arial" w:hAnsi="Arial" w:cs="Arial"/>
                <w:color w:val="111111"/>
                <w:sz w:val="22"/>
                <w:szCs w:val="22"/>
              </w:rPr>
              <w:t>Linear</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32AAE79B" w14:textId="77777777" w:rsidR="005B5948" w:rsidRDefault="005B5948" w:rsidP="00037E28">
            <w:pPr>
              <w:spacing w:before="40" w:after="40"/>
              <w:ind w:left="100" w:right="100"/>
              <w:jc w:val="right"/>
            </w:pPr>
            <w:r>
              <w:rPr>
                <w:rFonts w:ascii="Arial" w:eastAsia="Arial" w:hAnsi="Arial" w:cs="Arial"/>
                <w:color w:val="111111"/>
                <w:sz w:val="22"/>
                <w:szCs w:val="22"/>
              </w:rPr>
              <w:t>Quadratic</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6183F6AE" w14:textId="77777777" w:rsidR="005B5948" w:rsidRDefault="005B5948" w:rsidP="00037E28">
            <w:pPr>
              <w:spacing w:before="40" w:after="40"/>
              <w:ind w:left="100" w:right="100"/>
              <w:jc w:val="right"/>
            </w:pPr>
            <w:r>
              <w:rPr>
                <w:rFonts w:ascii="Arial" w:eastAsia="Arial" w:hAnsi="Arial" w:cs="Arial"/>
                <w:color w:val="111111"/>
                <w:sz w:val="22"/>
                <w:szCs w:val="22"/>
              </w:rPr>
              <w:t>Apex</w:t>
            </w:r>
          </w:p>
        </w:tc>
        <w:tc>
          <w:tcPr>
            <w:tcW w:w="0" w:type="auto"/>
            <w:tcBorders>
              <w:top w:val="single" w:sz="16" w:space="0" w:color="000000"/>
              <w:bottom w:val="single" w:sz="16" w:space="0" w:color="000000"/>
            </w:tcBorders>
            <w:shd w:val="clear" w:color="auto" w:fill="FFFFFF"/>
            <w:tcMar>
              <w:top w:w="0" w:type="dxa"/>
              <w:left w:w="0" w:type="dxa"/>
              <w:bottom w:w="0" w:type="dxa"/>
              <w:right w:w="0" w:type="dxa"/>
            </w:tcMar>
            <w:vAlign w:val="center"/>
          </w:tcPr>
          <w:p w14:paraId="1E9B5518" w14:textId="77777777" w:rsidR="005B5948" w:rsidRDefault="005B5948" w:rsidP="00037E28">
            <w:pPr>
              <w:spacing w:before="40" w:after="40"/>
              <w:ind w:left="100" w:right="100"/>
              <w:jc w:val="right"/>
            </w:pPr>
            <w:r>
              <w:rPr>
                <w:rFonts w:ascii="Arial" w:eastAsia="Arial" w:hAnsi="Arial" w:cs="Arial"/>
                <w:color w:val="111111"/>
                <w:sz w:val="22"/>
                <w:szCs w:val="22"/>
              </w:rPr>
              <w:t>Curvature</w:t>
            </w:r>
          </w:p>
        </w:tc>
      </w:tr>
      <w:tr w:rsidR="005B5948" w14:paraId="30C0F744" w14:textId="77777777" w:rsidTr="00037E28">
        <w:trPr>
          <w:cantSplit/>
          <w:jc w:val="center"/>
        </w:trPr>
        <w:tc>
          <w:tcPr>
            <w:tcW w:w="0" w:type="auto"/>
            <w:shd w:val="clear" w:color="auto" w:fill="FFFFFF"/>
            <w:tcMar>
              <w:top w:w="0" w:type="dxa"/>
              <w:left w:w="0" w:type="dxa"/>
              <w:bottom w:w="0" w:type="dxa"/>
              <w:right w:w="0" w:type="dxa"/>
            </w:tcMar>
            <w:vAlign w:val="center"/>
          </w:tcPr>
          <w:p w14:paraId="7CB9806D" w14:textId="77777777" w:rsidR="005B5948" w:rsidRDefault="005B5948" w:rsidP="00037E28">
            <w:pPr>
              <w:spacing w:before="40" w:after="40"/>
              <w:ind w:left="100" w:right="100"/>
            </w:pPr>
            <w:r>
              <w:rPr>
                <w:rFonts w:ascii="Arial" w:eastAsia="Arial" w:hAnsi="Arial" w:cs="Arial"/>
                <w:color w:val="111111"/>
                <w:sz w:val="22"/>
                <w:szCs w:val="22"/>
              </w:rPr>
              <w:t>Baseline (Na 145; Ca 1.25)</w:t>
            </w:r>
          </w:p>
        </w:tc>
        <w:tc>
          <w:tcPr>
            <w:tcW w:w="0" w:type="auto"/>
            <w:shd w:val="clear" w:color="auto" w:fill="FFFFFF"/>
            <w:tcMar>
              <w:top w:w="0" w:type="dxa"/>
              <w:left w:w="0" w:type="dxa"/>
              <w:bottom w:w="0" w:type="dxa"/>
              <w:right w:w="0" w:type="dxa"/>
            </w:tcMar>
            <w:vAlign w:val="center"/>
          </w:tcPr>
          <w:p w14:paraId="7380D606" w14:textId="77777777" w:rsidR="005B5948" w:rsidRDefault="005B5948" w:rsidP="00037E28">
            <w:pPr>
              <w:spacing w:before="40" w:after="40"/>
              <w:ind w:left="100" w:right="100"/>
              <w:jc w:val="right"/>
            </w:pPr>
            <w:r>
              <w:rPr>
                <w:rFonts w:ascii="Arial" w:eastAsia="Arial" w:hAnsi="Arial" w:cs="Arial"/>
                <w:color w:val="111111"/>
                <w:sz w:val="22"/>
                <w:szCs w:val="22"/>
              </w:rPr>
              <w:t>0.649</w:t>
            </w:r>
          </w:p>
        </w:tc>
        <w:tc>
          <w:tcPr>
            <w:tcW w:w="0" w:type="auto"/>
            <w:shd w:val="clear" w:color="auto" w:fill="FFFFFF"/>
            <w:tcMar>
              <w:top w:w="0" w:type="dxa"/>
              <w:left w:w="0" w:type="dxa"/>
              <w:bottom w:w="0" w:type="dxa"/>
              <w:right w:w="0" w:type="dxa"/>
            </w:tcMar>
            <w:vAlign w:val="center"/>
          </w:tcPr>
          <w:p w14:paraId="309F8AE8" w14:textId="77777777" w:rsidR="005B5948" w:rsidRDefault="005B5948" w:rsidP="00037E28">
            <w:pPr>
              <w:spacing w:before="40" w:after="40"/>
              <w:ind w:left="100" w:right="100"/>
              <w:jc w:val="right"/>
            </w:pPr>
            <w:r>
              <w:rPr>
                <w:rFonts w:ascii="Arial" w:eastAsia="Arial" w:hAnsi="Arial" w:cs="Arial"/>
                <w:color w:val="111111"/>
                <w:sz w:val="22"/>
                <w:szCs w:val="22"/>
              </w:rPr>
              <w:t>6.633</w:t>
            </w:r>
          </w:p>
        </w:tc>
        <w:tc>
          <w:tcPr>
            <w:tcW w:w="0" w:type="auto"/>
            <w:shd w:val="clear" w:color="auto" w:fill="FFFFFF"/>
            <w:tcMar>
              <w:top w:w="0" w:type="dxa"/>
              <w:left w:w="0" w:type="dxa"/>
              <w:bottom w:w="0" w:type="dxa"/>
              <w:right w:w="0" w:type="dxa"/>
            </w:tcMar>
            <w:vAlign w:val="center"/>
          </w:tcPr>
          <w:p w14:paraId="73A0C151" w14:textId="77777777" w:rsidR="005B5948" w:rsidRDefault="005B5948" w:rsidP="00037E28">
            <w:pPr>
              <w:spacing w:before="40" w:after="40"/>
              <w:ind w:left="100" w:right="100"/>
              <w:jc w:val="right"/>
            </w:pPr>
            <w:r>
              <w:rPr>
                <w:rFonts w:ascii="Arial" w:eastAsia="Arial" w:hAnsi="Arial" w:cs="Arial"/>
                <w:color w:val="111111"/>
                <w:sz w:val="22"/>
                <w:szCs w:val="22"/>
              </w:rPr>
              <w:t>-0.518</w:t>
            </w:r>
          </w:p>
        </w:tc>
        <w:tc>
          <w:tcPr>
            <w:tcW w:w="0" w:type="auto"/>
            <w:shd w:val="clear" w:color="auto" w:fill="FFFFFF"/>
            <w:tcMar>
              <w:top w:w="0" w:type="dxa"/>
              <w:left w:w="0" w:type="dxa"/>
              <w:bottom w:w="0" w:type="dxa"/>
              <w:right w:w="0" w:type="dxa"/>
            </w:tcMar>
            <w:vAlign w:val="center"/>
          </w:tcPr>
          <w:p w14:paraId="792534DC" w14:textId="77777777" w:rsidR="005B5948" w:rsidRDefault="005B5948" w:rsidP="00037E28">
            <w:pPr>
              <w:spacing w:before="40" w:after="40"/>
              <w:ind w:left="100" w:right="100"/>
              <w:jc w:val="right"/>
            </w:pPr>
            <w:r>
              <w:rPr>
                <w:rFonts w:ascii="Arial" w:eastAsia="Arial" w:hAnsi="Arial" w:cs="Arial"/>
                <w:color w:val="111111"/>
                <w:sz w:val="22"/>
                <w:szCs w:val="22"/>
              </w:rPr>
              <w:t>6.404</w:t>
            </w:r>
          </w:p>
        </w:tc>
        <w:tc>
          <w:tcPr>
            <w:tcW w:w="0" w:type="auto"/>
            <w:shd w:val="clear" w:color="auto" w:fill="FFFFFF"/>
            <w:tcMar>
              <w:top w:w="0" w:type="dxa"/>
              <w:left w:w="0" w:type="dxa"/>
              <w:bottom w:w="0" w:type="dxa"/>
              <w:right w:w="0" w:type="dxa"/>
            </w:tcMar>
            <w:vAlign w:val="center"/>
          </w:tcPr>
          <w:p w14:paraId="2369E69E" w14:textId="77777777" w:rsidR="005B5948" w:rsidRDefault="005B5948" w:rsidP="00037E28">
            <w:pPr>
              <w:spacing w:before="40" w:after="40"/>
              <w:ind w:left="100" w:right="100"/>
              <w:jc w:val="right"/>
            </w:pPr>
            <w:r>
              <w:rPr>
                <w:rFonts w:ascii="Arial" w:eastAsia="Arial" w:hAnsi="Arial" w:cs="Arial"/>
                <w:color w:val="111111"/>
                <w:sz w:val="22"/>
                <w:szCs w:val="22"/>
              </w:rPr>
              <w:t>1.036</w:t>
            </w:r>
          </w:p>
        </w:tc>
      </w:tr>
      <w:tr w:rsidR="005B5948" w14:paraId="10F7648A" w14:textId="77777777" w:rsidTr="00037E28">
        <w:trPr>
          <w:cantSplit/>
          <w:jc w:val="center"/>
        </w:trPr>
        <w:tc>
          <w:tcPr>
            <w:tcW w:w="0" w:type="auto"/>
            <w:shd w:val="clear" w:color="auto" w:fill="FFFFFF"/>
            <w:tcMar>
              <w:top w:w="0" w:type="dxa"/>
              <w:left w:w="0" w:type="dxa"/>
              <w:bottom w:w="0" w:type="dxa"/>
              <w:right w:w="0" w:type="dxa"/>
            </w:tcMar>
            <w:vAlign w:val="center"/>
          </w:tcPr>
          <w:p w14:paraId="75DACA8F" w14:textId="77777777" w:rsidR="005B5948" w:rsidRDefault="005B5948" w:rsidP="00037E28">
            <w:pPr>
              <w:spacing w:before="40" w:after="40"/>
              <w:ind w:left="100" w:right="100"/>
            </w:pPr>
            <w:r>
              <w:rPr>
                <w:rFonts w:ascii="Arial" w:eastAsia="Arial" w:hAnsi="Arial" w:cs="Arial"/>
                <w:color w:val="111111"/>
                <w:sz w:val="22"/>
                <w:szCs w:val="22"/>
              </w:rPr>
              <w:t>Na 145; Ca 2</w:t>
            </w:r>
          </w:p>
        </w:tc>
        <w:tc>
          <w:tcPr>
            <w:tcW w:w="0" w:type="auto"/>
            <w:shd w:val="clear" w:color="auto" w:fill="FFFFFF"/>
            <w:tcMar>
              <w:top w:w="0" w:type="dxa"/>
              <w:left w:w="0" w:type="dxa"/>
              <w:bottom w:w="0" w:type="dxa"/>
              <w:right w:w="0" w:type="dxa"/>
            </w:tcMar>
            <w:vAlign w:val="center"/>
          </w:tcPr>
          <w:p w14:paraId="6599CE80" w14:textId="77777777" w:rsidR="005B5948" w:rsidRDefault="005B5948" w:rsidP="00037E28">
            <w:pPr>
              <w:spacing w:before="40" w:after="40"/>
              <w:ind w:left="100" w:right="100"/>
              <w:jc w:val="right"/>
            </w:pPr>
            <w:r>
              <w:rPr>
                <w:rFonts w:ascii="Arial" w:eastAsia="Arial" w:hAnsi="Arial" w:cs="Arial"/>
                <w:color w:val="111111"/>
                <w:sz w:val="22"/>
                <w:szCs w:val="22"/>
              </w:rPr>
              <w:t>2.371</w:t>
            </w:r>
          </w:p>
        </w:tc>
        <w:tc>
          <w:tcPr>
            <w:tcW w:w="0" w:type="auto"/>
            <w:shd w:val="clear" w:color="auto" w:fill="FFFFFF"/>
            <w:tcMar>
              <w:top w:w="0" w:type="dxa"/>
              <w:left w:w="0" w:type="dxa"/>
              <w:bottom w:w="0" w:type="dxa"/>
              <w:right w:w="0" w:type="dxa"/>
            </w:tcMar>
            <w:vAlign w:val="center"/>
          </w:tcPr>
          <w:p w14:paraId="5893FCC2" w14:textId="77777777" w:rsidR="005B5948" w:rsidRDefault="005B5948" w:rsidP="00037E28">
            <w:pPr>
              <w:spacing w:before="40" w:after="40"/>
              <w:ind w:left="100" w:right="100"/>
              <w:jc w:val="right"/>
            </w:pPr>
            <w:r>
              <w:rPr>
                <w:rFonts w:ascii="Arial" w:eastAsia="Arial" w:hAnsi="Arial" w:cs="Arial"/>
                <w:color w:val="111111"/>
                <w:sz w:val="22"/>
                <w:szCs w:val="22"/>
              </w:rPr>
              <w:t>6.237</w:t>
            </w:r>
          </w:p>
        </w:tc>
        <w:tc>
          <w:tcPr>
            <w:tcW w:w="0" w:type="auto"/>
            <w:shd w:val="clear" w:color="auto" w:fill="FFFFFF"/>
            <w:tcMar>
              <w:top w:w="0" w:type="dxa"/>
              <w:left w:w="0" w:type="dxa"/>
              <w:bottom w:w="0" w:type="dxa"/>
              <w:right w:w="0" w:type="dxa"/>
            </w:tcMar>
            <w:vAlign w:val="center"/>
          </w:tcPr>
          <w:p w14:paraId="40548CC5" w14:textId="77777777" w:rsidR="005B5948" w:rsidRDefault="005B5948" w:rsidP="00037E28">
            <w:pPr>
              <w:spacing w:before="40" w:after="40"/>
              <w:ind w:left="100" w:right="100"/>
              <w:jc w:val="right"/>
            </w:pPr>
            <w:r>
              <w:rPr>
                <w:rFonts w:ascii="Arial" w:eastAsia="Arial" w:hAnsi="Arial" w:cs="Arial"/>
                <w:color w:val="111111"/>
                <w:sz w:val="22"/>
                <w:szCs w:val="22"/>
              </w:rPr>
              <w:t>-0.479</w:t>
            </w:r>
          </w:p>
        </w:tc>
        <w:tc>
          <w:tcPr>
            <w:tcW w:w="0" w:type="auto"/>
            <w:shd w:val="clear" w:color="auto" w:fill="FFFFFF"/>
            <w:tcMar>
              <w:top w:w="0" w:type="dxa"/>
              <w:left w:w="0" w:type="dxa"/>
              <w:bottom w:w="0" w:type="dxa"/>
              <w:right w:w="0" w:type="dxa"/>
            </w:tcMar>
            <w:vAlign w:val="center"/>
          </w:tcPr>
          <w:p w14:paraId="06A949CC" w14:textId="77777777" w:rsidR="005B5948" w:rsidRDefault="005B5948" w:rsidP="00037E28">
            <w:pPr>
              <w:spacing w:before="40" w:after="40"/>
              <w:ind w:left="100" w:right="100"/>
              <w:jc w:val="right"/>
            </w:pPr>
            <w:r>
              <w:rPr>
                <w:rFonts w:ascii="Arial" w:eastAsia="Arial" w:hAnsi="Arial" w:cs="Arial"/>
                <w:color w:val="111111"/>
                <w:sz w:val="22"/>
                <w:szCs w:val="22"/>
              </w:rPr>
              <w:t>6.513</w:t>
            </w:r>
          </w:p>
        </w:tc>
        <w:tc>
          <w:tcPr>
            <w:tcW w:w="0" w:type="auto"/>
            <w:shd w:val="clear" w:color="auto" w:fill="FFFFFF"/>
            <w:tcMar>
              <w:top w:w="0" w:type="dxa"/>
              <w:left w:w="0" w:type="dxa"/>
              <w:bottom w:w="0" w:type="dxa"/>
              <w:right w:w="0" w:type="dxa"/>
            </w:tcMar>
            <w:vAlign w:val="center"/>
          </w:tcPr>
          <w:p w14:paraId="2780BDA0" w14:textId="77777777" w:rsidR="005B5948" w:rsidRDefault="005B5948" w:rsidP="00037E28">
            <w:pPr>
              <w:spacing w:before="40" w:after="40"/>
              <w:ind w:left="100" w:right="100"/>
              <w:jc w:val="right"/>
            </w:pPr>
            <w:r>
              <w:rPr>
                <w:rFonts w:ascii="Arial" w:eastAsia="Arial" w:hAnsi="Arial" w:cs="Arial"/>
                <w:color w:val="111111"/>
                <w:sz w:val="22"/>
                <w:szCs w:val="22"/>
              </w:rPr>
              <w:t>0.958</w:t>
            </w:r>
          </w:p>
        </w:tc>
      </w:tr>
      <w:tr w:rsidR="005B5948" w14:paraId="010D9261" w14:textId="77777777" w:rsidTr="00037E28">
        <w:trPr>
          <w:cantSplit/>
          <w:jc w:val="center"/>
        </w:trPr>
        <w:tc>
          <w:tcPr>
            <w:tcW w:w="0" w:type="auto"/>
            <w:shd w:val="clear" w:color="auto" w:fill="FFFFFF"/>
            <w:tcMar>
              <w:top w:w="0" w:type="dxa"/>
              <w:left w:w="0" w:type="dxa"/>
              <w:bottom w:w="0" w:type="dxa"/>
              <w:right w:w="0" w:type="dxa"/>
            </w:tcMar>
            <w:vAlign w:val="center"/>
          </w:tcPr>
          <w:p w14:paraId="7DD8CB8F" w14:textId="77777777" w:rsidR="005B5948" w:rsidRDefault="005B5948" w:rsidP="00037E28">
            <w:pPr>
              <w:spacing w:before="40" w:after="40"/>
              <w:ind w:left="100" w:right="100"/>
            </w:pPr>
            <w:r>
              <w:rPr>
                <w:rFonts w:ascii="Arial" w:eastAsia="Arial" w:hAnsi="Arial" w:cs="Arial"/>
                <w:color w:val="111111"/>
                <w:sz w:val="22"/>
                <w:szCs w:val="22"/>
              </w:rPr>
              <w:t>Na 155; Ca 1.25</w:t>
            </w:r>
          </w:p>
        </w:tc>
        <w:tc>
          <w:tcPr>
            <w:tcW w:w="0" w:type="auto"/>
            <w:shd w:val="clear" w:color="auto" w:fill="FFFFFF"/>
            <w:tcMar>
              <w:top w:w="0" w:type="dxa"/>
              <w:left w:w="0" w:type="dxa"/>
              <w:bottom w:w="0" w:type="dxa"/>
              <w:right w:w="0" w:type="dxa"/>
            </w:tcMar>
            <w:vAlign w:val="center"/>
          </w:tcPr>
          <w:p w14:paraId="01062D75" w14:textId="77777777" w:rsidR="005B5948" w:rsidRDefault="005B5948" w:rsidP="00037E28">
            <w:pPr>
              <w:spacing w:before="40" w:after="40"/>
              <w:ind w:left="100" w:right="100"/>
              <w:jc w:val="right"/>
            </w:pPr>
            <w:r>
              <w:rPr>
                <w:rFonts w:ascii="Arial" w:eastAsia="Arial" w:hAnsi="Arial" w:cs="Arial"/>
                <w:color w:val="111111"/>
                <w:sz w:val="22"/>
                <w:szCs w:val="22"/>
              </w:rPr>
              <w:t>6.069</w:t>
            </w:r>
          </w:p>
        </w:tc>
        <w:tc>
          <w:tcPr>
            <w:tcW w:w="0" w:type="auto"/>
            <w:shd w:val="clear" w:color="auto" w:fill="FFFFFF"/>
            <w:tcMar>
              <w:top w:w="0" w:type="dxa"/>
              <w:left w:w="0" w:type="dxa"/>
              <w:bottom w:w="0" w:type="dxa"/>
              <w:right w:w="0" w:type="dxa"/>
            </w:tcMar>
            <w:vAlign w:val="center"/>
          </w:tcPr>
          <w:p w14:paraId="650A8265" w14:textId="77777777" w:rsidR="005B5948" w:rsidRDefault="005B5948" w:rsidP="00037E28">
            <w:pPr>
              <w:spacing w:before="40" w:after="40"/>
              <w:ind w:left="100" w:right="100"/>
              <w:jc w:val="right"/>
            </w:pPr>
            <w:r>
              <w:rPr>
                <w:rFonts w:ascii="Arial" w:eastAsia="Arial" w:hAnsi="Arial" w:cs="Arial"/>
                <w:color w:val="111111"/>
                <w:sz w:val="22"/>
                <w:szCs w:val="22"/>
              </w:rPr>
              <w:t>5.332</w:t>
            </w:r>
          </w:p>
        </w:tc>
        <w:tc>
          <w:tcPr>
            <w:tcW w:w="0" w:type="auto"/>
            <w:shd w:val="clear" w:color="auto" w:fill="FFFFFF"/>
            <w:tcMar>
              <w:top w:w="0" w:type="dxa"/>
              <w:left w:w="0" w:type="dxa"/>
              <w:bottom w:w="0" w:type="dxa"/>
              <w:right w:w="0" w:type="dxa"/>
            </w:tcMar>
            <w:vAlign w:val="center"/>
          </w:tcPr>
          <w:p w14:paraId="5F3952EE" w14:textId="77777777" w:rsidR="005B5948" w:rsidRDefault="005B5948" w:rsidP="00037E28">
            <w:pPr>
              <w:spacing w:before="40" w:after="40"/>
              <w:ind w:left="100" w:right="100"/>
              <w:jc w:val="right"/>
            </w:pPr>
            <w:r>
              <w:rPr>
                <w:rFonts w:ascii="Arial" w:eastAsia="Arial" w:hAnsi="Arial" w:cs="Arial"/>
                <w:color w:val="111111"/>
                <w:sz w:val="22"/>
                <w:szCs w:val="22"/>
              </w:rPr>
              <w:t>-0.403</w:t>
            </w:r>
          </w:p>
        </w:tc>
        <w:tc>
          <w:tcPr>
            <w:tcW w:w="0" w:type="auto"/>
            <w:shd w:val="clear" w:color="auto" w:fill="FFFFFF"/>
            <w:tcMar>
              <w:top w:w="0" w:type="dxa"/>
              <w:left w:w="0" w:type="dxa"/>
              <w:bottom w:w="0" w:type="dxa"/>
              <w:right w:w="0" w:type="dxa"/>
            </w:tcMar>
            <w:vAlign w:val="center"/>
          </w:tcPr>
          <w:p w14:paraId="352F4B87" w14:textId="77777777" w:rsidR="005B5948" w:rsidRDefault="005B5948" w:rsidP="00037E28">
            <w:pPr>
              <w:spacing w:before="40" w:after="40"/>
              <w:ind w:left="100" w:right="100"/>
              <w:jc w:val="right"/>
            </w:pPr>
            <w:r>
              <w:rPr>
                <w:rFonts w:ascii="Arial" w:eastAsia="Arial" w:hAnsi="Arial" w:cs="Arial"/>
                <w:color w:val="111111"/>
                <w:sz w:val="22"/>
                <w:szCs w:val="22"/>
              </w:rPr>
              <w:t>6.609</w:t>
            </w:r>
          </w:p>
        </w:tc>
        <w:tc>
          <w:tcPr>
            <w:tcW w:w="0" w:type="auto"/>
            <w:shd w:val="clear" w:color="auto" w:fill="FFFFFF"/>
            <w:tcMar>
              <w:top w:w="0" w:type="dxa"/>
              <w:left w:w="0" w:type="dxa"/>
              <w:bottom w:w="0" w:type="dxa"/>
              <w:right w:w="0" w:type="dxa"/>
            </w:tcMar>
            <w:vAlign w:val="center"/>
          </w:tcPr>
          <w:p w14:paraId="7271566D" w14:textId="77777777" w:rsidR="005B5948" w:rsidRDefault="005B5948" w:rsidP="00037E28">
            <w:pPr>
              <w:spacing w:before="40" w:after="40"/>
              <w:ind w:left="100" w:right="100"/>
              <w:jc w:val="right"/>
            </w:pPr>
            <w:r>
              <w:rPr>
                <w:rFonts w:ascii="Arial" w:eastAsia="Arial" w:hAnsi="Arial" w:cs="Arial"/>
                <w:color w:val="111111"/>
                <w:sz w:val="22"/>
                <w:szCs w:val="22"/>
              </w:rPr>
              <w:t>0.807</w:t>
            </w:r>
          </w:p>
        </w:tc>
      </w:tr>
      <w:tr w:rsidR="005B5948" w14:paraId="1092D7AE" w14:textId="77777777" w:rsidTr="00037E28">
        <w:trPr>
          <w:cantSplit/>
          <w:jc w:val="center"/>
        </w:trPr>
        <w:tc>
          <w:tcPr>
            <w:tcW w:w="0" w:type="auto"/>
            <w:tcBorders>
              <w:bottom w:val="single" w:sz="16" w:space="0" w:color="000000"/>
            </w:tcBorders>
            <w:shd w:val="clear" w:color="auto" w:fill="FFFFFF"/>
            <w:tcMar>
              <w:top w:w="0" w:type="dxa"/>
              <w:left w:w="0" w:type="dxa"/>
              <w:bottom w:w="0" w:type="dxa"/>
              <w:right w:w="0" w:type="dxa"/>
            </w:tcMar>
            <w:vAlign w:val="center"/>
          </w:tcPr>
          <w:p w14:paraId="00B5539B" w14:textId="77777777" w:rsidR="005B5948" w:rsidRDefault="005B5948" w:rsidP="00037E28">
            <w:pPr>
              <w:spacing w:before="40" w:after="40"/>
              <w:ind w:left="100" w:right="100"/>
            </w:pPr>
            <w:r>
              <w:rPr>
                <w:rFonts w:ascii="Arial" w:eastAsia="Arial" w:hAnsi="Arial" w:cs="Arial"/>
                <w:color w:val="111111"/>
                <w:sz w:val="22"/>
                <w:szCs w:val="22"/>
              </w:rPr>
              <w:t>Na 155; Ca 2</w:t>
            </w:r>
          </w:p>
        </w:tc>
        <w:tc>
          <w:tcPr>
            <w:tcW w:w="0" w:type="auto"/>
            <w:tcBorders>
              <w:bottom w:val="single" w:sz="16" w:space="0" w:color="000000"/>
            </w:tcBorders>
            <w:shd w:val="clear" w:color="auto" w:fill="FFFFFF"/>
            <w:tcMar>
              <w:top w:w="0" w:type="dxa"/>
              <w:left w:w="0" w:type="dxa"/>
              <w:bottom w:w="0" w:type="dxa"/>
              <w:right w:w="0" w:type="dxa"/>
            </w:tcMar>
            <w:vAlign w:val="center"/>
          </w:tcPr>
          <w:p w14:paraId="475515E9" w14:textId="77777777" w:rsidR="005B5948" w:rsidRDefault="005B5948" w:rsidP="00037E28">
            <w:pPr>
              <w:spacing w:before="40" w:after="40"/>
              <w:ind w:left="100" w:right="100"/>
              <w:jc w:val="right"/>
            </w:pPr>
            <w:r>
              <w:rPr>
                <w:rFonts w:ascii="Arial" w:eastAsia="Arial" w:hAnsi="Arial" w:cs="Arial"/>
                <w:color w:val="111111"/>
                <w:sz w:val="22"/>
                <w:szCs w:val="22"/>
              </w:rPr>
              <w:t>6.791</w:t>
            </w:r>
          </w:p>
        </w:tc>
        <w:tc>
          <w:tcPr>
            <w:tcW w:w="0" w:type="auto"/>
            <w:tcBorders>
              <w:bottom w:val="single" w:sz="16" w:space="0" w:color="000000"/>
            </w:tcBorders>
            <w:shd w:val="clear" w:color="auto" w:fill="FFFFFF"/>
            <w:tcMar>
              <w:top w:w="0" w:type="dxa"/>
              <w:left w:w="0" w:type="dxa"/>
              <w:bottom w:w="0" w:type="dxa"/>
              <w:right w:w="0" w:type="dxa"/>
            </w:tcMar>
            <w:vAlign w:val="center"/>
          </w:tcPr>
          <w:p w14:paraId="26365E41" w14:textId="77777777" w:rsidR="005B5948" w:rsidRDefault="005B5948" w:rsidP="00037E28">
            <w:pPr>
              <w:spacing w:before="40" w:after="40"/>
              <w:ind w:left="100" w:right="100"/>
              <w:jc w:val="right"/>
            </w:pPr>
            <w:r>
              <w:rPr>
                <w:rFonts w:ascii="Arial" w:eastAsia="Arial" w:hAnsi="Arial" w:cs="Arial"/>
                <w:color w:val="111111"/>
                <w:sz w:val="22"/>
                <w:szCs w:val="22"/>
              </w:rPr>
              <w:t>5.073</w:t>
            </w:r>
          </w:p>
        </w:tc>
        <w:tc>
          <w:tcPr>
            <w:tcW w:w="0" w:type="auto"/>
            <w:tcBorders>
              <w:bottom w:val="single" w:sz="16" w:space="0" w:color="000000"/>
            </w:tcBorders>
            <w:shd w:val="clear" w:color="auto" w:fill="FFFFFF"/>
            <w:tcMar>
              <w:top w:w="0" w:type="dxa"/>
              <w:left w:w="0" w:type="dxa"/>
              <w:bottom w:w="0" w:type="dxa"/>
              <w:right w:w="0" w:type="dxa"/>
            </w:tcMar>
            <w:vAlign w:val="center"/>
          </w:tcPr>
          <w:p w14:paraId="0ECA9D3D" w14:textId="77777777" w:rsidR="005B5948" w:rsidRDefault="005B5948" w:rsidP="00037E28">
            <w:pPr>
              <w:spacing w:before="40" w:after="40"/>
              <w:ind w:left="100" w:right="100"/>
              <w:jc w:val="right"/>
            </w:pPr>
            <w:r>
              <w:rPr>
                <w:rFonts w:ascii="Arial" w:eastAsia="Arial" w:hAnsi="Arial" w:cs="Arial"/>
                <w:color w:val="111111"/>
                <w:sz w:val="22"/>
                <w:szCs w:val="22"/>
              </w:rPr>
              <w:t>-0.369</w:t>
            </w:r>
          </w:p>
        </w:tc>
        <w:tc>
          <w:tcPr>
            <w:tcW w:w="0" w:type="auto"/>
            <w:tcBorders>
              <w:bottom w:val="single" w:sz="16" w:space="0" w:color="000000"/>
            </w:tcBorders>
            <w:shd w:val="clear" w:color="auto" w:fill="FFFFFF"/>
            <w:tcMar>
              <w:top w:w="0" w:type="dxa"/>
              <w:left w:w="0" w:type="dxa"/>
              <w:bottom w:w="0" w:type="dxa"/>
              <w:right w:w="0" w:type="dxa"/>
            </w:tcMar>
            <w:vAlign w:val="center"/>
          </w:tcPr>
          <w:p w14:paraId="0DFED46D" w14:textId="77777777" w:rsidR="005B5948" w:rsidRDefault="005B5948" w:rsidP="00037E28">
            <w:pPr>
              <w:spacing w:before="40" w:after="40"/>
              <w:ind w:left="100" w:right="100"/>
              <w:jc w:val="right"/>
            </w:pPr>
            <w:r>
              <w:rPr>
                <w:rFonts w:ascii="Arial" w:eastAsia="Arial" w:hAnsi="Arial" w:cs="Arial"/>
                <w:color w:val="111111"/>
                <w:sz w:val="22"/>
                <w:szCs w:val="22"/>
              </w:rPr>
              <w:t>6.866</w:t>
            </w:r>
          </w:p>
        </w:tc>
        <w:tc>
          <w:tcPr>
            <w:tcW w:w="0" w:type="auto"/>
            <w:tcBorders>
              <w:bottom w:val="single" w:sz="16" w:space="0" w:color="000000"/>
            </w:tcBorders>
            <w:shd w:val="clear" w:color="auto" w:fill="FFFFFF"/>
            <w:tcMar>
              <w:top w:w="0" w:type="dxa"/>
              <w:left w:w="0" w:type="dxa"/>
              <w:bottom w:w="0" w:type="dxa"/>
              <w:right w:w="0" w:type="dxa"/>
            </w:tcMar>
            <w:vAlign w:val="center"/>
          </w:tcPr>
          <w:p w14:paraId="042813F9" w14:textId="77777777" w:rsidR="005B5948" w:rsidRDefault="005B5948" w:rsidP="00037E28">
            <w:pPr>
              <w:spacing w:before="40" w:after="40"/>
              <w:ind w:left="100" w:right="100"/>
              <w:jc w:val="right"/>
            </w:pPr>
            <w:r>
              <w:rPr>
                <w:rFonts w:ascii="Arial" w:eastAsia="Arial" w:hAnsi="Arial" w:cs="Arial"/>
                <w:color w:val="111111"/>
                <w:sz w:val="22"/>
                <w:szCs w:val="22"/>
              </w:rPr>
              <w:t>0.739</w:t>
            </w:r>
          </w:p>
        </w:tc>
      </w:tr>
    </w:tbl>
    <w:p w14:paraId="6C68E5BB" w14:textId="39926EC1" w:rsidR="005B5948" w:rsidRDefault="005B5948" w:rsidP="008F3BD3">
      <w:pPr>
        <w:pStyle w:val="BodyText"/>
        <w:jc w:val="both"/>
      </w:pPr>
      <w:r>
        <w:t xml:space="preserve">Velocity will be higher for large values of </w:t>
      </w:r>
      <w:r w:rsidR="008F3BD3">
        <w:t>K</w:t>
      </w:r>
      <w:r w:rsidR="008F3BD3">
        <w:rPr>
          <w:vertAlign w:val="superscript"/>
        </w:rPr>
        <w:t>+</w:t>
      </w:r>
      <w:r>
        <w:t xml:space="preserve"> either when the apex is large, the curvature is low, or both. In both tables, the apex is smallest and the curvature largest when </w:t>
      </w:r>
      <w:r w:rsidR="008F3BD3">
        <w:t>Na</w:t>
      </w:r>
      <w:r w:rsidR="008F3BD3">
        <w:rPr>
          <w:vertAlign w:val="superscript"/>
        </w:rPr>
        <w:t>+</w:t>
      </w:r>
      <w:r>
        <w:t xml:space="preserve"> and </w:t>
      </w:r>
      <w:r w:rsidR="008F3BD3">
        <w:t>Ca</w:t>
      </w:r>
      <w:r w:rsidR="008F3BD3" w:rsidRPr="008F3BD3">
        <w:rPr>
          <w:vertAlign w:val="superscript"/>
        </w:rPr>
        <w:t>2+</w:t>
      </w:r>
      <w:r w:rsidR="008F3BD3">
        <w:rPr>
          <w:vertAlign w:val="superscript"/>
        </w:rPr>
        <w:t xml:space="preserve"> </w:t>
      </w:r>
      <w:r>
        <w:t>are in low concentrations, while the apex is largest and the curvature is smallest when both ions are in high concentrations. This is consistent with the findings above which showed, at least for CV</w:t>
      </w:r>
      <w:r w:rsidRPr="008F3BD3">
        <w:rPr>
          <w:vertAlign w:val="subscript"/>
        </w:rPr>
        <w:t>T</w:t>
      </w:r>
      <w:r>
        <w:t xml:space="preserve">, that large </w:t>
      </w:r>
      <w:r w:rsidR="008F3BD3">
        <w:t>Na</w:t>
      </w:r>
      <w:r w:rsidR="008F3BD3" w:rsidRPr="008F3BD3">
        <w:rPr>
          <w:vertAlign w:val="superscript"/>
        </w:rPr>
        <w:t>+</w:t>
      </w:r>
      <w:r w:rsidR="008F3BD3">
        <w:t xml:space="preserve"> </w:t>
      </w:r>
      <w:r>
        <w:t xml:space="preserve">and </w:t>
      </w:r>
      <w:r w:rsidR="008F3BD3">
        <w:t>Ca</w:t>
      </w:r>
      <w:r w:rsidR="008F3BD3" w:rsidRPr="008F3BD3">
        <w:rPr>
          <w:vertAlign w:val="superscript"/>
        </w:rPr>
        <w:t>2+</w:t>
      </w:r>
      <w:r w:rsidR="008F3BD3">
        <w:t xml:space="preserve"> </w:t>
      </w:r>
      <w:r>
        <w:t xml:space="preserve">concentrations tend to result in higher velocities when the </w:t>
      </w:r>
      <w:r w:rsidR="008F3BD3">
        <w:t>K</w:t>
      </w:r>
      <w:r w:rsidR="008F3BD3">
        <w:rPr>
          <w:vertAlign w:val="superscript"/>
        </w:rPr>
        <w:t>+</w:t>
      </w:r>
      <w:r>
        <w:t xml:space="preserve"> concentrations were high.</w:t>
      </w:r>
    </w:p>
    <w:p w14:paraId="416C15B5" w14:textId="28185AE2" w:rsidR="005B5948" w:rsidRDefault="005B5948" w:rsidP="003A60B6">
      <w:pPr>
        <w:spacing w:line="276" w:lineRule="auto"/>
        <w:jc w:val="both"/>
      </w:pPr>
    </w:p>
    <w:p w14:paraId="09C445DE" w14:textId="5D777E11" w:rsidR="00585135" w:rsidRPr="00585135" w:rsidRDefault="00585135" w:rsidP="00585135">
      <w:pPr>
        <w:spacing w:line="276" w:lineRule="auto"/>
        <w:jc w:val="both"/>
        <w:rPr>
          <w:b/>
          <w:bCs/>
        </w:rPr>
      </w:pPr>
      <w:r>
        <w:rPr>
          <w:b/>
          <w:bCs/>
        </w:rPr>
        <w:t>Simulations of the CV-K</w:t>
      </w:r>
      <w:r>
        <w:rPr>
          <w:b/>
          <w:bCs/>
          <w:vertAlign w:val="superscript"/>
        </w:rPr>
        <w:t>+</w:t>
      </w:r>
      <w:r>
        <w:rPr>
          <w:b/>
          <w:bCs/>
        </w:rPr>
        <w:t xml:space="preserve"> relationship under conditions of very low Gap Junction Coupling (GJC)</w:t>
      </w:r>
    </w:p>
    <w:p w14:paraId="49635868" w14:textId="7E96B1C7" w:rsidR="00585135" w:rsidRDefault="00585135" w:rsidP="00585135">
      <w:pPr>
        <w:spacing w:line="276" w:lineRule="auto"/>
        <w:jc w:val="both"/>
      </w:pPr>
      <w:r>
        <w:t>In contrast to Figure 6 in the main document, the CV-K</w:t>
      </w:r>
      <w:r>
        <w:rPr>
          <w:vertAlign w:val="superscript"/>
        </w:rPr>
        <w:t>+</w:t>
      </w:r>
      <w:r>
        <w:t xml:space="preserve"> relationship is plotted for 98% reduced GJC (0.02xGJC). Under these model conditions. Widening perinexal width</w:t>
      </w:r>
      <w:r w:rsidR="002C7626">
        <w:t xml:space="preserve"> (W</w:t>
      </w:r>
      <w:r w:rsidR="002C7626">
        <w:rPr>
          <w:vertAlign w:val="subscript"/>
        </w:rPr>
        <w:t>P</w:t>
      </w:r>
      <w:r w:rsidR="002C7626">
        <w:t>)</w:t>
      </w:r>
      <w:r>
        <w:t xml:space="preserve"> now decreases CV in contrast to Figure 6. At the same time, </w:t>
      </w:r>
      <w:r w:rsidR="009F7CC6">
        <w:t>expanding W</w:t>
      </w:r>
      <w:r w:rsidR="009F7CC6">
        <w:rPr>
          <w:vertAlign w:val="subscript"/>
        </w:rPr>
        <w:t>P</w:t>
      </w:r>
      <w:r w:rsidR="009F7CC6">
        <w:t xml:space="preserve"> reduces the positive slope of the CV-K</w:t>
      </w:r>
      <w:r w:rsidR="009F7CC6">
        <w:rPr>
          <w:vertAlign w:val="superscript"/>
        </w:rPr>
        <w:t>+</w:t>
      </w:r>
      <w:r w:rsidR="009F7CC6">
        <w:t xml:space="preserve"> relationship for K</w:t>
      </w:r>
      <w:r w:rsidR="009F7CC6">
        <w:rPr>
          <w:vertAlign w:val="superscript"/>
        </w:rPr>
        <w:t>+</w:t>
      </w:r>
      <w:r w:rsidR="009F7CC6">
        <w:t xml:space="preserve"> between 4.56 and 7mM and reduces the negative slope of the CV-</w:t>
      </w:r>
      <w:r w:rsidR="009F7CC6" w:rsidRPr="009F7CC6">
        <w:t>K</w:t>
      </w:r>
      <w:r w:rsidR="009F7CC6">
        <w:rPr>
          <w:vertAlign w:val="superscript"/>
        </w:rPr>
        <w:t>+</w:t>
      </w:r>
      <w:r w:rsidR="009F7CC6">
        <w:t xml:space="preserve"> relationship for K</w:t>
      </w:r>
      <w:r w:rsidR="009F7CC6">
        <w:rPr>
          <w:vertAlign w:val="superscript"/>
        </w:rPr>
        <w:t>+</w:t>
      </w:r>
      <w:r w:rsidR="009F7CC6">
        <w:t xml:space="preserve"> between 9 and 10mM. Considered together with Figure 6 in the manuscript, the model suggests that slowing CV by modulating W</w:t>
      </w:r>
      <w:r w:rsidR="009F7CC6">
        <w:rPr>
          <w:vertAlign w:val="subscript"/>
        </w:rPr>
        <w:t>P</w:t>
      </w:r>
      <w:r w:rsidR="009F7CC6">
        <w:t xml:space="preserve"> regardless of GJC, will reduce CV sensitivity to K</w:t>
      </w:r>
      <w:r w:rsidR="009F7CC6">
        <w:rPr>
          <w:vertAlign w:val="superscript"/>
        </w:rPr>
        <w:t>+</w:t>
      </w:r>
      <w:r w:rsidR="009F7CC6">
        <w:t xml:space="preserve">.  </w:t>
      </w:r>
    </w:p>
    <w:p w14:paraId="656A3E2B" w14:textId="32FC4259" w:rsidR="009F7CC6" w:rsidRDefault="005B4F6B" w:rsidP="00585135">
      <w:pPr>
        <w:spacing w:line="276" w:lineRule="auto"/>
        <w:jc w:val="both"/>
        <w:rPr>
          <w:b/>
        </w:rPr>
      </w:pPr>
      <w:r>
        <w:rPr>
          <w:b/>
          <w:noProof/>
        </w:rPr>
        <w:lastRenderedPageBreak/>
        <w:pict w14:anchorId="128A0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5pt;height:348pt;mso-width-percent:0;mso-height-percent:0;mso-width-percent:0;mso-height-percent:0">
            <v:imagedata r:id="rId6" o:title="Supplemental-Figure-3"/>
          </v:shape>
        </w:pict>
      </w:r>
    </w:p>
    <w:p w14:paraId="177621AA" w14:textId="5CDDBA33" w:rsidR="009F7CC6" w:rsidRPr="006D026B" w:rsidRDefault="009F7CC6" w:rsidP="00585135">
      <w:pPr>
        <w:spacing w:line="276" w:lineRule="auto"/>
        <w:jc w:val="both"/>
        <w:rPr>
          <w:b/>
        </w:rPr>
      </w:pPr>
      <w:r w:rsidRPr="00353136">
        <w:rPr>
          <w:b/>
        </w:rPr>
        <w:t xml:space="preserve">Supplemental Figure </w:t>
      </w:r>
      <w:r>
        <w:rPr>
          <w:b/>
        </w:rPr>
        <w:t>3</w:t>
      </w:r>
      <w:r w:rsidRPr="00353136">
        <w:rPr>
          <w:b/>
        </w:rPr>
        <w:t>.</w:t>
      </w:r>
      <w:r>
        <w:t xml:space="preserve"> </w:t>
      </w:r>
      <w:r w:rsidRPr="009F7CC6">
        <w:t>Computational predictions of</w:t>
      </w:r>
      <w:r w:rsidR="00A82343">
        <w:t xml:space="preserve"> modulating perinexal width (W</w:t>
      </w:r>
      <w:r w:rsidR="00A82343">
        <w:rPr>
          <w:vertAlign w:val="subscript"/>
        </w:rPr>
        <w:t>P</w:t>
      </w:r>
      <w:r w:rsidR="00A82343">
        <w:t>), extracellular sodium concentrations (Na</w:t>
      </w:r>
      <w:r w:rsidR="00A82343">
        <w:rPr>
          <w:vertAlign w:val="superscript"/>
        </w:rPr>
        <w:t>+</w:t>
      </w:r>
      <w:r w:rsidR="00A82343">
        <w:t>), gap junctional coupling (GJC), and the fast sodium channel conductance</w:t>
      </w:r>
      <w:r w:rsidRPr="009F7CC6">
        <w:t xml:space="preserve"> </w:t>
      </w:r>
      <w:r w:rsidR="00A82343">
        <w:t xml:space="preserve">(gNa). </w:t>
      </w:r>
      <w:bookmarkStart w:id="0" w:name="_GoBack"/>
      <w:r w:rsidR="00A82343">
        <w:t>During 98% reduced GJC (0.02xGJC), increasing W</w:t>
      </w:r>
      <w:r w:rsidR="00A82343">
        <w:rPr>
          <w:vertAlign w:val="subscript"/>
        </w:rPr>
        <w:t>P</w:t>
      </w:r>
      <w:r w:rsidR="00A82343">
        <w:t xml:space="preserve"> slows CV as a result of reduced ephaptic coupling (EpC). W</w:t>
      </w:r>
      <w:r w:rsidR="00A82343">
        <w:rPr>
          <w:vertAlign w:val="subscript"/>
        </w:rPr>
        <w:t>P</w:t>
      </w:r>
      <w:r w:rsidR="00A82343">
        <w:t xml:space="preserve"> associated with the slowest CV</w:t>
      </w:r>
      <w:r w:rsidR="00A76DF1">
        <w:t xml:space="preserve"> values for all K</w:t>
      </w:r>
      <w:r w:rsidR="00A76DF1">
        <w:rPr>
          <w:vertAlign w:val="superscript"/>
        </w:rPr>
        <w:t>+</w:t>
      </w:r>
      <w:r w:rsidR="00A76DF1">
        <w:t xml:space="preserve"> have the shallowest positive and negative slopes</w:t>
      </w:r>
      <w:r w:rsidR="00ED2FC4">
        <w:t xml:space="preserve"> </w:t>
      </w:r>
      <w:r w:rsidR="00EF0EE3">
        <w:t>consistent with</w:t>
      </w:r>
      <w:r w:rsidR="00ED2FC4">
        <w:t xml:space="preserve"> Figure 6A in the main body of the manuscript</w:t>
      </w:r>
      <w:r w:rsidR="00A76DF1">
        <w:t xml:space="preserve">. </w:t>
      </w:r>
      <w:r w:rsidR="00A82343">
        <w:t xml:space="preserve"> </w:t>
      </w:r>
      <w:bookmarkEnd w:id="0"/>
    </w:p>
    <w:sectPr w:rsidR="009F7CC6" w:rsidRPr="006D0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4F5"/>
    <w:rsid w:val="000665FC"/>
    <w:rsid w:val="00101F35"/>
    <w:rsid w:val="0017212C"/>
    <w:rsid w:val="00173858"/>
    <w:rsid w:val="001939D9"/>
    <w:rsid w:val="00271160"/>
    <w:rsid w:val="002C7626"/>
    <w:rsid w:val="002F1726"/>
    <w:rsid w:val="003564F5"/>
    <w:rsid w:val="00361236"/>
    <w:rsid w:val="00395055"/>
    <w:rsid w:val="003A60B6"/>
    <w:rsid w:val="003B33E0"/>
    <w:rsid w:val="004420BA"/>
    <w:rsid w:val="00447F21"/>
    <w:rsid w:val="00532FA6"/>
    <w:rsid w:val="00585135"/>
    <w:rsid w:val="005B4F6B"/>
    <w:rsid w:val="005B5948"/>
    <w:rsid w:val="005D39CF"/>
    <w:rsid w:val="006741CD"/>
    <w:rsid w:val="00694D9B"/>
    <w:rsid w:val="006D026B"/>
    <w:rsid w:val="006D2E12"/>
    <w:rsid w:val="007E3BC0"/>
    <w:rsid w:val="008F3BD3"/>
    <w:rsid w:val="00953BA1"/>
    <w:rsid w:val="009E3B18"/>
    <w:rsid w:val="009F7CC6"/>
    <w:rsid w:val="00A76DF1"/>
    <w:rsid w:val="00A82343"/>
    <w:rsid w:val="00A97388"/>
    <w:rsid w:val="00B168E1"/>
    <w:rsid w:val="00B23B51"/>
    <w:rsid w:val="00C10D32"/>
    <w:rsid w:val="00D25457"/>
    <w:rsid w:val="00DE30FE"/>
    <w:rsid w:val="00E73AD0"/>
    <w:rsid w:val="00ED2FC4"/>
    <w:rsid w:val="00EF0EE3"/>
    <w:rsid w:val="00F36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766F"/>
  <w15:chartTrackingRefBased/>
  <w15:docId w15:val="{EDC6761F-2144-F142-83F1-4BFF3158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semiHidden/>
    <w:unhideWhenUsed/>
    <w:qFormat/>
    <w:rsid w:val="003564F5"/>
    <w:pPr>
      <w:spacing w:after="200"/>
    </w:pPr>
    <w:tblPr>
      <w:tblInd w:w="0" w:type="dxa"/>
      <w:tblCellMar>
        <w:top w:w="0" w:type="dxa"/>
        <w:left w:w="108" w:type="dxa"/>
        <w:bottom w:w="0" w:type="dxa"/>
        <w:right w:w="108" w:type="dxa"/>
      </w:tblCellMar>
    </w:tblPr>
  </w:style>
  <w:style w:type="paragraph" w:styleId="BodyText">
    <w:name w:val="Body Text"/>
    <w:basedOn w:val="Normal"/>
    <w:link w:val="BodyTextChar"/>
    <w:qFormat/>
    <w:rsid w:val="005B5948"/>
    <w:pPr>
      <w:spacing w:before="180" w:after="180"/>
    </w:pPr>
  </w:style>
  <w:style w:type="character" w:customStyle="1" w:styleId="BodyTextChar">
    <w:name w:val="Body Text Char"/>
    <w:basedOn w:val="DefaultParagraphFont"/>
    <w:link w:val="BodyText"/>
    <w:rsid w:val="005B5948"/>
  </w:style>
  <w:style w:type="character" w:styleId="CommentReference">
    <w:name w:val="annotation reference"/>
    <w:basedOn w:val="DefaultParagraphFont"/>
    <w:uiPriority w:val="99"/>
    <w:semiHidden/>
    <w:unhideWhenUsed/>
    <w:rsid w:val="0017212C"/>
    <w:rPr>
      <w:sz w:val="16"/>
      <w:szCs w:val="16"/>
    </w:rPr>
  </w:style>
  <w:style w:type="paragraph" w:styleId="CommentText">
    <w:name w:val="annotation text"/>
    <w:basedOn w:val="Normal"/>
    <w:link w:val="CommentTextChar"/>
    <w:uiPriority w:val="99"/>
    <w:semiHidden/>
    <w:unhideWhenUsed/>
    <w:rsid w:val="0017212C"/>
    <w:rPr>
      <w:sz w:val="20"/>
      <w:szCs w:val="20"/>
    </w:rPr>
  </w:style>
  <w:style w:type="character" w:customStyle="1" w:styleId="CommentTextChar">
    <w:name w:val="Comment Text Char"/>
    <w:basedOn w:val="DefaultParagraphFont"/>
    <w:link w:val="CommentText"/>
    <w:uiPriority w:val="99"/>
    <w:semiHidden/>
    <w:rsid w:val="0017212C"/>
    <w:rPr>
      <w:sz w:val="20"/>
      <w:szCs w:val="20"/>
    </w:rPr>
  </w:style>
  <w:style w:type="paragraph" w:styleId="CommentSubject">
    <w:name w:val="annotation subject"/>
    <w:basedOn w:val="CommentText"/>
    <w:next w:val="CommentText"/>
    <w:link w:val="CommentSubjectChar"/>
    <w:uiPriority w:val="99"/>
    <w:semiHidden/>
    <w:unhideWhenUsed/>
    <w:rsid w:val="0017212C"/>
    <w:rPr>
      <w:b/>
      <w:bCs/>
    </w:rPr>
  </w:style>
  <w:style w:type="character" w:customStyle="1" w:styleId="CommentSubjectChar">
    <w:name w:val="Comment Subject Char"/>
    <w:basedOn w:val="CommentTextChar"/>
    <w:link w:val="CommentSubject"/>
    <w:uiPriority w:val="99"/>
    <w:semiHidden/>
    <w:rsid w:val="0017212C"/>
    <w:rPr>
      <w:b/>
      <w:bCs/>
      <w:sz w:val="20"/>
      <w:szCs w:val="20"/>
    </w:rPr>
  </w:style>
  <w:style w:type="paragraph" w:styleId="BalloonText">
    <w:name w:val="Balloon Text"/>
    <w:basedOn w:val="Normal"/>
    <w:link w:val="BalloonTextChar"/>
    <w:uiPriority w:val="99"/>
    <w:semiHidden/>
    <w:unhideWhenUsed/>
    <w:rsid w:val="0017212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7212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61820">
      <w:bodyDiv w:val="1"/>
      <w:marLeft w:val="0"/>
      <w:marRight w:val="0"/>
      <w:marTop w:val="0"/>
      <w:marBottom w:val="0"/>
      <w:divBdr>
        <w:top w:val="none" w:sz="0" w:space="0" w:color="auto"/>
        <w:left w:val="none" w:sz="0" w:space="0" w:color="auto"/>
        <w:bottom w:val="none" w:sz="0" w:space="0" w:color="auto"/>
        <w:right w:val="none" w:sz="0" w:space="0" w:color="auto"/>
      </w:divBdr>
    </w:div>
    <w:div w:id="193089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Ryan</dc:creator>
  <cp:keywords/>
  <dc:description/>
  <cp:lastModifiedBy>Steven Poelzing</cp:lastModifiedBy>
  <cp:revision>2</cp:revision>
  <dcterms:created xsi:type="dcterms:W3CDTF">2021-01-28T18:40:00Z</dcterms:created>
  <dcterms:modified xsi:type="dcterms:W3CDTF">2021-01-28T18:40:00Z</dcterms:modified>
</cp:coreProperties>
</file>