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E1D99" w14:textId="77777777" w:rsidR="00421EA8" w:rsidRPr="00421EA8" w:rsidRDefault="00421EA8" w:rsidP="00421EA8">
      <w:pPr>
        <w:pStyle w:val="berschrift2"/>
        <w:rPr>
          <w:rFonts w:eastAsia="Times New Roman"/>
          <w:lang w:val="en-US" w:eastAsia="de-DE"/>
        </w:rPr>
      </w:pPr>
      <w:bookmarkStart w:id="0" w:name="_GoBack"/>
      <w:bookmarkEnd w:id="0"/>
      <w:r w:rsidRPr="00421EA8">
        <w:rPr>
          <w:rFonts w:eastAsia="Times New Roman"/>
          <w:lang w:val="en-US" w:eastAsia="de-DE"/>
        </w:rPr>
        <w:t>Supplementary Information (SI)</w:t>
      </w:r>
    </w:p>
    <w:p w14:paraId="6F924A0D" w14:textId="77777777" w:rsidR="00421EA8" w:rsidRDefault="00421EA8" w:rsidP="00421EA8">
      <w:pPr>
        <w:rPr>
          <w:lang w:val="en-US" w:eastAsia="de-DE"/>
        </w:rPr>
      </w:pPr>
    </w:p>
    <w:p w14:paraId="5A2FCA49" w14:textId="77777777" w:rsidR="00421EA8" w:rsidRDefault="00421EA8" w:rsidP="00421EA8">
      <w:pPr>
        <w:spacing w:after="0"/>
        <w:rPr>
          <w:lang w:val="en-US" w:eastAsia="de-DE"/>
        </w:rPr>
      </w:pPr>
      <w:r w:rsidRPr="00421EA8">
        <w:rPr>
          <w:lang w:val="en-US" w:eastAsia="de-DE"/>
        </w:rPr>
        <w:t xml:space="preserve">For the </w:t>
      </w:r>
      <w:r>
        <w:rPr>
          <w:lang w:val="en-US" w:eastAsia="de-DE"/>
        </w:rPr>
        <w:t xml:space="preserve">article </w:t>
      </w:r>
    </w:p>
    <w:p w14:paraId="76702C35" w14:textId="77777777" w:rsidR="00421EA8" w:rsidRDefault="00421EA8" w:rsidP="00421EA8">
      <w:pPr>
        <w:rPr>
          <w:lang w:val="en-US" w:eastAsia="de-DE"/>
        </w:rPr>
      </w:pPr>
      <w:r>
        <w:rPr>
          <w:lang w:val="en-US" w:eastAsia="de-DE"/>
        </w:rPr>
        <w:t>“</w:t>
      </w:r>
      <w:r w:rsidRPr="00421EA8">
        <w:rPr>
          <w:lang w:val="en-US" w:eastAsia="de-DE"/>
        </w:rPr>
        <w:t>Localization of natriuretic peptide receptors A, B and C in in healthy and diseased mouse kidneys</w:t>
      </w:r>
      <w:r>
        <w:rPr>
          <w:lang w:val="en-US" w:eastAsia="de-DE"/>
        </w:rPr>
        <w:t>”</w:t>
      </w:r>
    </w:p>
    <w:p w14:paraId="485CD75A" w14:textId="77777777" w:rsidR="00421EA8" w:rsidRDefault="00421EA8" w:rsidP="00421EA8">
      <w:pPr>
        <w:spacing w:after="0"/>
        <w:rPr>
          <w:lang w:val="en-US" w:eastAsia="de-DE"/>
        </w:rPr>
      </w:pPr>
      <w:r>
        <w:rPr>
          <w:lang w:val="en-US" w:eastAsia="de-DE"/>
        </w:rPr>
        <w:t>Authors:</w:t>
      </w:r>
    </w:p>
    <w:p w14:paraId="2CBE7954" w14:textId="2CEB882B" w:rsidR="00421EA8" w:rsidRDefault="00421EA8" w:rsidP="00421EA8">
      <w:pPr>
        <w:rPr>
          <w:lang w:val="en-US"/>
        </w:rPr>
      </w:pPr>
      <w:r w:rsidRPr="00421EA8">
        <w:rPr>
          <w:lang w:val="en-US"/>
        </w:rPr>
        <w:t>Elena-Sofia Heinl</w:t>
      </w:r>
      <w:r>
        <w:rPr>
          <w:lang w:val="en-US"/>
        </w:rPr>
        <w:t xml:space="preserve">, </w:t>
      </w:r>
      <w:r w:rsidRPr="00A60B7C">
        <w:rPr>
          <w:lang w:val="en-US"/>
        </w:rPr>
        <w:t>Katharina</w:t>
      </w:r>
      <w:r>
        <w:rPr>
          <w:lang w:val="en-US"/>
        </w:rPr>
        <w:t xml:space="preserve"> Anna-Elisabeth</w:t>
      </w:r>
      <w:r w:rsidRPr="00A60B7C">
        <w:rPr>
          <w:lang w:val="en-US"/>
        </w:rPr>
        <w:t xml:space="preserve"> Broeke</w:t>
      </w:r>
      <w:r>
        <w:rPr>
          <w:lang w:val="en-US"/>
        </w:rPr>
        <w:t>r,</w:t>
      </w:r>
      <w:r w:rsidR="008265B3">
        <w:rPr>
          <w:lang w:val="en-US"/>
        </w:rPr>
        <w:t xml:space="preserve"> </w:t>
      </w:r>
      <w:r w:rsidR="008265B3" w:rsidRPr="008265B3">
        <w:rPr>
          <w:lang w:val="en-US"/>
        </w:rPr>
        <w:t>Claudia Lehrmann</w:t>
      </w:r>
      <w:r w:rsidR="008265B3">
        <w:rPr>
          <w:lang w:val="en-US"/>
        </w:rPr>
        <w:t xml:space="preserve">, </w:t>
      </w:r>
      <w:r w:rsidRPr="00421EA8">
        <w:rPr>
          <w:lang w:val="en-US"/>
        </w:rPr>
        <w:t>Rosmarie Heydn, Katharina Krieger,</w:t>
      </w:r>
      <w:r>
        <w:rPr>
          <w:lang w:val="en-US"/>
        </w:rPr>
        <w:t xml:space="preserve"> </w:t>
      </w:r>
      <w:r w:rsidRPr="00421EA8">
        <w:rPr>
          <w:lang w:val="en-US"/>
        </w:rPr>
        <w:t>Katharina Ortmaier</w:t>
      </w:r>
      <w:r>
        <w:rPr>
          <w:lang w:val="en-US"/>
        </w:rPr>
        <w:t xml:space="preserve">, </w:t>
      </w:r>
      <w:r w:rsidRPr="00421EA8">
        <w:rPr>
          <w:lang w:val="en-US"/>
        </w:rPr>
        <w:t xml:space="preserve">Philipp Tauber </w:t>
      </w:r>
      <w:r>
        <w:rPr>
          <w:lang w:val="en-US"/>
        </w:rPr>
        <w:t xml:space="preserve">and </w:t>
      </w:r>
      <w:r w:rsidRPr="00421EA8">
        <w:rPr>
          <w:lang w:val="en-US"/>
        </w:rPr>
        <w:t>Frank Schweda</w:t>
      </w:r>
    </w:p>
    <w:p w14:paraId="224158FE" w14:textId="77777777" w:rsidR="00421EA8" w:rsidRPr="00DB2C18" w:rsidRDefault="00421EA8" w:rsidP="00421EA8">
      <w:pPr>
        <w:tabs>
          <w:tab w:val="left" w:pos="851"/>
        </w:tabs>
        <w:rPr>
          <w:lang w:val="en-US"/>
        </w:rPr>
      </w:pPr>
      <w:r>
        <w:rPr>
          <w:lang w:val="en-GB"/>
        </w:rPr>
        <w:t>Institute for Physiology</w:t>
      </w:r>
      <w:r w:rsidRPr="003556AC">
        <w:rPr>
          <w:lang w:val="en-GB"/>
        </w:rPr>
        <w:t>, University Regensburg, Germany</w:t>
      </w:r>
    </w:p>
    <w:p w14:paraId="3FFFDB12" w14:textId="77777777" w:rsidR="00421EA8" w:rsidRDefault="00421EA8" w:rsidP="00421EA8">
      <w:pPr>
        <w:rPr>
          <w:lang w:val="en-US"/>
        </w:rPr>
      </w:pPr>
    </w:p>
    <w:p w14:paraId="5584105D" w14:textId="77777777" w:rsidR="00421EA8" w:rsidRDefault="00421EA8" w:rsidP="00421EA8">
      <w:pPr>
        <w:spacing w:after="0"/>
        <w:rPr>
          <w:lang w:val="en-US"/>
        </w:rPr>
      </w:pPr>
      <w:r>
        <w:rPr>
          <w:lang w:val="en-US"/>
        </w:rPr>
        <w:t>Corresponding Authors:</w:t>
      </w:r>
    </w:p>
    <w:p w14:paraId="46749CEC" w14:textId="77777777" w:rsidR="00421EA8" w:rsidRPr="00E86E4C" w:rsidRDefault="00421EA8" w:rsidP="00421EA8">
      <w:pPr>
        <w:spacing w:after="0"/>
        <w:rPr>
          <w:lang w:val="en-US"/>
        </w:rPr>
      </w:pPr>
      <w:r w:rsidRPr="00E86E4C">
        <w:rPr>
          <w:lang w:val="en-US"/>
        </w:rPr>
        <w:t>Elena-Sofia Heinl and Frank Schweda</w:t>
      </w:r>
    </w:p>
    <w:p w14:paraId="02B4DB1C" w14:textId="77777777" w:rsidR="00421EA8" w:rsidRDefault="00421EA8" w:rsidP="00421EA8">
      <w:pPr>
        <w:spacing w:after="0"/>
        <w:rPr>
          <w:lang w:val="en-GB"/>
        </w:rPr>
      </w:pPr>
      <w:r>
        <w:rPr>
          <w:lang w:val="en-GB"/>
        </w:rPr>
        <w:t xml:space="preserve">Institute for Physiology, </w:t>
      </w:r>
      <w:r w:rsidRPr="00C010F8">
        <w:rPr>
          <w:lang w:val="en-GB"/>
        </w:rPr>
        <w:t>University Regensburg</w:t>
      </w:r>
      <w:r>
        <w:rPr>
          <w:lang w:val="en-GB"/>
        </w:rPr>
        <w:t xml:space="preserve">, </w:t>
      </w:r>
      <w:r w:rsidRPr="00C010F8">
        <w:rPr>
          <w:lang w:val="en-GB"/>
        </w:rPr>
        <w:t>Germany</w:t>
      </w:r>
    </w:p>
    <w:p w14:paraId="6F467EAF" w14:textId="77777777" w:rsidR="00421EA8" w:rsidRDefault="00421EA8" w:rsidP="00421EA8">
      <w:pPr>
        <w:spacing w:after="0"/>
        <w:rPr>
          <w:lang w:val="en-US"/>
        </w:rPr>
      </w:pPr>
      <w:r w:rsidRPr="00304DF3">
        <w:rPr>
          <w:lang w:val="en-US"/>
        </w:rPr>
        <w:t xml:space="preserve">Email: </w:t>
      </w:r>
      <w:r w:rsidRPr="00D10DE5">
        <w:rPr>
          <w:lang w:val="en-US"/>
        </w:rPr>
        <w:t>elena.heinl@ur.de</w:t>
      </w:r>
      <w:r>
        <w:rPr>
          <w:lang w:val="en-US"/>
        </w:rPr>
        <w:t xml:space="preserve">; </w:t>
      </w:r>
      <w:r w:rsidRPr="00D95D39">
        <w:rPr>
          <w:lang w:val="en-US"/>
        </w:rPr>
        <w:t>frank.schweda@ukr.de</w:t>
      </w:r>
    </w:p>
    <w:p w14:paraId="7E7704A5" w14:textId="77777777" w:rsidR="00421EA8" w:rsidRPr="00421EA8" w:rsidRDefault="00421EA8" w:rsidP="00421EA8">
      <w:pPr>
        <w:rPr>
          <w:lang w:val="en-US" w:eastAsia="de-DE"/>
        </w:rPr>
      </w:pPr>
    </w:p>
    <w:p w14:paraId="36FA35A3" w14:textId="788DCB45" w:rsidR="00421EA8" w:rsidRDefault="00421EA8" w:rsidP="00421EA8">
      <w:pPr>
        <w:rPr>
          <w:lang w:val="en-US" w:eastAsia="de-DE"/>
        </w:rPr>
      </w:pPr>
      <w:r>
        <w:rPr>
          <w:lang w:val="en-US" w:eastAsia="de-DE"/>
        </w:rPr>
        <w:t xml:space="preserve">Submitted in </w:t>
      </w:r>
      <w:proofErr w:type="spellStart"/>
      <w:r w:rsidRPr="00421EA8">
        <w:rPr>
          <w:lang w:val="en-US" w:eastAsia="de-DE"/>
        </w:rPr>
        <w:t>Pflügers</w:t>
      </w:r>
      <w:proofErr w:type="spellEnd"/>
      <w:r w:rsidRPr="00421EA8">
        <w:rPr>
          <w:lang w:val="en-US" w:eastAsia="de-DE"/>
        </w:rPr>
        <w:t xml:space="preserve"> </w:t>
      </w:r>
      <w:proofErr w:type="spellStart"/>
      <w:r w:rsidRPr="00421EA8">
        <w:rPr>
          <w:lang w:val="en-US" w:eastAsia="de-DE"/>
        </w:rPr>
        <w:t>Archiv</w:t>
      </w:r>
      <w:proofErr w:type="spellEnd"/>
      <w:r w:rsidRPr="00421EA8">
        <w:rPr>
          <w:lang w:val="en-US" w:eastAsia="de-DE"/>
        </w:rPr>
        <w:t xml:space="preserve"> - European Journal of Physiology</w:t>
      </w:r>
    </w:p>
    <w:p w14:paraId="37E88642" w14:textId="72BC0362" w:rsidR="00421EA8" w:rsidRDefault="00D77989" w:rsidP="00421EA8">
      <w:pPr>
        <w:rPr>
          <w:lang w:val="en-US" w:eastAsia="de-DE"/>
        </w:rPr>
      </w:pPr>
      <w:r>
        <w:rPr>
          <w:noProof/>
          <w:lang w:eastAsia="de-DE"/>
        </w:rPr>
        <w:drawing>
          <wp:anchor distT="0" distB="71755" distL="114300" distR="114300" simplePos="0" relativeHeight="251658240" behindDoc="0" locked="1" layoutInCell="1" allowOverlap="1" wp14:anchorId="0F13C0CC" wp14:editId="4B48E99D">
            <wp:simplePos x="0" y="0"/>
            <wp:positionH relativeFrom="margin">
              <wp:align>center</wp:align>
            </wp:positionH>
            <wp:positionV relativeFrom="paragraph">
              <wp:posOffset>183515</wp:posOffset>
            </wp:positionV>
            <wp:extent cx="6264000" cy="3819600"/>
            <wp:effectExtent l="0" t="0" r="3810" b="0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38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355DC" w14:textId="05EB40ED" w:rsidR="00B02359" w:rsidRPr="00B02359" w:rsidRDefault="00B02359" w:rsidP="00B02359">
      <w:pPr>
        <w:pStyle w:val="Beschriftung"/>
        <w:spacing w:after="60"/>
        <w:jc w:val="both"/>
        <w:rPr>
          <w:i w:val="0"/>
          <w:lang w:val="en-US"/>
        </w:rPr>
      </w:pPr>
      <w:r w:rsidRPr="00B02359">
        <w:rPr>
          <w:b/>
          <w:i w:val="0"/>
          <w:lang w:val="en-US"/>
        </w:rPr>
        <w:t xml:space="preserve">Online Resource </w:t>
      </w:r>
      <w:r w:rsidRPr="00B02359">
        <w:rPr>
          <w:b/>
          <w:i w:val="0"/>
        </w:rPr>
        <w:fldChar w:fldCharType="begin"/>
      </w:r>
      <w:r w:rsidRPr="00B02359">
        <w:rPr>
          <w:b/>
          <w:i w:val="0"/>
          <w:lang w:val="en-US"/>
        </w:rPr>
        <w:instrText xml:space="preserve"> SEQ Online_Resource \* ARABIC </w:instrText>
      </w:r>
      <w:r w:rsidRPr="00B02359">
        <w:rPr>
          <w:b/>
          <w:i w:val="0"/>
        </w:rPr>
        <w:fldChar w:fldCharType="separate"/>
      </w:r>
      <w:r w:rsidR="00331113">
        <w:rPr>
          <w:b/>
          <w:i w:val="0"/>
          <w:noProof/>
          <w:lang w:val="en-US"/>
        </w:rPr>
        <w:t>1</w:t>
      </w:r>
      <w:r w:rsidRPr="00B02359">
        <w:rPr>
          <w:b/>
          <w:i w:val="0"/>
        </w:rPr>
        <w:fldChar w:fldCharType="end"/>
      </w:r>
      <w:r w:rsidRPr="00B02359">
        <w:rPr>
          <w:i w:val="0"/>
          <w:lang w:val="en-US"/>
        </w:rPr>
        <w:t xml:space="preserve"> </w:t>
      </w:r>
      <w:r w:rsidRPr="00B02359">
        <w:rPr>
          <w:b/>
          <w:bCs/>
          <w:i w:val="0"/>
          <w:lang w:val="en-US"/>
        </w:rPr>
        <w:t>NPR-A mRNA expression of inflammatory cells in adenine nephropathy</w:t>
      </w:r>
    </w:p>
    <w:p w14:paraId="59B1C87D" w14:textId="549C25A9" w:rsidR="00B02359" w:rsidRDefault="00B02359" w:rsidP="00B02359">
      <w:pPr>
        <w:pStyle w:val="Beschriftung"/>
        <w:jc w:val="both"/>
        <w:rPr>
          <w:i w:val="0"/>
          <w:lang w:val="en-US"/>
        </w:rPr>
      </w:pPr>
      <w:r w:rsidRPr="00B02359">
        <w:rPr>
          <w:i w:val="0"/>
          <w:lang w:val="en-US"/>
        </w:rPr>
        <w:t>NPR-</w:t>
      </w:r>
      <w:proofErr w:type="gramStart"/>
      <w:r w:rsidRPr="00B02359">
        <w:rPr>
          <w:i w:val="0"/>
          <w:lang w:val="en-US"/>
        </w:rPr>
        <w:t>A</w:t>
      </w:r>
      <w:proofErr w:type="gramEnd"/>
      <w:r w:rsidRPr="00B02359">
        <w:rPr>
          <w:i w:val="0"/>
          <w:lang w:val="en-US"/>
        </w:rPr>
        <w:t xml:space="preserve"> mRNA expression (green) in various immune cells (red) infiltrating kidneys in adenine nephropathy. (</w:t>
      </w:r>
      <w:r w:rsidRPr="00B02359">
        <w:rPr>
          <w:b/>
          <w:bCs/>
          <w:i w:val="0"/>
          <w:lang w:val="en-US"/>
        </w:rPr>
        <w:t>a</w:t>
      </w:r>
      <w:r w:rsidRPr="00B02359">
        <w:rPr>
          <w:i w:val="0"/>
          <w:lang w:val="en-US"/>
        </w:rPr>
        <w:t xml:space="preserve">) </w:t>
      </w:r>
      <w:r w:rsidR="00820E4F">
        <w:rPr>
          <w:i w:val="0"/>
          <w:lang w:val="en-US"/>
        </w:rPr>
        <w:t>K</w:t>
      </w:r>
      <w:r w:rsidRPr="00B02359">
        <w:rPr>
          <w:i w:val="0"/>
          <w:lang w:val="en-US"/>
        </w:rPr>
        <w:t>idneys of healthy and adenine</w:t>
      </w:r>
      <w:r w:rsidR="00820E4F">
        <w:rPr>
          <w:i w:val="0"/>
          <w:lang w:val="en-US"/>
        </w:rPr>
        <w:t>-treated</w:t>
      </w:r>
      <w:r w:rsidRPr="00B02359">
        <w:rPr>
          <w:i w:val="0"/>
          <w:lang w:val="en-US"/>
        </w:rPr>
        <w:t xml:space="preserve"> </w:t>
      </w:r>
      <w:r w:rsidR="00820E4F">
        <w:rPr>
          <w:i w:val="0"/>
          <w:lang w:val="en-US"/>
        </w:rPr>
        <w:t>mice</w:t>
      </w:r>
      <w:r w:rsidRPr="00B02359">
        <w:rPr>
          <w:i w:val="0"/>
          <w:lang w:val="en-US"/>
        </w:rPr>
        <w:t>. Adenine-feeding induced massive infiltration of immune cells (red) and fibrosis. Scale bars are 100 µm (</w:t>
      </w:r>
      <w:r w:rsidRPr="00B02359">
        <w:rPr>
          <w:b/>
          <w:bCs/>
          <w:i w:val="0"/>
          <w:lang w:val="en-US"/>
        </w:rPr>
        <w:t>b</w:t>
      </w:r>
      <w:r w:rsidRPr="00B02359">
        <w:rPr>
          <w:i w:val="0"/>
          <w:lang w:val="en-US"/>
        </w:rPr>
        <w:t>) No robust NPR-</w:t>
      </w:r>
      <w:proofErr w:type="gramStart"/>
      <w:r w:rsidRPr="00B02359">
        <w:rPr>
          <w:i w:val="0"/>
          <w:lang w:val="en-US"/>
        </w:rPr>
        <w:t>A</w:t>
      </w:r>
      <w:proofErr w:type="gramEnd"/>
      <w:r w:rsidRPr="00B02359">
        <w:rPr>
          <w:i w:val="0"/>
          <w:lang w:val="en-US"/>
        </w:rPr>
        <w:t xml:space="preserve"> expression </w:t>
      </w:r>
      <w:r w:rsidR="00820E4F">
        <w:rPr>
          <w:i w:val="0"/>
          <w:lang w:val="en-US"/>
        </w:rPr>
        <w:t>in</w:t>
      </w:r>
      <w:r w:rsidRPr="00B02359">
        <w:rPr>
          <w:i w:val="0"/>
          <w:lang w:val="en-US"/>
        </w:rPr>
        <w:t xml:space="preserve"> lymphocytes (CD45), macrophages (F4/80), DCs (Cx3</w:t>
      </w:r>
      <w:r>
        <w:rPr>
          <w:i w:val="0"/>
          <w:lang w:val="en-US"/>
        </w:rPr>
        <w:t>c</w:t>
      </w:r>
      <w:r w:rsidRPr="00B02359">
        <w:rPr>
          <w:i w:val="0"/>
          <w:lang w:val="en-US"/>
        </w:rPr>
        <w:t>r1) and myofibroblasts (</w:t>
      </w:r>
      <w:r w:rsidR="00E86E4C" w:rsidRPr="00E86E4C">
        <w:rPr>
          <w:i w:val="0"/>
          <w:lang w:val="en-US"/>
        </w:rPr>
        <w:t>α</w:t>
      </w:r>
      <w:r w:rsidR="00E86E4C">
        <w:rPr>
          <w:i w:val="0"/>
          <w:lang w:val="en-US"/>
        </w:rPr>
        <w:t>-</w:t>
      </w:r>
      <w:r w:rsidRPr="00B02359">
        <w:rPr>
          <w:i w:val="0"/>
          <w:lang w:val="en-US"/>
        </w:rPr>
        <w:t xml:space="preserve">SMA). </w:t>
      </w:r>
      <w:r w:rsidRPr="00100D85">
        <w:rPr>
          <w:i w:val="0"/>
          <w:lang w:val="en-US"/>
        </w:rPr>
        <w:t xml:space="preserve">Nuclei are </w:t>
      </w:r>
      <w:r>
        <w:rPr>
          <w:i w:val="0"/>
          <w:lang w:val="en-US"/>
        </w:rPr>
        <w:t>counterstained with DAPI (</w:t>
      </w:r>
      <w:r w:rsidRPr="00100D85">
        <w:rPr>
          <w:i w:val="0"/>
          <w:lang w:val="en-US"/>
        </w:rPr>
        <w:t>grey</w:t>
      </w:r>
      <w:r>
        <w:rPr>
          <w:i w:val="0"/>
          <w:lang w:val="en-US"/>
        </w:rPr>
        <w:t>)</w:t>
      </w:r>
      <w:r w:rsidRPr="00B02359">
        <w:rPr>
          <w:i w:val="0"/>
          <w:lang w:val="en-US"/>
        </w:rPr>
        <w:t>. Scale bars are 50 µm.</w:t>
      </w:r>
    </w:p>
    <w:p w14:paraId="4CAB4B97" w14:textId="13293B62" w:rsidR="00E86E4C" w:rsidRDefault="00331113" w:rsidP="00E86E4C">
      <w:pPr>
        <w:rPr>
          <w:lang w:val="en-US"/>
        </w:rPr>
      </w:pPr>
      <w:bookmarkStart w:id="1" w:name="_Hlk114841424"/>
      <w:r>
        <w:rPr>
          <w:noProof/>
          <w:lang w:eastAsia="de-DE"/>
        </w:rPr>
        <w:lastRenderedPageBreak/>
        <w:drawing>
          <wp:anchor distT="0" distB="71755" distL="114300" distR="114300" simplePos="0" relativeHeight="251659264" behindDoc="0" locked="1" layoutInCell="1" allowOverlap="1" wp14:anchorId="65D32CEA" wp14:editId="3A1DA3AE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6264000" cy="5436000"/>
            <wp:effectExtent l="0" t="0" r="3810" b="0"/>
            <wp:wrapTopAndBottom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54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0E097" w14:textId="6EF28502" w:rsidR="000274D0" w:rsidRPr="000274D0" w:rsidRDefault="000274D0" w:rsidP="000274D0">
      <w:pPr>
        <w:pStyle w:val="Beschriftung"/>
        <w:spacing w:after="40"/>
        <w:jc w:val="both"/>
        <w:rPr>
          <w:b/>
          <w:i w:val="0"/>
          <w:lang w:val="en-US"/>
        </w:rPr>
      </w:pPr>
      <w:r w:rsidRPr="000274D0">
        <w:rPr>
          <w:b/>
          <w:i w:val="0"/>
          <w:lang w:val="en-US"/>
        </w:rPr>
        <w:t xml:space="preserve">Online Resource </w:t>
      </w:r>
      <w:r w:rsidRPr="000274D0">
        <w:rPr>
          <w:b/>
          <w:i w:val="0"/>
        </w:rPr>
        <w:fldChar w:fldCharType="begin"/>
      </w:r>
      <w:r w:rsidRPr="000274D0">
        <w:rPr>
          <w:b/>
          <w:i w:val="0"/>
          <w:lang w:val="en-US"/>
        </w:rPr>
        <w:instrText xml:space="preserve"> SEQ Online_Resource \* ARABIC </w:instrText>
      </w:r>
      <w:r w:rsidRPr="000274D0">
        <w:rPr>
          <w:b/>
          <w:i w:val="0"/>
        </w:rPr>
        <w:fldChar w:fldCharType="separate"/>
      </w:r>
      <w:r w:rsidR="00331113">
        <w:rPr>
          <w:b/>
          <w:i w:val="0"/>
          <w:noProof/>
          <w:lang w:val="en-US"/>
        </w:rPr>
        <w:t>2</w:t>
      </w:r>
      <w:r w:rsidRPr="000274D0">
        <w:rPr>
          <w:b/>
          <w:i w:val="0"/>
        </w:rPr>
        <w:fldChar w:fldCharType="end"/>
      </w:r>
      <w:r w:rsidRPr="000274D0">
        <w:rPr>
          <w:b/>
          <w:i w:val="0"/>
          <w:lang w:val="en-US"/>
        </w:rPr>
        <w:t xml:space="preserve"> NPR-A, NPR-B and NPR-C mRNA expression in kidneys of female mice under physiological conditions </w:t>
      </w:r>
    </w:p>
    <w:p w14:paraId="49D1801B" w14:textId="2C205E1B" w:rsidR="000274D0" w:rsidRDefault="000274D0" w:rsidP="000274D0">
      <w:pPr>
        <w:pStyle w:val="Beschriftung"/>
        <w:jc w:val="both"/>
        <w:rPr>
          <w:i w:val="0"/>
          <w:lang w:val="en-US"/>
        </w:rPr>
      </w:pPr>
      <w:r w:rsidRPr="000274D0">
        <w:rPr>
          <w:i w:val="0"/>
          <w:lang w:val="en-US"/>
        </w:rPr>
        <w:t>The localization of NPR-A, NPR-B, and NPR-C mRNA in kidneys of females is consistent with the expression pattern described in males</w:t>
      </w:r>
      <w:r w:rsidR="00820E4F">
        <w:rPr>
          <w:i w:val="0"/>
          <w:lang w:val="en-US"/>
        </w:rPr>
        <w:t xml:space="preserve"> (figures 1, 4, 6)</w:t>
      </w:r>
      <w:r w:rsidRPr="000274D0">
        <w:rPr>
          <w:i w:val="0"/>
          <w:lang w:val="en-US"/>
        </w:rPr>
        <w:t>. NPR-A mRNA is mainly expressed in glomeruli, renal arterioles, and interstitial cells while no mRNA expression was detectable in tubules. The NPR-B receptor is expressed in the cortical and medullary tubular system and, at lower levels, in interstitial cells and glomeruli. NPR-C mRNA was highly detectable in the glomeruli and is also expressed in interstitial cells but not in renal tubules. Glomeruli are visualized by white dashed lines, tubules are marked as “*” and interstitial cells are indicated by white arrows. Nuclei are counterstained with DAPI (grey). Overview scale bars are 1000 µm. Detail scale bars are 100 µm.</w:t>
      </w:r>
    </w:p>
    <w:p w14:paraId="62A784F8" w14:textId="5B32168F" w:rsidR="00331113" w:rsidRPr="00331113" w:rsidRDefault="00331113" w:rsidP="00331113">
      <w:pPr>
        <w:rPr>
          <w:noProof/>
          <w:lang w:val="en-US"/>
        </w:rPr>
      </w:pPr>
      <w:r>
        <w:rPr>
          <w:noProof/>
          <w:lang w:eastAsia="de-DE"/>
        </w:rPr>
        <w:lastRenderedPageBreak/>
        <w:drawing>
          <wp:anchor distT="0" distB="71755" distL="114300" distR="114300" simplePos="0" relativeHeight="251660288" behindDoc="0" locked="1" layoutInCell="1" allowOverlap="1" wp14:anchorId="1DAB92DE" wp14:editId="0FD8C259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6263640" cy="6112510"/>
            <wp:effectExtent l="0" t="0" r="3810" b="2540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611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5631524C" w14:textId="77777777" w:rsidR="00331113" w:rsidRPr="00331113" w:rsidRDefault="00331113" w:rsidP="00331113">
      <w:pPr>
        <w:pStyle w:val="Beschriftung"/>
        <w:spacing w:after="60"/>
        <w:jc w:val="both"/>
        <w:rPr>
          <w:b/>
          <w:i w:val="0"/>
          <w:lang w:val="en-US"/>
        </w:rPr>
      </w:pPr>
      <w:r w:rsidRPr="00331113">
        <w:rPr>
          <w:b/>
          <w:i w:val="0"/>
          <w:lang w:val="en-US"/>
        </w:rPr>
        <w:t xml:space="preserve">Online Resource </w:t>
      </w:r>
      <w:r w:rsidRPr="00331113">
        <w:rPr>
          <w:b/>
          <w:i w:val="0"/>
        </w:rPr>
        <w:fldChar w:fldCharType="begin"/>
      </w:r>
      <w:r w:rsidRPr="00331113">
        <w:rPr>
          <w:b/>
          <w:i w:val="0"/>
          <w:lang w:val="en-US"/>
        </w:rPr>
        <w:instrText xml:space="preserve"> SEQ Online_Resource \* ARABIC </w:instrText>
      </w:r>
      <w:r w:rsidRPr="00331113">
        <w:rPr>
          <w:b/>
          <w:i w:val="0"/>
        </w:rPr>
        <w:fldChar w:fldCharType="separate"/>
      </w:r>
      <w:r w:rsidRPr="00331113">
        <w:rPr>
          <w:b/>
          <w:i w:val="0"/>
          <w:noProof/>
          <w:lang w:val="en-US"/>
        </w:rPr>
        <w:t>3</w:t>
      </w:r>
      <w:r w:rsidRPr="00331113">
        <w:rPr>
          <w:b/>
          <w:i w:val="0"/>
        </w:rPr>
        <w:fldChar w:fldCharType="end"/>
      </w:r>
      <w:r w:rsidRPr="00331113">
        <w:rPr>
          <w:b/>
          <w:i w:val="0"/>
          <w:lang w:val="en-US"/>
        </w:rPr>
        <w:t xml:space="preserve"> NPR-A, NPR-B and NPR-C mRNA expression in aldosterone-producing cells of murine adrenal glands</w:t>
      </w:r>
    </w:p>
    <w:p w14:paraId="14654F16" w14:textId="6888EA52" w:rsidR="000C014E" w:rsidRPr="00331113" w:rsidRDefault="00331113" w:rsidP="00331113">
      <w:pPr>
        <w:pStyle w:val="Beschriftung"/>
        <w:jc w:val="both"/>
        <w:rPr>
          <w:i w:val="0"/>
          <w:lang w:val="en-US"/>
        </w:rPr>
      </w:pPr>
      <w:r w:rsidRPr="00331113">
        <w:rPr>
          <w:i w:val="0"/>
          <w:lang w:val="en-US"/>
        </w:rPr>
        <w:t xml:space="preserve">In situ hybridization of NPR-A, NPR-B, and NPR-C (green) in mouse adrenal glands. Aldosterone-producing cells were </w:t>
      </w:r>
      <w:r w:rsidR="00820E4F">
        <w:rPr>
          <w:i w:val="0"/>
          <w:lang w:val="en-US"/>
        </w:rPr>
        <w:t xml:space="preserve">identified </w:t>
      </w:r>
      <w:r w:rsidRPr="00331113">
        <w:rPr>
          <w:i w:val="0"/>
          <w:lang w:val="en-US"/>
        </w:rPr>
        <w:t>by immunofluorescence staining of CYP11B2 (aldosterone synthase, red). mRNA of all three receptors is expressed in the zona glomerulosa of murine adrenal glands. NPR-A and, to a lesser extent, NPR-B expression was detectable in aldosterone-producing cells. NPR-C was more restricted and less abundant in, but rather highly concentrated between cells positively stained for CYP11B2. Nuclei are counterstained with DAPI (grey). Scale bars are 50 µm.</w:t>
      </w:r>
    </w:p>
    <w:sectPr w:rsidR="000C014E" w:rsidRPr="00331113" w:rsidSect="000274D0">
      <w:pgSz w:w="11906" w:h="16838"/>
      <w:pgMar w:top="1417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A8"/>
    <w:rsid w:val="000274D0"/>
    <w:rsid w:val="000C014E"/>
    <w:rsid w:val="002253C9"/>
    <w:rsid w:val="002E0D1E"/>
    <w:rsid w:val="00331113"/>
    <w:rsid w:val="00421EA8"/>
    <w:rsid w:val="004D0024"/>
    <w:rsid w:val="004F453C"/>
    <w:rsid w:val="007F4768"/>
    <w:rsid w:val="00820E4F"/>
    <w:rsid w:val="008265B3"/>
    <w:rsid w:val="00B02359"/>
    <w:rsid w:val="00B92D35"/>
    <w:rsid w:val="00C92CCD"/>
    <w:rsid w:val="00CA6F83"/>
    <w:rsid w:val="00D77989"/>
    <w:rsid w:val="00E86E4C"/>
    <w:rsid w:val="00ED1707"/>
    <w:rsid w:val="00F0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26C0"/>
  <w15:chartTrackingRefBased/>
  <w15:docId w15:val="{2E3D69F7-BFEB-4131-AECA-D2F013EF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92D35"/>
    <w:pPr>
      <w:spacing w:after="120"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53C9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53C9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421E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53C9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53C9"/>
    <w:rPr>
      <w:rFonts w:ascii="Arial" w:eastAsiaTheme="majorEastAsia" w:hAnsi="Arial" w:cstheme="majorBidi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21EA8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B0235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B0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8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3E97-7943-4E1F-A3ED-F20CD6E5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Regensburg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2</cp:revision>
  <cp:lastPrinted>2022-09-23T14:05:00Z</cp:lastPrinted>
  <dcterms:created xsi:type="dcterms:W3CDTF">2022-11-11T14:38:00Z</dcterms:created>
  <dcterms:modified xsi:type="dcterms:W3CDTF">2022-11-11T14:38:00Z</dcterms:modified>
</cp:coreProperties>
</file>