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00C17" w14:textId="77777777" w:rsidR="005C2E93" w:rsidRDefault="005C2E93" w:rsidP="00631128">
      <w:pPr>
        <w:spacing w:line="360" w:lineRule="auto"/>
        <w:jc w:val="center"/>
        <w:rPr>
          <w:rFonts w:ascii="Times New Roman" w:eastAsiaTheme="majorEastAsia" w:hAnsi="Times New Roman"/>
          <w:b/>
          <w:bCs/>
          <w:sz w:val="28"/>
          <w:szCs w:val="32"/>
          <w:lang w:val="en-GB"/>
        </w:rPr>
      </w:pPr>
    </w:p>
    <w:p w14:paraId="1B481C92" w14:textId="0960D97A" w:rsidR="00030FE7" w:rsidRDefault="00030FE7" w:rsidP="00030FE7">
      <w:pPr>
        <w:spacing w:line="360" w:lineRule="auto"/>
        <w:jc w:val="center"/>
        <w:rPr>
          <w:rFonts w:ascii="Times New Roman" w:eastAsiaTheme="majorEastAsia" w:hAnsi="Times New Roman"/>
          <w:b/>
          <w:bCs/>
          <w:sz w:val="28"/>
          <w:szCs w:val="32"/>
          <w:lang w:val="en-GB"/>
        </w:rPr>
      </w:pPr>
      <w:r>
        <w:rPr>
          <w:rFonts w:ascii="Times New Roman" w:eastAsiaTheme="majorEastAsia" w:hAnsi="Times New Roman"/>
          <w:b/>
          <w:bCs/>
          <w:sz w:val="28"/>
          <w:szCs w:val="32"/>
          <w:lang w:val="en-GB"/>
        </w:rPr>
        <w:t xml:space="preserve">Automated patch-clamp recordings for detecting activators and inhibitors </w:t>
      </w:r>
      <w:r>
        <w:rPr>
          <w:rFonts w:ascii="Times New Roman" w:eastAsiaTheme="majorEastAsia" w:hAnsi="Times New Roman"/>
          <w:b/>
          <w:bCs/>
          <w:sz w:val="28"/>
          <w:szCs w:val="32"/>
          <w:lang w:val="en-GB"/>
        </w:rPr>
        <w:br/>
        <w:t>of the e</w:t>
      </w:r>
      <w:r w:rsidRPr="00164302">
        <w:rPr>
          <w:rFonts w:ascii="Times New Roman" w:eastAsiaTheme="majorEastAsia" w:hAnsi="Times New Roman"/>
          <w:b/>
          <w:bCs/>
          <w:sz w:val="28"/>
          <w:szCs w:val="32"/>
          <w:lang w:val="en-GB"/>
        </w:rPr>
        <w:t xml:space="preserve">pithelial </w:t>
      </w:r>
      <w:r>
        <w:rPr>
          <w:rFonts w:ascii="Times New Roman" w:eastAsiaTheme="majorEastAsia" w:hAnsi="Times New Roman"/>
          <w:b/>
          <w:bCs/>
          <w:sz w:val="28"/>
          <w:szCs w:val="32"/>
          <w:lang w:val="en-GB"/>
        </w:rPr>
        <w:t>s</w:t>
      </w:r>
      <w:r w:rsidRPr="00164302">
        <w:rPr>
          <w:rFonts w:ascii="Times New Roman" w:eastAsiaTheme="majorEastAsia" w:hAnsi="Times New Roman"/>
          <w:b/>
          <w:bCs/>
          <w:sz w:val="28"/>
          <w:szCs w:val="32"/>
          <w:lang w:val="en-GB"/>
        </w:rPr>
        <w:t xml:space="preserve">odium </w:t>
      </w:r>
      <w:r>
        <w:rPr>
          <w:rFonts w:ascii="Times New Roman" w:eastAsiaTheme="majorEastAsia" w:hAnsi="Times New Roman"/>
          <w:b/>
          <w:bCs/>
          <w:sz w:val="28"/>
          <w:szCs w:val="32"/>
          <w:lang w:val="en-GB"/>
        </w:rPr>
        <w:t>c</w:t>
      </w:r>
      <w:r w:rsidRPr="00164302">
        <w:rPr>
          <w:rFonts w:ascii="Times New Roman" w:eastAsiaTheme="majorEastAsia" w:hAnsi="Times New Roman"/>
          <w:b/>
          <w:bCs/>
          <w:sz w:val="28"/>
          <w:szCs w:val="32"/>
          <w:lang w:val="en-GB"/>
        </w:rPr>
        <w:t>hannel (ENaC)</w:t>
      </w:r>
      <w:r>
        <w:rPr>
          <w:rFonts w:ascii="Times New Roman" w:eastAsiaTheme="majorEastAsia" w:hAnsi="Times New Roman"/>
          <w:b/>
          <w:bCs/>
          <w:sz w:val="28"/>
          <w:szCs w:val="32"/>
          <w:lang w:val="en-GB"/>
        </w:rPr>
        <w:t xml:space="preserve"> </w:t>
      </w:r>
    </w:p>
    <w:p w14:paraId="31771785" w14:textId="47A9F99C" w:rsidR="00631128" w:rsidRPr="00631128" w:rsidRDefault="00631128" w:rsidP="00631128">
      <w:pPr>
        <w:spacing w:line="360" w:lineRule="auto"/>
        <w:jc w:val="center"/>
        <w:rPr>
          <w:rFonts w:ascii="Times New Roman" w:eastAsiaTheme="majorEastAsia" w:hAnsi="Times New Roman"/>
          <w:bCs/>
          <w:i/>
          <w:sz w:val="28"/>
          <w:szCs w:val="32"/>
          <w:lang w:val="en-GB"/>
        </w:rPr>
      </w:pPr>
      <w:r w:rsidRPr="00631128">
        <w:rPr>
          <w:rFonts w:ascii="Times New Roman" w:eastAsiaTheme="majorEastAsia" w:hAnsi="Times New Roman"/>
          <w:bCs/>
          <w:i/>
          <w:sz w:val="28"/>
          <w:szCs w:val="32"/>
          <w:lang w:val="en-GB"/>
        </w:rPr>
        <w:t>- Supplementary Information -</w:t>
      </w:r>
    </w:p>
    <w:p w14:paraId="76897EA0" w14:textId="77777777" w:rsidR="00631128" w:rsidRPr="00457BA8" w:rsidRDefault="00631128" w:rsidP="00631128">
      <w:pPr>
        <w:spacing w:line="240" w:lineRule="auto"/>
        <w:jc w:val="center"/>
        <w:rPr>
          <w:lang w:val="en-GB"/>
        </w:rPr>
      </w:pPr>
    </w:p>
    <w:p w14:paraId="13CBC906" w14:textId="0A232C87" w:rsidR="00631128" w:rsidRDefault="00631128" w:rsidP="00631128">
      <w:pPr>
        <w:spacing w:line="360" w:lineRule="auto"/>
        <w:jc w:val="center"/>
        <w:rPr>
          <w:rFonts w:ascii="Times New Roman" w:hAnsi="Times New Roman"/>
          <w:vertAlign w:val="superscript"/>
          <w:lang w:val="en-GB"/>
        </w:rPr>
      </w:pPr>
      <w:r w:rsidRPr="00F8322E">
        <w:rPr>
          <w:rFonts w:ascii="Times New Roman" w:hAnsi="Times New Roman"/>
          <w:lang w:val="en-GB"/>
        </w:rPr>
        <w:t>Florian Sure</w:t>
      </w:r>
      <w:r w:rsidRPr="00F8322E">
        <w:rPr>
          <w:rFonts w:ascii="Times New Roman" w:hAnsi="Times New Roman"/>
          <w:vertAlign w:val="superscript"/>
          <w:lang w:val="en-GB"/>
        </w:rPr>
        <w:t>1</w:t>
      </w:r>
      <w:r>
        <w:rPr>
          <w:rFonts w:ascii="Times New Roman" w:hAnsi="Times New Roman"/>
          <w:lang w:val="en-GB"/>
        </w:rPr>
        <w:t xml:space="preserve">, </w:t>
      </w:r>
      <w:r w:rsidRPr="008A09E8">
        <w:rPr>
          <w:rFonts w:ascii="Times New Roman" w:hAnsi="Times New Roman"/>
        </w:rPr>
        <w:t>Markus Rapedius</w:t>
      </w:r>
      <w:r w:rsidRPr="008A09E8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, Alexei Diakov</w:t>
      </w:r>
      <w:r w:rsidRPr="00B62526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, Marko Bertog</w:t>
      </w:r>
      <w:r w:rsidRPr="00BE1848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, </w:t>
      </w:r>
      <w:r w:rsidRPr="008A09E8">
        <w:rPr>
          <w:rFonts w:ascii="Times New Roman" w:hAnsi="Times New Roman"/>
        </w:rPr>
        <w:t>Alison Obergrussberger</w:t>
      </w:r>
      <w:r w:rsidRPr="008A09E8">
        <w:rPr>
          <w:rFonts w:ascii="Times New Roman" w:hAnsi="Times New Roman"/>
          <w:vertAlign w:val="superscript"/>
        </w:rPr>
        <w:t>2</w:t>
      </w:r>
      <w:r w:rsidRPr="008A09E8">
        <w:rPr>
          <w:rFonts w:ascii="Times New Roman" w:hAnsi="Times New Roman"/>
        </w:rPr>
        <w:t xml:space="preserve">, </w:t>
      </w:r>
      <w:r w:rsidR="005C2E93">
        <w:rPr>
          <w:rFonts w:ascii="Times New Roman" w:hAnsi="Times New Roman"/>
        </w:rPr>
        <w:br/>
      </w:r>
      <w:r w:rsidRPr="008A09E8">
        <w:rPr>
          <w:rFonts w:ascii="Times New Roman" w:hAnsi="Times New Roman"/>
        </w:rPr>
        <w:t>Niels Fertig</w:t>
      </w:r>
      <w:r w:rsidRPr="008A09E8">
        <w:rPr>
          <w:rFonts w:ascii="Times New Roman" w:hAnsi="Times New Roman"/>
          <w:vertAlign w:val="superscript"/>
        </w:rPr>
        <w:t>2</w:t>
      </w:r>
      <w:r w:rsidRPr="008A09E8">
        <w:rPr>
          <w:rFonts w:ascii="Times New Roman" w:hAnsi="Times New Roman"/>
        </w:rPr>
        <w:t xml:space="preserve">, </w:t>
      </w:r>
      <w:r w:rsidRPr="00F8322E">
        <w:rPr>
          <w:rFonts w:ascii="Times New Roman" w:hAnsi="Times New Roman"/>
          <w:lang w:val="en-GB"/>
        </w:rPr>
        <w:t>Christoph Korbmacher</w:t>
      </w:r>
      <w:r w:rsidRPr="00F8322E">
        <w:rPr>
          <w:rFonts w:ascii="Times New Roman" w:hAnsi="Times New Roman"/>
          <w:vertAlign w:val="superscript"/>
          <w:lang w:val="en-GB"/>
        </w:rPr>
        <w:t>1</w:t>
      </w:r>
      <w:r w:rsidRPr="00F8322E">
        <w:rPr>
          <w:rFonts w:ascii="Times New Roman" w:hAnsi="Times New Roman"/>
          <w:lang w:val="en-GB"/>
        </w:rPr>
        <w:t>, Alexandr V. Ilyaskin</w:t>
      </w:r>
      <w:r w:rsidRPr="00F8322E">
        <w:rPr>
          <w:rFonts w:ascii="Times New Roman" w:hAnsi="Times New Roman"/>
          <w:vertAlign w:val="superscript"/>
          <w:lang w:val="en-GB"/>
        </w:rPr>
        <w:t>1</w:t>
      </w:r>
    </w:p>
    <w:p w14:paraId="0BEB9944" w14:textId="77777777" w:rsidR="00631128" w:rsidRPr="008A09E8" w:rsidRDefault="00631128" w:rsidP="00631128">
      <w:pPr>
        <w:spacing w:line="360" w:lineRule="auto"/>
        <w:jc w:val="center"/>
        <w:rPr>
          <w:rFonts w:ascii="Times New Roman" w:hAnsi="Times New Roman"/>
          <w:vertAlign w:val="superscript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7999"/>
      </w:tblGrid>
      <w:tr w:rsidR="00631128" w:rsidRPr="00F8322E" w14:paraId="5CBC0648" w14:textId="77777777" w:rsidTr="005C2E93">
        <w:tc>
          <w:tcPr>
            <w:tcW w:w="708" w:type="dxa"/>
          </w:tcPr>
          <w:p w14:paraId="68636E03" w14:textId="77777777" w:rsidR="00631128" w:rsidRPr="00F8322E" w:rsidRDefault="00631128" w:rsidP="00030FE7">
            <w:pPr>
              <w:spacing w:before="240" w:line="276" w:lineRule="auto"/>
              <w:ind w:firstLine="35"/>
              <w:jc w:val="left"/>
              <w:rPr>
                <w:rFonts w:ascii="Times New Roman" w:hAnsi="Times New Roman"/>
              </w:rPr>
            </w:pPr>
            <w:r w:rsidRPr="00F8322E">
              <w:rPr>
                <w:rFonts w:ascii="Times New Roman" w:hAnsi="Times New Roman"/>
                <w:vertAlign w:val="superscript"/>
              </w:rPr>
              <w:t>1</w:t>
            </w:r>
          </w:p>
        </w:tc>
        <w:tc>
          <w:tcPr>
            <w:tcW w:w="7999" w:type="dxa"/>
          </w:tcPr>
          <w:p w14:paraId="49805EA7" w14:textId="77777777" w:rsidR="00631128" w:rsidRPr="00F8322E" w:rsidRDefault="00631128" w:rsidP="00030FE7">
            <w:pPr>
              <w:spacing w:before="240" w:line="276" w:lineRule="auto"/>
              <w:ind w:firstLine="0"/>
              <w:rPr>
                <w:rFonts w:ascii="Times New Roman" w:hAnsi="Times New Roman"/>
              </w:rPr>
            </w:pPr>
            <w:r w:rsidRPr="00F8322E">
              <w:rPr>
                <w:rFonts w:ascii="Times New Roman" w:hAnsi="Times New Roman"/>
              </w:rPr>
              <w:t xml:space="preserve">Friedrich-Alexander-Universität Erlangen-Nürnberg, Institute </w:t>
            </w:r>
            <w:proofErr w:type="spellStart"/>
            <w:r w:rsidRPr="00F8322E">
              <w:rPr>
                <w:rFonts w:ascii="Times New Roman" w:hAnsi="Times New Roman"/>
              </w:rPr>
              <w:t>of</w:t>
            </w:r>
            <w:proofErr w:type="spellEnd"/>
            <w:r w:rsidRPr="00F8322E">
              <w:rPr>
                <w:rFonts w:ascii="Times New Roman" w:hAnsi="Times New Roman"/>
              </w:rPr>
              <w:t xml:space="preserve"> </w:t>
            </w:r>
            <w:proofErr w:type="spellStart"/>
            <w:r w:rsidRPr="00F8322E">
              <w:rPr>
                <w:rFonts w:ascii="Times New Roman" w:hAnsi="Times New Roman"/>
              </w:rPr>
              <w:t>Cellular</w:t>
            </w:r>
            <w:proofErr w:type="spellEnd"/>
            <w:r w:rsidRPr="00F8322E">
              <w:rPr>
                <w:rFonts w:ascii="Times New Roman" w:hAnsi="Times New Roman"/>
              </w:rPr>
              <w:t xml:space="preserve"> and </w:t>
            </w:r>
            <w:proofErr w:type="spellStart"/>
            <w:r w:rsidRPr="00F8322E">
              <w:rPr>
                <w:rFonts w:ascii="Times New Roman" w:hAnsi="Times New Roman"/>
              </w:rPr>
              <w:t>Molecular</w:t>
            </w:r>
            <w:proofErr w:type="spellEnd"/>
            <w:r w:rsidRPr="00F8322E">
              <w:rPr>
                <w:rFonts w:ascii="Times New Roman" w:hAnsi="Times New Roman"/>
              </w:rPr>
              <w:t xml:space="preserve"> </w:t>
            </w:r>
            <w:proofErr w:type="spellStart"/>
            <w:r w:rsidRPr="00F8322E">
              <w:rPr>
                <w:rFonts w:ascii="Times New Roman" w:hAnsi="Times New Roman"/>
              </w:rPr>
              <w:t>Physiology</w:t>
            </w:r>
            <w:proofErr w:type="spellEnd"/>
            <w:r w:rsidRPr="00F8322E">
              <w:rPr>
                <w:rFonts w:ascii="Times New Roman" w:hAnsi="Times New Roman"/>
              </w:rPr>
              <w:t>, Erlangen, Germany</w:t>
            </w:r>
          </w:p>
        </w:tc>
      </w:tr>
      <w:tr w:rsidR="00631128" w:rsidRPr="00C57FD6" w14:paraId="762FFB87" w14:textId="77777777" w:rsidTr="005C2E93">
        <w:tc>
          <w:tcPr>
            <w:tcW w:w="708" w:type="dxa"/>
          </w:tcPr>
          <w:p w14:paraId="3449DB4A" w14:textId="77777777" w:rsidR="00631128" w:rsidRPr="00F8322E" w:rsidRDefault="00631128" w:rsidP="00030FE7">
            <w:pPr>
              <w:spacing w:before="240" w:line="276" w:lineRule="auto"/>
              <w:ind w:firstLine="35"/>
              <w:jc w:val="left"/>
              <w:rPr>
                <w:rFonts w:ascii="Times New Roman" w:hAnsi="Times New Roman"/>
                <w:vertAlign w:val="superscript"/>
              </w:rPr>
            </w:pPr>
            <w:r w:rsidRPr="00F8322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7999" w:type="dxa"/>
          </w:tcPr>
          <w:p w14:paraId="106E6546" w14:textId="77777777" w:rsidR="00631128" w:rsidRPr="00C57FD6" w:rsidRDefault="00631128" w:rsidP="00030FE7">
            <w:pPr>
              <w:spacing w:before="240" w:line="276" w:lineRule="auto"/>
              <w:ind w:firstLine="0"/>
              <w:rPr>
                <w:rFonts w:ascii="Times New Roman" w:hAnsi="Times New Roman"/>
              </w:rPr>
            </w:pPr>
            <w:proofErr w:type="spellStart"/>
            <w:r w:rsidRPr="00C57FD6">
              <w:rPr>
                <w:rFonts w:ascii="Times New Roman" w:hAnsi="Times New Roman"/>
              </w:rPr>
              <w:t>Nanion</w:t>
            </w:r>
            <w:proofErr w:type="spellEnd"/>
            <w:r w:rsidRPr="00C57FD6">
              <w:rPr>
                <w:rFonts w:ascii="Times New Roman" w:hAnsi="Times New Roman"/>
              </w:rPr>
              <w:t xml:space="preserve"> Technologies GmbH, Munich, G</w:t>
            </w:r>
            <w:r>
              <w:rPr>
                <w:rFonts w:ascii="Times New Roman" w:hAnsi="Times New Roman"/>
              </w:rPr>
              <w:t>ermany</w:t>
            </w:r>
          </w:p>
        </w:tc>
      </w:tr>
      <w:tr w:rsidR="00B775F5" w:rsidRPr="00C57FD6" w14:paraId="2BBC35C4" w14:textId="77777777" w:rsidTr="005C2E93">
        <w:tc>
          <w:tcPr>
            <w:tcW w:w="708" w:type="dxa"/>
          </w:tcPr>
          <w:p w14:paraId="08CA375F" w14:textId="77777777" w:rsidR="00B775F5" w:rsidRPr="00F8322E" w:rsidRDefault="00B775F5" w:rsidP="00030FE7">
            <w:pPr>
              <w:spacing w:before="240" w:line="276" w:lineRule="auto"/>
              <w:ind w:firstLine="35"/>
              <w:jc w:val="lef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7999" w:type="dxa"/>
          </w:tcPr>
          <w:p w14:paraId="50BADCFA" w14:textId="77777777" w:rsidR="00B775F5" w:rsidRPr="00C57FD6" w:rsidRDefault="00B775F5" w:rsidP="00030FE7">
            <w:pPr>
              <w:spacing w:before="240" w:line="276" w:lineRule="auto"/>
              <w:ind w:firstLine="0"/>
              <w:rPr>
                <w:rFonts w:ascii="Times New Roman" w:hAnsi="Times New Roman"/>
              </w:rPr>
            </w:pPr>
          </w:p>
        </w:tc>
      </w:tr>
      <w:tr w:rsidR="00B775F5" w:rsidRPr="00DC0382" w14:paraId="249097F6" w14:textId="77777777" w:rsidTr="00030FE7">
        <w:tc>
          <w:tcPr>
            <w:tcW w:w="8707" w:type="dxa"/>
            <w:gridSpan w:val="2"/>
          </w:tcPr>
          <w:p w14:paraId="59D60122" w14:textId="77777777" w:rsidR="00B775F5" w:rsidRPr="00DC0382" w:rsidRDefault="00B775F5" w:rsidP="00B775F5">
            <w:pPr>
              <w:pStyle w:val="berschrift1"/>
              <w:outlineLvl w:val="0"/>
            </w:pPr>
          </w:p>
          <w:p w14:paraId="0903FEC1" w14:textId="13A7B41C" w:rsidR="00B775F5" w:rsidRPr="00B775F5" w:rsidRDefault="00B775F5" w:rsidP="00B775F5">
            <w:pPr>
              <w:pStyle w:val="berschrift1"/>
              <w:jc w:val="center"/>
              <w:outlineLvl w:val="0"/>
              <w:rPr>
                <w:lang w:val="en-GB"/>
              </w:rPr>
            </w:pPr>
            <w:r>
              <w:rPr>
                <w:lang w:val="en-GB"/>
              </w:rPr>
              <w:t>Table of Contents</w:t>
            </w:r>
          </w:p>
          <w:p w14:paraId="7950EC2E" w14:textId="77777777" w:rsidR="00B775F5" w:rsidRPr="00B775F5" w:rsidRDefault="00B775F5" w:rsidP="00B775F5">
            <w:pPr>
              <w:spacing w:before="240" w:after="240"/>
              <w:rPr>
                <w:lang w:val="en-GB"/>
              </w:rPr>
            </w:pPr>
            <w:r w:rsidRPr="00B775F5">
              <w:rPr>
                <w:b/>
                <w:lang w:val="en-GB"/>
              </w:rPr>
              <w:t>Supplemental Figure S1</w:t>
            </w:r>
            <w:r>
              <w:rPr>
                <w:lang w:val="en-GB"/>
              </w:rPr>
              <w:t xml:space="preserve"> Enzymatic cell detachment reagents lead to proteolytic activation of ENaC </w:t>
            </w:r>
            <w:proofErr w:type="spellStart"/>
            <w:r>
              <w:rPr>
                <w:lang w:val="en-GB"/>
              </w:rPr>
              <w:t>heterologously</w:t>
            </w:r>
            <w:proofErr w:type="spellEnd"/>
            <w:r>
              <w:rPr>
                <w:lang w:val="en-GB"/>
              </w:rPr>
              <w:t xml:space="preserve"> expressed in </w:t>
            </w:r>
            <w:r>
              <w:rPr>
                <w:i/>
                <w:lang w:val="en-GB"/>
              </w:rPr>
              <w:t xml:space="preserve">Xenopus </w:t>
            </w:r>
            <w:proofErr w:type="spellStart"/>
            <w:r>
              <w:rPr>
                <w:i/>
                <w:lang w:val="en-GB"/>
              </w:rPr>
              <w:t>laevis</w:t>
            </w:r>
            <w:proofErr w:type="spellEnd"/>
            <w:r>
              <w:rPr>
                <w:i/>
                <w:lang w:val="en-GB"/>
              </w:rPr>
              <w:t xml:space="preserve"> </w:t>
            </w:r>
            <w:r>
              <w:rPr>
                <w:lang w:val="en-GB"/>
              </w:rPr>
              <w:t>oocytes</w:t>
            </w:r>
          </w:p>
          <w:p w14:paraId="30819826" w14:textId="77777777" w:rsidR="00B775F5" w:rsidRDefault="00B775F5" w:rsidP="00B775F5">
            <w:pPr>
              <w:rPr>
                <w:lang w:val="en-GB"/>
              </w:rPr>
            </w:pPr>
            <w:r w:rsidRPr="00B775F5">
              <w:rPr>
                <w:b/>
                <w:lang w:val="en-GB"/>
              </w:rPr>
              <w:t>Supplemental Figure S2</w:t>
            </w:r>
            <w:r>
              <w:rPr>
                <w:lang w:val="en-GB"/>
              </w:rPr>
              <w:t xml:space="preserve"> Similar APC recordings as shown in Fig. 4 were performed in an additional batch of ENaC-HEK293 cells and confirmed the suitability of this method to detect stimulatory and inhibitory effects of known ENaC modulators on ENaC currents</w:t>
            </w:r>
          </w:p>
          <w:p w14:paraId="713F4D97" w14:textId="77777777" w:rsidR="00B775F5" w:rsidRPr="00B775F5" w:rsidRDefault="00B775F5" w:rsidP="00030FE7">
            <w:pPr>
              <w:spacing w:before="240" w:line="276" w:lineRule="auto"/>
              <w:ind w:firstLine="0"/>
              <w:rPr>
                <w:rFonts w:ascii="Times New Roman" w:hAnsi="Times New Roman"/>
                <w:lang w:val="en-GB"/>
              </w:rPr>
            </w:pPr>
          </w:p>
        </w:tc>
      </w:tr>
    </w:tbl>
    <w:p w14:paraId="630365AB" w14:textId="58409123" w:rsidR="00631128" w:rsidRDefault="00631128" w:rsidP="00123983">
      <w:pPr>
        <w:ind w:firstLine="0"/>
        <w:rPr>
          <w:lang w:val="en-GB"/>
        </w:rPr>
      </w:pPr>
    </w:p>
    <w:p w14:paraId="400CD6A3" w14:textId="47930CC5" w:rsidR="00B775F5" w:rsidRDefault="00B775F5" w:rsidP="00123983">
      <w:pPr>
        <w:ind w:firstLine="0"/>
        <w:rPr>
          <w:lang w:val="en-GB"/>
        </w:rPr>
      </w:pPr>
    </w:p>
    <w:p w14:paraId="6F5DCE6F" w14:textId="77777777" w:rsidR="00B775F5" w:rsidRDefault="00B775F5" w:rsidP="00123983">
      <w:pPr>
        <w:ind w:firstLine="0"/>
        <w:rPr>
          <w:lang w:val="en-GB"/>
        </w:rPr>
      </w:pPr>
    </w:p>
    <w:p w14:paraId="4DA3F441" w14:textId="77777777" w:rsidR="00631128" w:rsidRDefault="00631128">
      <w:pPr>
        <w:spacing w:after="160" w:line="259" w:lineRule="auto"/>
        <w:ind w:firstLine="0"/>
        <w:jc w:val="left"/>
        <w:rPr>
          <w:lang w:val="en-GB"/>
        </w:rPr>
      </w:pPr>
      <w:r>
        <w:rPr>
          <w:lang w:val="en-GB"/>
        </w:rPr>
        <w:br w:type="page"/>
      </w:r>
    </w:p>
    <w:p w14:paraId="0D0A5D4D" w14:textId="14604E2E" w:rsidR="00123983" w:rsidRDefault="00123983" w:rsidP="005C2E93">
      <w:pPr>
        <w:ind w:firstLine="0"/>
        <w:jc w:val="center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 wp14:anchorId="7D8FC3FB" wp14:editId="09471C61">
            <wp:extent cx="6264000" cy="6232267"/>
            <wp:effectExtent l="0" t="0" r="381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0" cy="623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9FD15" w14:textId="00171AC4" w:rsidR="00123983" w:rsidRPr="00163789" w:rsidRDefault="00B775F5" w:rsidP="00123983">
      <w:pPr>
        <w:spacing w:line="240" w:lineRule="auto"/>
        <w:ind w:firstLine="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 xml:space="preserve">Supplemental </w:t>
      </w:r>
      <w:r w:rsidR="00123983" w:rsidRPr="00F8322E">
        <w:rPr>
          <w:rFonts w:ascii="Times New Roman" w:hAnsi="Times New Roman"/>
          <w:b/>
          <w:lang w:val="en-GB"/>
        </w:rPr>
        <w:t>Fig</w:t>
      </w:r>
      <w:r w:rsidR="00F847C6">
        <w:rPr>
          <w:rFonts w:ascii="Times New Roman" w:hAnsi="Times New Roman"/>
          <w:b/>
          <w:lang w:val="en-GB"/>
        </w:rPr>
        <w:t>.</w:t>
      </w:r>
      <w:r w:rsidR="00123983" w:rsidRPr="00F8322E">
        <w:rPr>
          <w:rFonts w:ascii="Times New Roman" w:hAnsi="Times New Roman"/>
          <w:b/>
          <w:lang w:val="en-GB"/>
        </w:rPr>
        <w:t xml:space="preserve"> </w:t>
      </w:r>
      <w:r w:rsidR="00123983">
        <w:rPr>
          <w:rFonts w:ascii="Times New Roman" w:hAnsi="Times New Roman"/>
          <w:b/>
          <w:lang w:val="en-GB"/>
        </w:rPr>
        <w:t>S1</w:t>
      </w:r>
      <w:r w:rsidR="00123983" w:rsidRPr="00F8322E">
        <w:rPr>
          <w:rFonts w:ascii="Times New Roman" w:hAnsi="Times New Roman"/>
          <w:b/>
          <w:lang w:val="en-GB"/>
        </w:rPr>
        <w:t xml:space="preserve"> </w:t>
      </w:r>
      <w:r w:rsidR="00123983">
        <w:rPr>
          <w:rFonts w:ascii="Times New Roman" w:hAnsi="Times New Roman"/>
          <w:b/>
          <w:lang w:val="en-GB"/>
        </w:rPr>
        <w:t xml:space="preserve">Enzymatic cell detachment reagents lead to proteolytic activation of ENaC </w:t>
      </w:r>
      <w:proofErr w:type="spellStart"/>
      <w:r w:rsidR="00123983">
        <w:rPr>
          <w:rFonts w:ascii="Times New Roman" w:hAnsi="Times New Roman"/>
          <w:b/>
          <w:lang w:val="en-GB"/>
        </w:rPr>
        <w:t>heterologously</w:t>
      </w:r>
      <w:proofErr w:type="spellEnd"/>
      <w:r w:rsidR="00123983">
        <w:rPr>
          <w:rFonts w:ascii="Times New Roman" w:hAnsi="Times New Roman"/>
          <w:b/>
          <w:lang w:val="en-GB"/>
        </w:rPr>
        <w:t xml:space="preserve"> expressed in </w:t>
      </w:r>
      <w:r w:rsidR="00123983">
        <w:rPr>
          <w:rFonts w:ascii="Times New Roman" w:hAnsi="Times New Roman"/>
          <w:b/>
          <w:i/>
          <w:lang w:val="en-GB"/>
        </w:rPr>
        <w:t xml:space="preserve">Xenopus </w:t>
      </w:r>
      <w:proofErr w:type="spellStart"/>
      <w:r w:rsidR="00123983">
        <w:rPr>
          <w:rFonts w:ascii="Times New Roman" w:hAnsi="Times New Roman"/>
          <w:b/>
          <w:i/>
          <w:lang w:val="en-GB"/>
        </w:rPr>
        <w:t>laevis</w:t>
      </w:r>
      <w:proofErr w:type="spellEnd"/>
      <w:r w:rsidR="00123983">
        <w:rPr>
          <w:rFonts w:ascii="Times New Roman" w:hAnsi="Times New Roman"/>
          <w:b/>
          <w:i/>
          <w:lang w:val="en-GB"/>
        </w:rPr>
        <w:t xml:space="preserve"> </w:t>
      </w:r>
      <w:r w:rsidR="00123983">
        <w:rPr>
          <w:rFonts w:ascii="Times New Roman" w:hAnsi="Times New Roman"/>
          <w:b/>
          <w:lang w:val="en-GB"/>
        </w:rPr>
        <w:t>oocytes</w:t>
      </w:r>
    </w:p>
    <w:tbl>
      <w:tblPr>
        <w:tblStyle w:val="Tabellenraster"/>
        <w:tblW w:w="1077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0065"/>
      </w:tblGrid>
      <w:tr w:rsidR="00123983" w:rsidRPr="00DC0382" w14:paraId="2C0F0A81" w14:textId="77777777" w:rsidTr="005C2E93">
        <w:tc>
          <w:tcPr>
            <w:tcW w:w="709" w:type="dxa"/>
          </w:tcPr>
          <w:p w14:paraId="515EEB9D" w14:textId="77777777" w:rsidR="00123983" w:rsidRPr="00F8322E" w:rsidRDefault="00123983" w:rsidP="009577AF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lang w:val="en-GB"/>
              </w:rPr>
            </w:pP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(</w:t>
            </w:r>
            <w:r>
              <w:rPr>
                <w:rFonts w:ascii="Times New Roman" w:hAnsi="Times New Roman"/>
                <w:b/>
                <w:sz w:val="22"/>
                <w:lang w:val="en-GB"/>
              </w:rPr>
              <w:t>a, b</w:t>
            </w: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)</w:t>
            </w:r>
          </w:p>
        </w:tc>
        <w:tc>
          <w:tcPr>
            <w:tcW w:w="10065" w:type="dxa"/>
          </w:tcPr>
          <w:p w14:paraId="4181CFD6" w14:textId="6AA558E7" w:rsidR="00123983" w:rsidRPr="00163789" w:rsidRDefault="00123983" w:rsidP="005628AE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 xml:space="preserve">Representative whole-cell current traces </w:t>
            </w:r>
            <w:r w:rsidR="005761B7">
              <w:rPr>
                <w:rFonts w:ascii="Times New Roman" w:hAnsi="Times New Roman"/>
                <w:sz w:val="22"/>
                <w:lang w:val="en-GB"/>
              </w:rPr>
              <w:t>obtained</w:t>
            </w:r>
            <w:r w:rsidR="005761B7" w:rsidRPr="005761B7">
              <w:rPr>
                <w:rFonts w:ascii="Times New Roman" w:hAnsi="Times New Roman"/>
                <w:sz w:val="22"/>
                <w:lang w:val="en-GB"/>
              </w:rPr>
              <w:t xml:space="preserve"> at a holding potential of −60 mV </w:t>
            </w:r>
            <w:proofErr w:type="gramStart"/>
            <w:r>
              <w:rPr>
                <w:rFonts w:ascii="Times New Roman" w:hAnsi="Times New Roman"/>
                <w:sz w:val="22"/>
                <w:lang w:val="en-GB"/>
              </w:rPr>
              <w:t>are</w:t>
            </w:r>
            <w:proofErr w:type="gramEnd"/>
            <w:r>
              <w:rPr>
                <w:rFonts w:ascii="Times New Roman" w:hAnsi="Times New Roman"/>
                <w:sz w:val="22"/>
                <w:lang w:val="en-GB"/>
              </w:rPr>
              <w:t xml:space="preserve"> shown </w:t>
            </w:r>
            <w:r w:rsidR="005761B7">
              <w:rPr>
                <w:rFonts w:ascii="Times New Roman" w:hAnsi="Times New Roman"/>
                <w:sz w:val="22"/>
                <w:lang w:val="en-GB"/>
              </w:rPr>
              <w:t>for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 </w:t>
            </w:r>
            <w:r w:rsidR="005628AE">
              <w:rPr>
                <w:rFonts w:ascii="Times New Roman" w:hAnsi="Times New Roman"/>
                <w:sz w:val="22"/>
                <w:lang w:val="en-GB"/>
              </w:rPr>
              <w:t xml:space="preserve">an 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oocyte injected with </w:t>
            </w:r>
            <w:proofErr w:type="spellStart"/>
            <w:r>
              <w:rPr>
                <w:rFonts w:ascii="Times New Roman" w:hAnsi="Times New Roman"/>
                <w:sz w:val="22"/>
                <w:lang w:val="en-GB"/>
              </w:rPr>
              <w:t>cRNA</w:t>
            </w:r>
            <w:proofErr w:type="spellEnd"/>
            <w:r>
              <w:rPr>
                <w:rFonts w:ascii="Times New Roman" w:hAnsi="Times New Roman"/>
                <w:sz w:val="22"/>
                <w:lang w:val="en-GB"/>
              </w:rPr>
              <w:t xml:space="preserve"> encoding for</w:t>
            </w:r>
            <w:r w:rsidR="0039585B">
              <w:rPr>
                <w:rFonts w:ascii="Times New Roman" w:hAnsi="Times New Roman"/>
                <w:sz w:val="22"/>
                <w:lang w:val="en-GB"/>
              </w:rPr>
              <w:t xml:space="preserve"> human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 </w:t>
            </w:r>
            <w:r w:rsidRPr="00163789">
              <w:rPr>
                <w:rFonts w:cstheme="minorHAnsi"/>
                <w:sz w:val="22"/>
                <w:lang w:val="en-GB"/>
              </w:rPr>
              <w:t>α</w:t>
            </w:r>
            <w:r w:rsidRPr="00163789">
              <w:rPr>
                <w:rFonts w:cstheme="minorHAnsi"/>
                <w:sz w:val="22"/>
                <w:lang w:val="en-US"/>
              </w:rPr>
              <w:t>βγ</w:t>
            </w:r>
            <w:r>
              <w:rPr>
                <w:rFonts w:cstheme="minorHAnsi"/>
                <w:sz w:val="22"/>
                <w:lang w:val="en-US"/>
              </w:rPr>
              <w:t>-ENaC (0.</w:t>
            </w:r>
            <w:r w:rsidR="00991299">
              <w:rPr>
                <w:rFonts w:cstheme="minorHAnsi"/>
                <w:sz w:val="22"/>
                <w:lang w:val="en-US"/>
              </w:rPr>
              <w:t>0</w:t>
            </w:r>
            <w:r w:rsidR="00991299" w:rsidRPr="00023234">
              <w:rPr>
                <w:rFonts w:cstheme="minorHAnsi"/>
                <w:sz w:val="22"/>
                <w:lang w:val="en-US"/>
              </w:rPr>
              <w:t>3</w:t>
            </w:r>
            <w:r w:rsidR="00991299">
              <w:rPr>
                <w:rFonts w:cstheme="minorHAnsi"/>
                <w:sz w:val="22"/>
                <w:lang w:val="en-US"/>
              </w:rPr>
              <w:t xml:space="preserve"> </w:t>
            </w:r>
            <w:r>
              <w:rPr>
                <w:rFonts w:cstheme="minorHAnsi"/>
                <w:sz w:val="22"/>
                <w:lang w:val="en-US"/>
              </w:rPr>
              <w:t>ng/subunit</w:t>
            </w:r>
            <w:r w:rsidR="005628AE">
              <w:rPr>
                <w:rFonts w:cstheme="minorHAnsi"/>
                <w:sz w:val="22"/>
                <w:lang w:val="en-US"/>
              </w:rPr>
              <w:t>/oocyte</w:t>
            </w:r>
            <w:r>
              <w:rPr>
                <w:rFonts w:cstheme="minorHAnsi"/>
                <w:sz w:val="22"/>
                <w:lang w:val="en-US"/>
              </w:rPr>
              <w:t>)</w:t>
            </w:r>
            <w:r w:rsidR="005628AE">
              <w:rPr>
                <w:rFonts w:cstheme="minorHAnsi"/>
                <w:sz w:val="22"/>
                <w:lang w:val="en-US"/>
              </w:rPr>
              <w:t xml:space="preserve"> before and after incubation with </w:t>
            </w:r>
            <w:proofErr w:type="spellStart"/>
            <w:r w:rsidR="005628AE">
              <w:rPr>
                <w:rFonts w:cstheme="minorHAnsi"/>
                <w:sz w:val="22"/>
                <w:lang w:val="en-US"/>
              </w:rPr>
              <w:t>TrypLE</w:t>
            </w:r>
            <w:proofErr w:type="spellEnd"/>
            <w:r w:rsidR="005628AE">
              <w:rPr>
                <w:rFonts w:cstheme="minorHAnsi"/>
                <w:sz w:val="22"/>
                <w:lang w:val="en-US"/>
              </w:rPr>
              <w:t xml:space="preserve"> (</w:t>
            </w:r>
            <w:r w:rsidR="005628AE" w:rsidRPr="005628AE">
              <w:rPr>
                <w:rFonts w:cstheme="minorHAnsi"/>
                <w:i/>
                <w:iCs/>
                <w:sz w:val="22"/>
                <w:lang w:val="en-US"/>
              </w:rPr>
              <w:t>a</w:t>
            </w:r>
            <w:r w:rsidR="005628AE">
              <w:rPr>
                <w:rFonts w:cstheme="minorHAnsi"/>
                <w:sz w:val="22"/>
                <w:lang w:val="en-US"/>
              </w:rPr>
              <w:t>) or sodium citrate (</w:t>
            </w:r>
            <w:r w:rsidR="005628AE" w:rsidRPr="005628AE">
              <w:rPr>
                <w:rFonts w:cstheme="minorHAnsi"/>
                <w:i/>
                <w:iCs/>
                <w:sz w:val="22"/>
                <w:lang w:val="en-US"/>
              </w:rPr>
              <w:t>b</w:t>
            </w:r>
            <w:r w:rsidR="005628AE">
              <w:rPr>
                <w:rFonts w:cstheme="minorHAnsi"/>
                <w:sz w:val="22"/>
                <w:lang w:val="en-US"/>
              </w:rPr>
              <w:t>)</w:t>
            </w:r>
            <w:r>
              <w:rPr>
                <w:rFonts w:cstheme="minorHAnsi"/>
                <w:sz w:val="22"/>
                <w:lang w:val="en-US"/>
              </w:rPr>
              <w:t>. Amiloride (</w:t>
            </w:r>
            <w:proofErr w:type="spellStart"/>
            <w:r>
              <w:rPr>
                <w:rFonts w:cstheme="minorHAnsi"/>
                <w:sz w:val="22"/>
                <w:lang w:val="en-US"/>
              </w:rPr>
              <w:t>ami</w:t>
            </w:r>
            <w:proofErr w:type="spellEnd"/>
            <w:r>
              <w:rPr>
                <w:rFonts w:cstheme="minorHAnsi"/>
                <w:sz w:val="22"/>
                <w:lang w:val="en-US"/>
              </w:rPr>
              <w:t>, 2 µM) and chymotrypsin (</w:t>
            </w:r>
            <w:proofErr w:type="spellStart"/>
            <w:r>
              <w:rPr>
                <w:rFonts w:cstheme="minorHAnsi"/>
                <w:sz w:val="22"/>
                <w:lang w:val="en-US"/>
              </w:rPr>
              <w:t>chymo</w:t>
            </w:r>
            <w:proofErr w:type="spellEnd"/>
            <w:r>
              <w:rPr>
                <w:rFonts w:cstheme="minorHAnsi"/>
                <w:sz w:val="22"/>
                <w:lang w:val="en-US"/>
              </w:rPr>
              <w:t xml:space="preserve">, 2 µg/ml) were present in the bath solution as indicated by black and grey bars, respectively. An arrow marks a 5-minute incubation time in </w:t>
            </w:r>
            <w:r w:rsidR="005628AE">
              <w:rPr>
                <w:rFonts w:cstheme="minorHAnsi"/>
                <w:sz w:val="22"/>
                <w:lang w:val="en-US"/>
              </w:rPr>
              <w:t>the respective reagent, as indicated,</w:t>
            </w:r>
            <w:r>
              <w:rPr>
                <w:rFonts w:cstheme="minorHAnsi"/>
                <w:sz w:val="22"/>
                <w:lang w:val="en-US"/>
              </w:rPr>
              <w:t xml:space="preserve"> followed by 1 minute of washout with </w:t>
            </w:r>
            <w:r w:rsidR="005628AE">
              <w:rPr>
                <w:rFonts w:cstheme="minorHAnsi"/>
                <w:sz w:val="22"/>
                <w:lang w:val="en-US"/>
              </w:rPr>
              <w:t xml:space="preserve">the standard bath solution containing </w:t>
            </w:r>
            <w:r>
              <w:rPr>
                <w:rFonts w:cstheme="minorHAnsi"/>
                <w:sz w:val="22"/>
                <w:lang w:val="en-US"/>
              </w:rPr>
              <w:t xml:space="preserve">amiloride (2 µM). During this incubation time, oocytes were </w:t>
            </w:r>
            <w:r w:rsidR="005761B7">
              <w:rPr>
                <w:rFonts w:cstheme="minorHAnsi"/>
                <w:sz w:val="22"/>
                <w:lang w:val="en-US"/>
              </w:rPr>
              <w:t>un</w:t>
            </w:r>
            <w:r>
              <w:rPr>
                <w:rFonts w:cstheme="minorHAnsi"/>
                <w:sz w:val="22"/>
                <w:lang w:val="en-US"/>
              </w:rPr>
              <w:t>clamped</w:t>
            </w:r>
            <w:r w:rsidR="005761B7">
              <w:rPr>
                <w:rFonts w:cstheme="minorHAnsi"/>
                <w:sz w:val="22"/>
                <w:lang w:val="en-US"/>
              </w:rPr>
              <w:t xml:space="preserve"> to prevent sodium overloading</w:t>
            </w:r>
            <w:r>
              <w:rPr>
                <w:rFonts w:cstheme="minorHAnsi"/>
                <w:sz w:val="22"/>
                <w:lang w:val="en-US"/>
              </w:rPr>
              <w:t xml:space="preserve">. </w:t>
            </w:r>
          </w:p>
        </w:tc>
      </w:tr>
      <w:tr w:rsidR="00123983" w:rsidRPr="00DC0382" w14:paraId="3F48462B" w14:textId="77777777" w:rsidTr="005C2E93">
        <w:tc>
          <w:tcPr>
            <w:tcW w:w="709" w:type="dxa"/>
          </w:tcPr>
          <w:p w14:paraId="5812AE75" w14:textId="77777777" w:rsidR="00123983" w:rsidRPr="00F8322E" w:rsidRDefault="00123983" w:rsidP="009577AF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lang w:val="en-GB"/>
              </w:rPr>
            </w:pP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(</w:t>
            </w:r>
            <w:r>
              <w:rPr>
                <w:rFonts w:ascii="Times New Roman" w:hAnsi="Times New Roman"/>
                <w:b/>
                <w:sz w:val="22"/>
                <w:lang w:val="en-GB"/>
              </w:rPr>
              <w:t>c</w:t>
            </w: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)</w:t>
            </w:r>
          </w:p>
        </w:tc>
        <w:tc>
          <w:tcPr>
            <w:tcW w:w="10065" w:type="dxa"/>
          </w:tcPr>
          <w:p w14:paraId="5FBBB62A" w14:textId="649DC2DE" w:rsidR="00123983" w:rsidRPr="00163789" w:rsidRDefault="00123983" w:rsidP="009577AF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ENaC-mediated amiloride-sensitive whole-cell currents (</w:t>
            </w:r>
            <w:r w:rsidRPr="00504BF5">
              <w:rPr>
                <w:rFonts w:cstheme="minorHAnsi"/>
                <w:sz w:val="22"/>
                <w:szCs w:val="22"/>
              </w:rPr>
              <w:t>Δ</w:t>
            </w:r>
            <w:proofErr w:type="spellStart"/>
            <w:r w:rsidRPr="00504BF5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ami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>) were determined from similar experiments as shown in (</w:t>
            </w:r>
            <w:r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 xml:space="preserve">a,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TrypLE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>) and (</w:t>
            </w:r>
            <w:r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 xml:space="preserve">b,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Citrate) and </w:t>
            </w:r>
            <w:r w:rsidR="003E516C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from experiments in which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other cell detachment reagents</w:t>
            </w:r>
            <w:r w:rsidR="003E516C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were used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as indicated. Values were determined by subtracting the current level reached in </w:t>
            </w:r>
            <w:r w:rsidR="00DA3AE4">
              <w:rPr>
                <w:rFonts w:ascii="Times New Roman" w:hAnsi="Times New Roman"/>
                <w:sz w:val="22"/>
                <w:szCs w:val="22"/>
                <w:lang w:val="en-US"/>
              </w:rPr>
              <w:t>the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absence</w:t>
            </w:r>
            <w:r w:rsidR="00DA3AE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of amiloride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before incubation in </w:t>
            </w:r>
            <w:r w:rsidR="00DA3AE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the respective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detachment reagent (before incubation), </w:t>
            </w:r>
            <w:r w:rsidR="00DA3AE4">
              <w:rPr>
                <w:rFonts w:ascii="Times New Roman" w:hAnsi="Times New Roman"/>
                <w:sz w:val="22"/>
                <w:szCs w:val="22"/>
                <w:lang w:val="en-US"/>
              </w:rPr>
              <w:t>or after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incubation in </w:t>
            </w:r>
            <w:r w:rsidR="00DA3AE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the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detachment reagent (after incubation)</w:t>
            </w:r>
            <w:r w:rsidR="00DA3AE4">
              <w:rPr>
                <w:rFonts w:ascii="Times New Roman" w:hAnsi="Times New Roman"/>
                <w:sz w:val="22"/>
                <w:szCs w:val="22"/>
                <w:lang w:val="en-US"/>
              </w:rPr>
              <w:t>, or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8D515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at the end of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chymotrypsin </w:t>
            </w:r>
            <w:r w:rsidR="008D515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application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(after incubation +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chymo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  <w:r w:rsidR="00DA3AE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from the current level in the presence of amiloride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 Lines connect data</w:t>
            </w:r>
            <w:r w:rsidR="0026791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points </w:t>
            </w:r>
            <w:r w:rsidR="008D515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obtained in </w:t>
            </w:r>
            <w:r w:rsidR="00757168">
              <w:rPr>
                <w:rFonts w:ascii="Times New Roman" w:hAnsi="Times New Roman"/>
                <w:sz w:val="22"/>
                <w:szCs w:val="22"/>
                <w:lang w:val="en-US"/>
              </w:rPr>
              <w:t>each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individual oocyte. Mean</w:t>
            </w:r>
            <w:r w:rsidRPr="00163789">
              <w:rPr>
                <w:rFonts w:cstheme="minorHAnsi"/>
                <w:sz w:val="22"/>
                <w:szCs w:val="22"/>
                <w:lang w:val="en-US"/>
              </w:rPr>
              <w:t xml:space="preserve"> ±</w:t>
            </w:r>
            <w:r>
              <w:rPr>
                <w:rFonts w:cstheme="minorHAnsi"/>
                <w:sz w:val="22"/>
                <w:szCs w:val="22"/>
                <w:lang w:val="en-US"/>
              </w:rPr>
              <w:t xml:space="preserve"> SEM and individual data</w:t>
            </w:r>
            <w:r w:rsidR="0026791E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n-US"/>
              </w:rPr>
              <w:t xml:space="preserve">points are shown. Paired one-sided two-sample Wilcoxon Signed Rank test (n=6) with Bonferroni correction for multiple testing.  </w:t>
            </w:r>
          </w:p>
        </w:tc>
      </w:tr>
      <w:tr w:rsidR="00123983" w:rsidRPr="00DC0382" w14:paraId="07D5EB68" w14:textId="77777777" w:rsidTr="005C2E93">
        <w:tc>
          <w:tcPr>
            <w:tcW w:w="709" w:type="dxa"/>
          </w:tcPr>
          <w:p w14:paraId="52B8C273" w14:textId="77777777" w:rsidR="00123983" w:rsidRPr="00F8322E" w:rsidRDefault="00123983" w:rsidP="009577AF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lang w:val="en-GB"/>
              </w:rPr>
            </w:pP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(</w:t>
            </w:r>
            <w:r>
              <w:rPr>
                <w:rFonts w:ascii="Times New Roman" w:hAnsi="Times New Roman"/>
                <w:b/>
                <w:sz w:val="22"/>
                <w:lang w:val="en-GB"/>
              </w:rPr>
              <w:t>d, e</w:t>
            </w: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)</w:t>
            </w:r>
          </w:p>
        </w:tc>
        <w:tc>
          <w:tcPr>
            <w:tcW w:w="10065" w:type="dxa"/>
          </w:tcPr>
          <w:p w14:paraId="1508A606" w14:textId="7C6C96C3" w:rsidR="00123983" w:rsidRPr="00F8322E" w:rsidRDefault="00123983" w:rsidP="009577AF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Relative effect</w:t>
            </w:r>
            <w:r w:rsidR="008D5150">
              <w:rPr>
                <w:rFonts w:ascii="Times New Roman" w:hAnsi="Times New Roman"/>
                <w:sz w:val="22"/>
                <w:lang w:val="en-GB"/>
              </w:rPr>
              <w:t>s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 of </w:t>
            </w:r>
            <w:r w:rsidR="008D5150">
              <w:rPr>
                <w:rFonts w:ascii="Times New Roman" w:hAnsi="Times New Roman"/>
                <w:sz w:val="22"/>
                <w:lang w:val="en-GB"/>
              </w:rPr>
              <w:t xml:space="preserve">the </w:t>
            </w:r>
            <w:r>
              <w:rPr>
                <w:rFonts w:ascii="Times New Roman" w:hAnsi="Times New Roman"/>
                <w:sz w:val="22"/>
                <w:lang w:val="en-GB"/>
              </w:rPr>
              <w:t>cell detachment reagents (</w:t>
            </w:r>
            <w:r>
              <w:rPr>
                <w:rFonts w:ascii="Times New Roman" w:hAnsi="Times New Roman"/>
                <w:i/>
                <w:sz w:val="22"/>
                <w:lang w:val="en-GB"/>
              </w:rPr>
              <w:t>d</w:t>
            </w:r>
            <w:r>
              <w:rPr>
                <w:rFonts w:ascii="Times New Roman" w:hAnsi="Times New Roman"/>
                <w:sz w:val="22"/>
                <w:lang w:val="en-GB"/>
              </w:rPr>
              <w:t>) and chymotrypsin (</w:t>
            </w:r>
            <w:r>
              <w:rPr>
                <w:rFonts w:ascii="Times New Roman" w:hAnsi="Times New Roman"/>
                <w:i/>
                <w:sz w:val="22"/>
                <w:lang w:val="en-GB"/>
              </w:rPr>
              <w:t>e</w:t>
            </w:r>
            <w:r>
              <w:rPr>
                <w:rFonts w:ascii="Times New Roman" w:hAnsi="Times New Roman"/>
                <w:sz w:val="22"/>
                <w:lang w:val="en-GB"/>
              </w:rPr>
              <w:t>)</w:t>
            </w:r>
            <w:r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on </w:t>
            </w:r>
            <w:r w:rsidRPr="00504BF5">
              <w:rPr>
                <w:rFonts w:cstheme="minorHAnsi"/>
                <w:sz w:val="22"/>
                <w:szCs w:val="22"/>
              </w:rPr>
              <w:t>Δ</w:t>
            </w:r>
            <w:proofErr w:type="spellStart"/>
            <w:r w:rsidRPr="00504BF5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 w:rsidRPr="00C13622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ami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8D5150">
              <w:rPr>
                <w:rFonts w:ascii="Times New Roman" w:hAnsi="Times New Roman"/>
                <w:sz w:val="22"/>
                <w:szCs w:val="22"/>
                <w:lang w:val="en-US"/>
              </w:rPr>
              <w:t>calculated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from data shown in (</w:t>
            </w:r>
            <w:r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). The dotted line indicates a relative effect of one (no effect). Mean</w:t>
            </w:r>
            <w:r w:rsidRPr="00C13622">
              <w:rPr>
                <w:rFonts w:cstheme="minorHAnsi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SEM and individual datapoints are shown. Two-sided one-sample t-test with Bonferroni correction for multiple testing of logarithmic values.</w:t>
            </w:r>
          </w:p>
        </w:tc>
      </w:tr>
    </w:tbl>
    <w:p w14:paraId="34B4A33D" w14:textId="77777777" w:rsidR="00123983" w:rsidRPr="006C6739" w:rsidRDefault="00123983" w:rsidP="00123983">
      <w:pPr>
        <w:ind w:firstLine="0"/>
        <w:rPr>
          <w:lang w:val="en-GB"/>
        </w:rPr>
      </w:pPr>
    </w:p>
    <w:p w14:paraId="0EB5AC06" w14:textId="77777777" w:rsidR="00123983" w:rsidRDefault="00123983" w:rsidP="005C2E93">
      <w:pPr>
        <w:spacing w:line="240" w:lineRule="auto"/>
        <w:ind w:firstLine="0"/>
        <w:jc w:val="center"/>
        <w:rPr>
          <w:rFonts w:ascii="Times New Roman" w:hAnsi="Times New Roman"/>
          <w:b/>
          <w:lang w:val="en-GB"/>
        </w:rPr>
      </w:pPr>
      <w:r>
        <w:rPr>
          <w:rFonts w:ascii="Cambria" w:hAnsi="Cambria"/>
          <w:noProof/>
          <w:lang w:eastAsia="de-DE"/>
        </w:rPr>
        <w:drawing>
          <wp:inline distT="0" distB="0" distL="0" distR="0" wp14:anchorId="34EBD3FD" wp14:editId="4709FFDD">
            <wp:extent cx="6264000" cy="7198993"/>
            <wp:effectExtent l="0" t="0" r="3810" b="254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0" cy="719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BDCDB" w14:textId="6068B192" w:rsidR="00123983" w:rsidRPr="00F847C6" w:rsidRDefault="00B775F5" w:rsidP="00123983">
      <w:pPr>
        <w:spacing w:line="240" w:lineRule="auto"/>
        <w:ind w:firstLine="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 xml:space="preserve">Supplemental </w:t>
      </w:r>
      <w:r w:rsidR="00123983" w:rsidRPr="00F8322E">
        <w:rPr>
          <w:rFonts w:ascii="Times New Roman" w:hAnsi="Times New Roman"/>
          <w:b/>
          <w:lang w:val="en-GB"/>
        </w:rPr>
        <w:t>Fig</w:t>
      </w:r>
      <w:r w:rsidR="00F847C6">
        <w:rPr>
          <w:rFonts w:ascii="Times New Roman" w:hAnsi="Times New Roman"/>
          <w:b/>
          <w:lang w:val="en-GB"/>
        </w:rPr>
        <w:t>.</w:t>
      </w:r>
      <w:r w:rsidR="00123983" w:rsidRPr="00F8322E">
        <w:rPr>
          <w:rFonts w:ascii="Times New Roman" w:hAnsi="Times New Roman"/>
          <w:b/>
          <w:lang w:val="en-GB"/>
        </w:rPr>
        <w:t xml:space="preserve"> </w:t>
      </w:r>
      <w:r w:rsidR="00123983">
        <w:rPr>
          <w:rFonts w:ascii="Times New Roman" w:hAnsi="Times New Roman"/>
          <w:b/>
          <w:lang w:val="en-GB"/>
        </w:rPr>
        <w:t>S2</w:t>
      </w:r>
      <w:r w:rsidR="00123983" w:rsidRPr="00F8322E">
        <w:rPr>
          <w:rFonts w:ascii="Times New Roman" w:hAnsi="Times New Roman"/>
          <w:b/>
          <w:lang w:val="en-GB"/>
        </w:rPr>
        <w:t xml:space="preserve"> </w:t>
      </w:r>
      <w:r w:rsidR="00D96CCC">
        <w:rPr>
          <w:rFonts w:ascii="Times New Roman" w:hAnsi="Times New Roman"/>
          <w:b/>
          <w:lang w:val="en-GB"/>
        </w:rPr>
        <w:t xml:space="preserve">Similar </w:t>
      </w:r>
      <w:r w:rsidR="00E73BBB">
        <w:rPr>
          <w:rFonts w:ascii="Times New Roman" w:hAnsi="Times New Roman"/>
          <w:b/>
          <w:lang w:val="en-GB"/>
        </w:rPr>
        <w:t xml:space="preserve">APC </w:t>
      </w:r>
      <w:r w:rsidR="00D96CCC">
        <w:rPr>
          <w:rFonts w:ascii="Times New Roman" w:hAnsi="Times New Roman"/>
          <w:b/>
          <w:lang w:val="en-GB"/>
        </w:rPr>
        <w:t xml:space="preserve">recordings as shown in Fig. 4 were performed in an </w:t>
      </w:r>
      <w:r w:rsidR="00123983">
        <w:rPr>
          <w:rFonts w:ascii="Times New Roman" w:hAnsi="Times New Roman"/>
          <w:b/>
          <w:lang w:val="en-GB"/>
        </w:rPr>
        <w:t xml:space="preserve">additional </w:t>
      </w:r>
      <w:r w:rsidR="00E73BBB">
        <w:rPr>
          <w:rFonts w:ascii="Times New Roman" w:hAnsi="Times New Roman"/>
          <w:b/>
          <w:lang w:val="en-GB"/>
        </w:rPr>
        <w:t>batch</w:t>
      </w:r>
      <w:r w:rsidR="00123983">
        <w:rPr>
          <w:rFonts w:ascii="Times New Roman" w:hAnsi="Times New Roman"/>
          <w:b/>
          <w:lang w:val="en-GB"/>
        </w:rPr>
        <w:t xml:space="preserve"> of ENaC-HEK293 cells</w:t>
      </w:r>
      <w:r w:rsidR="00D96CCC">
        <w:rPr>
          <w:rFonts w:ascii="Times New Roman" w:hAnsi="Times New Roman"/>
          <w:b/>
          <w:lang w:val="en-GB"/>
        </w:rPr>
        <w:t xml:space="preserve"> and confirmed the suitability of th</w:t>
      </w:r>
      <w:r w:rsidR="0056490F">
        <w:rPr>
          <w:rFonts w:ascii="Times New Roman" w:hAnsi="Times New Roman"/>
          <w:b/>
          <w:lang w:val="en-GB"/>
        </w:rPr>
        <w:t>is method to detect stimulatory and inhibitory effects of known ENaC modulators on ENaC currents</w:t>
      </w:r>
    </w:p>
    <w:tbl>
      <w:tblPr>
        <w:tblStyle w:val="Tabellenraster"/>
        <w:tblW w:w="1756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0065"/>
        <w:gridCol w:w="6788"/>
      </w:tblGrid>
      <w:tr w:rsidR="00123983" w:rsidRPr="00DC0382" w14:paraId="6F7F607F" w14:textId="77777777" w:rsidTr="005C2E93">
        <w:tc>
          <w:tcPr>
            <w:tcW w:w="709" w:type="dxa"/>
          </w:tcPr>
          <w:p w14:paraId="0044AF61" w14:textId="77777777" w:rsidR="00123983" w:rsidRPr="00F8322E" w:rsidRDefault="00123983" w:rsidP="009577AF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lang w:val="en-GB"/>
              </w:rPr>
            </w:pP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(</w:t>
            </w:r>
            <w:r>
              <w:rPr>
                <w:rFonts w:ascii="Times New Roman" w:hAnsi="Times New Roman"/>
                <w:b/>
                <w:sz w:val="22"/>
                <w:lang w:val="en-GB"/>
              </w:rPr>
              <w:t>a-c</w:t>
            </w: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)</w:t>
            </w:r>
          </w:p>
        </w:tc>
        <w:tc>
          <w:tcPr>
            <w:tcW w:w="10065" w:type="dxa"/>
          </w:tcPr>
          <w:p w14:paraId="6608CC6A" w14:textId="370CFE6C" w:rsidR="00123983" w:rsidRDefault="00123983" w:rsidP="009577AF">
            <w:pPr>
              <w:spacing w:line="240" w:lineRule="auto"/>
              <w:ind w:firstLine="0"/>
              <w:rPr>
                <w:sz w:val="22"/>
                <w:szCs w:val="22"/>
                <w:lang w:val="en-GB"/>
              </w:rPr>
            </w:pPr>
            <w:r w:rsidRPr="00F07EF7">
              <w:rPr>
                <w:rFonts w:ascii="Times New Roman" w:hAnsi="Times New Roman"/>
                <w:i/>
                <w:sz w:val="22"/>
                <w:szCs w:val="22"/>
                <w:lang w:val="en-GB"/>
              </w:rPr>
              <w:t xml:space="preserve">Left panels: </w:t>
            </w:r>
            <w:r w:rsidRPr="00D61772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Representative </w:t>
            </w:r>
            <w:r w:rsidR="00E73BBB">
              <w:rPr>
                <w:rFonts w:ascii="Times New Roman" w:hAnsi="Times New Roman"/>
                <w:sz w:val="22"/>
                <w:szCs w:val="22"/>
                <w:lang w:val="en-GB"/>
              </w:rPr>
              <w:t>APC</w:t>
            </w:r>
            <w:r w:rsidRPr="00D61772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recordings</w:t>
            </w:r>
            <w:r w:rsidR="00E73BBB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obtained using a</w:t>
            </w:r>
            <w:r w:rsidR="0018438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multi-hole</w:t>
            </w:r>
            <w:r w:rsidR="00E73BBB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chip</w:t>
            </w:r>
            <w:r w:rsidR="0018438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</w:t>
            </w:r>
            <w:r w:rsidR="00FC0AA3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(4 holes per well, 4x S-Type; </w:t>
            </w:r>
            <w:proofErr w:type="spellStart"/>
            <w:r w:rsidR="00FC0AA3">
              <w:rPr>
                <w:rFonts w:ascii="Times New Roman" w:hAnsi="Times New Roman"/>
                <w:sz w:val="22"/>
                <w:szCs w:val="22"/>
                <w:lang w:val="en-GB"/>
              </w:rPr>
              <w:t>Nanion</w:t>
            </w:r>
            <w:proofErr w:type="spellEnd"/>
            <w:r w:rsidR="00FC0AA3">
              <w:rPr>
                <w:rFonts w:ascii="Times New Roman" w:hAnsi="Times New Roman"/>
                <w:sz w:val="22"/>
                <w:szCs w:val="22"/>
                <w:lang w:val="en-GB"/>
              </w:rPr>
              <w:t>, product no.: 22 2401)</w:t>
            </w:r>
            <w:r w:rsidRPr="00382182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. </w:t>
            </w:r>
            <w:r w:rsidRPr="00C13622">
              <w:rPr>
                <w:rFonts w:ascii="Times New Roman" w:hAnsi="Times New Roman"/>
                <w:sz w:val="22"/>
                <w:szCs w:val="22"/>
                <w:lang w:val="en-GB"/>
              </w:rPr>
              <w:t>Background colours and labels indicate bath solutions</w:t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 xml:space="preserve">. Measurements started with a </w:t>
            </w:r>
            <w:r w:rsidR="00E73BBB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similar solution exchange </w:t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 xml:space="preserve">protocol as described in Figure 2a, b. </w:t>
            </w:r>
            <w:r>
              <w:rPr>
                <w:sz w:val="22"/>
                <w:szCs w:val="22"/>
                <w:lang w:val="en-GB"/>
              </w:rPr>
              <w:t>Green indicates subsequent application of the small-molecule ENaC-activator S3969 (</w:t>
            </w:r>
            <w:r w:rsidRPr="00C13622">
              <w:rPr>
                <w:i/>
                <w:sz w:val="22"/>
                <w:szCs w:val="22"/>
                <w:lang w:val="en-GB"/>
              </w:rPr>
              <w:t>a</w:t>
            </w:r>
            <w:r>
              <w:rPr>
                <w:sz w:val="22"/>
                <w:szCs w:val="22"/>
                <w:lang w:val="en-GB"/>
              </w:rPr>
              <w:t>; S3969, 10 µM), the vehicle-control DMSO (</w:t>
            </w:r>
            <w:r>
              <w:rPr>
                <w:i/>
                <w:sz w:val="22"/>
                <w:szCs w:val="22"/>
                <w:lang w:val="en-GB"/>
              </w:rPr>
              <w:t xml:space="preserve">b; </w:t>
            </w:r>
            <w:r>
              <w:rPr>
                <w:sz w:val="22"/>
                <w:szCs w:val="22"/>
                <w:lang w:val="en-GB"/>
              </w:rPr>
              <w:t xml:space="preserve">DMSO, </w:t>
            </w:r>
            <w:r w:rsidR="00747DC9">
              <w:rPr>
                <w:sz w:val="22"/>
                <w:szCs w:val="22"/>
                <w:lang w:val="en-GB"/>
              </w:rPr>
              <w:t>0.01</w:t>
            </w:r>
            <w:r>
              <w:rPr>
                <w:sz w:val="22"/>
                <w:szCs w:val="22"/>
                <w:lang w:val="en-GB"/>
              </w:rPr>
              <w:t xml:space="preserve">% v/v), or </w:t>
            </w:r>
            <w:r w:rsidR="00E73BBB">
              <w:rPr>
                <w:sz w:val="22"/>
                <w:szCs w:val="22"/>
                <w:lang w:val="en-GB"/>
              </w:rPr>
              <w:t>the</w:t>
            </w:r>
            <w:r>
              <w:rPr>
                <w:sz w:val="22"/>
                <w:szCs w:val="22"/>
                <w:lang w:val="en-GB"/>
              </w:rPr>
              <w:t xml:space="preserve"> synthetic ENaC-inhibiting 11-mer peptide (</w:t>
            </w:r>
            <w:r>
              <w:rPr>
                <w:i/>
                <w:sz w:val="22"/>
                <w:szCs w:val="22"/>
                <w:lang w:val="en-GB"/>
              </w:rPr>
              <w:t>c;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C13622">
              <w:rPr>
                <w:rFonts w:cstheme="minorHAnsi"/>
                <w:sz w:val="22"/>
                <w:szCs w:val="22"/>
                <w:lang w:val="en-GB"/>
              </w:rPr>
              <w:t>γ</w:t>
            </w:r>
            <w:r>
              <w:rPr>
                <w:sz w:val="22"/>
                <w:szCs w:val="22"/>
                <w:lang w:val="en-GB"/>
              </w:rPr>
              <w:t xml:space="preserve">-11, 10 µM). Violet indicates application of amiloride </w:t>
            </w:r>
            <w:r w:rsidR="00E73BBB">
              <w:rPr>
                <w:sz w:val="22"/>
                <w:szCs w:val="22"/>
                <w:lang w:val="en-GB"/>
              </w:rPr>
              <w:t xml:space="preserve">at the end of the recording </w:t>
            </w:r>
            <w:r>
              <w:rPr>
                <w:sz w:val="22"/>
                <w:szCs w:val="22"/>
                <w:lang w:val="en-GB"/>
              </w:rPr>
              <w:t>(</w:t>
            </w:r>
            <w:proofErr w:type="spellStart"/>
            <w:r>
              <w:rPr>
                <w:sz w:val="22"/>
                <w:szCs w:val="22"/>
                <w:lang w:val="en-GB"/>
              </w:rPr>
              <w:t>ami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, 10 µM). </w:t>
            </w:r>
          </w:p>
          <w:p w14:paraId="7A96F6D7" w14:textId="43F1B3F4" w:rsidR="00123983" w:rsidRPr="00F8322E" w:rsidRDefault="00123983" w:rsidP="009577AF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 xml:space="preserve">Right panels: </w:t>
            </w:r>
            <w:r>
              <w:rPr>
                <w:sz w:val="22"/>
                <w:szCs w:val="22"/>
                <w:lang w:val="en-GB"/>
              </w:rPr>
              <w:t xml:space="preserve">Summary data from similar experiments as in the corresponding </w:t>
            </w:r>
            <w:r>
              <w:rPr>
                <w:i/>
                <w:sz w:val="22"/>
                <w:szCs w:val="22"/>
                <w:lang w:val="en-GB"/>
              </w:rPr>
              <w:t>left panel</w:t>
            </w:r>
            <w:r w:rsidR="00E73BBB">
              <w:rPr>
                <w:i/>
                <w:sz w:val="22"/>
                <w:szCs w:val="22"/>
                <w:lang w:val="en-GB"/>
              </w:rPr>
              <w:t>s</w:t>
            </w:r>
            <w:r>
              <w:rPr>
                <w:sz w:val="22"/>
                <w:szCs w:val="22"/>
                <w:lang w:val="en-GB"/>
              </w:rPr>
              <w:t xml:space="preserve">. Current levels were determined at the end of each phase, as described in Figure 2a, b. Two-sided, paired Student’s </w:t>
            </w:r>
            <w:r>
              <w:rPr>
                <w:i/>
                <w:sz w:val="22"/>
                <w:szCs w:val="22"/>
                <w:lang w:val="en-GB"/>
              </w:rPr>
              <w:t>t</w:t>
            </w:r>
            <w:r>
              <w:rPr>
                <w:sz w:val="22"/>
                <w:szCs w:val="22"/>
                <w:lang w:val="en-GB"/>
              </w:rPr>
              <w:t>-test (</w:t>
            </w:r>
            <w:r>
              <w:rPr>
                <w:i/>
                <w:sz w:val="22"/>
                <w:szCs w:val="22"/>
                <w:lang w:val="en-GB"/>
              </w:rPr>
              <w:t xml:space="preserve">a: </w:t>
            </w:r>
            <w:r>
              <w:rPr>
                <w:sz w:val="22"/>
                <w:szCs w:val="22"/>
                <w:lang w:val="en-GB"/>
              </w:rPr>
              <w:t xml:space="preserve">n=147, </w:t>
            </w:r>
            <w:r>
              <w:rPr>
                <w:i/>
                <w:sz w:val="22"/>
                <w:szCs w:val="22"/>
                <w:lang w:val="en-GB"/>
              </w:rPr>
              <w:t xml:space="preserve">b: </w:t>
            </w:r>
            <w:r>
              <w:rPr>
                <w:sz w:val="22"/>
                <w:szCs w:val="22"/>
                <w:lang w:val="en-GB"/>
              </w:rPr>
              <w:t xml:space="preserve">n=95, </w:t>
            </w:r>
            <w:r>
              <w:rPr>
                <w:i/>
                <w:sz w:val="22"/>
                <w:szCs w:val="22"/>
                <w:lang w:val="en-GB"/>
              </w:rPr>
              <w:t xml:space="preserve">c: </w:t>
            </w:r>
            <w:r>
              <w:rPr>
                <w:sz w:val="22"/>
                <w:szCs w:val="22"/>
                <w:lang w:val="en-GB"/>
              </w:rPr>
              <w:t>n=8</w:t>
            </w:r>
            <w:r w:rsidR="00E73BBB">
              <w:rPr>
                <w:sz w:val="22"/>
                <w:szCs w:val="22"/>
                <w:lang w:val="en-GB"/>
              </w:rPr>
              <w:t>2</w:t>
            </w:r>
            <w:r>
              <w:rPr>
                <w:sz w:val="22"/>
                <w:szCs w:val="22"/>
                <w:lang w:val="en-GB"/>
              </w:rPr>
              <w:t xml:space="preserve">). </w:t>
            </w:r>
          </w:p>
        </w:tc>
        <w:tc>
          <w:tcPr>
            <w:tcW w:w="6788" w:type="dxa"/>
          </w:tcPr>
          <w:p w14:paraId="0C8899C2" w14:textId="77777777" w:rsidR="00123983" w:rsidRPr="00F8322E" w:rsidRDefault="00123983" w:rsidP="009577AF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GB"/>
              </w:rPr>
            </w:pPr>
          </w:p>
        </w:tc>
      </w:tr>
      <w:tr w:rsidR="00123983" w:rsidRPr="00DC0382" w14:paraId="07E3FD36" w14:textId="77777777" w:rsidTr="005C2E93">
        <w:tc>
          <w:tcPr>
            <w:tcW w:w="709" w:type="dxa"/>
          </w:tcPr>
          <w:p w14:paraId="04A5CABF" w14:textId="77777777" w:rsidR="00123983" w:rsidRPr="00F8322E" w:rsidRDefault="00123983" w:rsidP="009577AF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lang w:val="en-GB"/>
              </w:rPr>
            </w:pP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lastRenderedPageBreak/>
              <w:t>(</w:t>
            </w:r>
            <w:r>
              <w:rPr>
                <w:rFonts w:ascii="Times New Roman" w:hAnsi="Times New Roman"/>
                <w:b/>
                <w:sz w:val="22"/>
                <w:lang w:val="en-GB"/>
              </w:rPr>
              <w:t>d, e</w:t>
            </w:r>
            <w:r w:rsidRPr="00F8322E">
              <w:rPr>
                <w:rFonts w:ascii="Times New Roman" w:hAnsi="Times New Roman"/>
                <w:b/>
                <w:sz w:val="22"/>
                <w:lang w:val="en-GB"/>
              </w:rPr>
              <w:t>)</w:t>
            </w:r>
          </w:p>
        </w:tc>
        <w:tc>
          <w:tcPr>
            <w:tcW w:w="10065" w:type="dxa"/>
          </w:tcPr>
          <w:p w14:paraId="675FB65C" w14:textId="0999A5F2" w:rsidR="00123983" w:rsidRPr="00F8322E" w:rsidRDefault="00123983" w:rsidP="009577AF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Absolute effect of S3969, DMSO</w:t>
            </w:r>
            <w:r w:rsidR="00361838">
              <w:rPr>
                <w:rFonts w:ascii="Times New Roman" w:hAnsi="Times New Roman"/>
                <w:sz w:val="22"/>
                <w:lang w:val="en-GB"/>
              </w:rPr>
              <w:t>,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 </w:t>
            </w:r>
            <w:r w:rsidR="00361838">
              <w:rPr>
                <w:rFonts w:ascii="Times New Roman" w:hAnsi="Times New Roman"/>
                <w:sz w:val="22"/>
                <w:lang w:val="en-GB"/>
              </w:rPr>
              <w:t>or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 </w:t>
            </w:r>
            <w:r w:rsidRPr="00C13622">
              <w:rPr>
                <w:rFonts w:cstheme="minorHAnsi"/>
                <w:sz w:val="22"/>
                <w:szCs w:val="22"/>
                <w:lang w:val="en-GB"/>
              </w:rPr>
              <w:t>γ</w:t>
            </w:r>
            <w:r>
              <w:rPr>
                <w:sz w:val="22"/>
                <w:szCs w:val="22"/>
                <w:lang w:val="en-GB"/>
              </w:rPr>
              <w:t>-11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 (</w:t>
            </w:r>
            <w:r>
              <w:rPr>
                <w:rFonts w:ascii="Times New Roman" w:hAnsi="Times New Roman"/>
                <w:i/>
                <w:sz w:val="22"/>
                <w:lang w:val="en-GB"/>
              </w:rPr>
              <w:t>d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, </w:t>
            </w:r>
            <w:r w:rsidRPr="00504BF5">
              <w:rPr>
                <w:rFonts w:cstheme="minorHAnsi"/>
                <w:sz w:val="22"/>
                <w:szCs w:val="22"/>
              </w:rPr>
              <w:t>Δ</w:t>
            </w:r>
            <w:proofErr w:type="spellStart"/>
            <w:r w:rsidRPr="00504BF5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compound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  <w:r w:rsidR="00361838">
              <w:rPr>
                <w:rFonts w:ascii="Times New Roman" w:hAnsi="Times New Roman"/>
                <w:sz w:val="22"/>
                <w:szCs w:val="22"/>
                <w:lang w:val="en-US"/>
              </w:rPr>
              <w:t>,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361838">
              <w:rPr>
                <w:rFonts w:ascii="Times New Roman" w:hAnsi="Times New Roman"/>
                <w:sz w:val="22"/>
                <w:szCs w:val="22"/>
                <w:lang w:val="en-US"/>
              </w:rPr>
              <w:t>or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subsequently applied amiloride </w:t>
            </w:r>
            <w:r>
              <w:rPr>
                <w:rFonts w:ascii="Times New Roman" w:hAnsi="Times New Roman"/>
                <w:sz w:val="22"/>
                <w:lang w:val="en-GB"/>
              </w:rPr>
              <w:t>(</w:t>
            </w:r>
            <w:r w:rsidR="00361838" w:rsidRPr="00361838">
              <w:rPr>
                <w:rFonts w:ascii="Times New Roman" w:hAnsi="Times New Roman"/>
                <w:i/>
                <w:iCs/>
                <w:sz w:val="22"/>
                <w:lang w:val="en-GB"/>
              </w:rPr>
              <w:t>e</w:t>
            </w:r>
            <w:r>
              <w:rPr>
                <w:rFonts w:ascii="Times New Roman" w:hAnsi="Times New Roman"/>
                <w:sz w:val="22"/>
                <w:lang w:val="en-GB"/>
              </w:rPr>
              <w:t xml:space="preserve">, </w:t>
            </w:r>
            <w:r w:rsidRPr="00504BF5">
              <w:rPr>
                <w:rFonts w:cstheme="minorHAnsi"/>
                <w:sz w:val="22"/>
                <w:szCs w:val="22"/>
              </w:rPr>
              <w:t>Δ</w:t>
            </w:r>
            <w:proofErr w:type="spellStart"/>
            <w:r w:rsidRPr="00504BF5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ami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) on currents </w:t>
            </w:r>
            <w:r w:rsidR="00361838">
              <w:rPr>
                <w:rFonts w:ascii="Times New Roman" w:hAnsi="Times New Roman"/>
                <w:sz w:val="22"/>
                <w:szCs w:val="22"/>
                <w:lang w:val="en-US"/>
              </w:rPr>
              <w:t>calculated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from data shown in (</w:t>
            </w:r>
            <w:r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a-</w:t>
            </w:r>
            <w:r w:rsidR="00361838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). Values were obtained as described in Figure 2c, d. The dotted line indicates an absolute effect of zero (no effect). Mean </w:t>
            </w:r>
            <w:r>
              <w:rPr>
                <w:rFonts w:asciiTheme="minorEastAsia" w:hAnsiTheme="minorEastAsia" w:cstheme="minorEastAsia" w:hint="eastAsia"/>
                <w:sz w:val="22"/>
                <w:szCs w:val="22"/>
                <w:lang w:val="en-US"/>
              </w:rPr>
              <w:t>±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SEM and individual datapoints are shown. Two-sided Student’s </w:t>
            </w:r>
            <w:r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t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-test.</w:t>
            </w:r>
          </w:p>
        </w:tc>
        <w:tc>
          <w:tcPr>
            <w:tcW w:w="6788" w:type="dxa"/>
          </w:tcPr>
          <w:p w14:paraId="5DE3D15E" w14:textId="77777777" w:rsidR="00123983" w:rsidRPr="00F8322E" w:rsidRDefault="00123983" w:rsidP="009577AF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GB"/>
              </w:rPr>
            </w:pPr>
          </w:p>
        </w:tc>
      </w:tr>
      <w:tr w:rsidR="00123983" w:rsidRPr="00DC0382" w14:paraId="378F44EB" w14:textId="77777777" w:rsidTr="005C2E93">
        <w:tc>
          <w:tcPr>
            <w:tcW w:w="709" w:type="dxa"/>
          </w:tcPr>
          <w:p w14:paraId="5075AFF9" w14:textId="77777777" w:rsidR="00123983" w:rsidRPr="00F8322E" w:rsidRDefault="00123983" w:rsidP="009577AF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lang w:val="en-GB"/>
              </w:rPr>
            </w:pPr>
            <w:r>
              <w:rPr>
                <w:rFonts w:ascii="Times New Roman" w:hAnsi="Times New Roman"/>
                <w:b/>
                <w:sz w:val="22"/>
                <w:lang w:val="en-GB"/>
              </w:rPr>
              <w:t>(f)</w:t>
            </w:r>
          </w:p>
        </w:tc>
        <w:tc>
          <w:tcPr>
            <w:tcW w:w="10065" w:type="dxa"/>
          </w:tcPr>
          <w:p w14:paraId="4DECB581" w14:textId="6D289693" w:rsidR="00123983" w:rsidRPr="00F8322E" w:rsidRDefault="00361838" w:rsidP="009577AF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GB"/>
              </w:rPr>
            </w:pPr>
            <w:r w:rsidRPr="00361838">
              <w:rPr>
                <w:rFonts w:ascii="Times New Roman" w:hAnsi="Times New Roman"/>
                <w:sz w:val="22"/>
                <w:lang w:val="en-GB"/>
              </w:rPr>
              <w:t>The ratio of successful recordings to all recordings in the respective experimental group</w:t>
            </w:r>
            <w:r w:rsidR="00123983">
              <w:rPr>
                <w:rFonts w:ascii="Times New Roman" w:hAnsi="Times New Roman"/>
                <w:sz w:val="22"/>
                <w:lang w:val="en-GB"/>
              </w:rPr>
              <w:t xml:space="preserve">, calculated as described in Figure </w:t>
            </w:r>
            <w:r>
              <w:rPr>
                <w:rFonts w:ascii="Times New Roman" w:hAnsi="Times New Roman"/>
                <w:sz w:val="22"/>
                <w:lang w:val="en-GB"/>
              </w:rPr>
              <w:t>4</w:t>
            </w:r>
            <w:r w:rsidR="00123983">
              <w:rPr>
                <w:rFonts w:ascii="Times New Roman" w:hAnsi="Times New Roman"/>
                <w:sz w:val="22"/>
                <w:lang w:val="en-GB"/>
              </w:rPr>
              <w:t xml:space="preserve">e. </w:t>
            </w:r>
            <w:r>
              <w:rPr>
                <w:rFonts w:ascii="Times New Roman" w:hAnsi="Times New Roman"/>
                <w:sz w:val="22"/>
                <w:lang w:val="en-GB"/>
              </w:rPr>
              <w:t>N</w:t>
            </w:r>
            <w:r w:rsidR="00123983">
              <w:rPr>
                <w:rFonts w:cstheme="minorHAnsi"/>
                <w:sz w:val="22"/>
                <w:szCs w:val="22"/>
                <w:lang w:val="en-GB"/>
              </w:rPr>
              <w:t>umber</w:t>
            </w:r>
            <w:r>
              <w:rPr>
                <w:rFonts w:cstheme="minorHAnsi"/>
                <w:sz w:val="22"/>
                <w:szCs w:val="22"/>
                <w:lang w:val="en-GB"/>
              </w:rPr>
              <w:t>s in white</w:t>
            </w:r>
            <w:r w:rsidR="00123983">
              <w:rPr>
                <w:rFonts w:cstheme="minorHAnsi"/>
                <w:sz w:val="22"/>
                <w:szCs w:val="22"/>
                <w:lang w:val="en-GB"/>
              </w:rPr>
              <w:t xml:space="preserve"> within each bar represent the number of successful recordings per group.</w:t>
            </w:r>
          </w:p>
        </w:tc>
        <w:tc>
          <w:tcPr>
            <w:tcW w:w="6788" w:type="dxa"/>
          </w:tcPr>
          <w:p w14:paraId="0CFBEBBC" w14:textId="77777777" w:rsidR="00123983" w:rsidRPr="00F8322E" w:rsidRDefault="00123983" w:rsidP="009577AF">
            <w:pPr>
              <w:spacing w:line="240" w:lineRule="auto"/>
              <w:ind w:firstLine="0"/>
              <w:rPr>
                <w:rFonts w:ascii="Times New Roman" w:hAnsi="Times New Roman"/>
                <w:sz w:val="22"/>
                <w:lang w:val="en-GB"/>
              </w:rPr>
            </w:pPr>
          </w:p>
        </w:tc>
      </w:tr>
    </w:tbl>
    <w:p w14:paraId="0E53B900" w14:textId="77777777" w:rsidR="00123983" w:rsidRDefault="00123983" w:rsidP="00123983">
      <w:pPr>
        <w:spacing w:line="240" w:lineRule="auto"/>
        <w:ind w:firstLine="0"/>
        <w:rPr>
          <w:rFonts w:ascii="Times New Roman" w:hAnsi="Times New Roman"/>
          <w:b/>
          <w:lang w:val="en-GB"/>
        </w:rPr>
      </w:pPr>
    </w:p>
    <w:p w14:paraId="3CECEF5F" w14:textId="4BFC4FBB" w:rsidR="00123983" w:rsidRDefault="00123983" w:rsidP="00123983">
      <w:pPr>
        <w:spacing w:after="160" w:line="259" w:lineRule="auto"/>
        <w:ind w:firstLine="0"/>
        <w:jc w:val="left"/>
        <w:rPr>
          <w:rFonts w:ascii="Times New Roman" w:hAnsi="Times New Roman"/>
          <w:b/>
          <w:lang w:val="en-GB"/>
        </w:rPr>
      </w:pPr>
    </w:p>
    <w:p w14:paraId="298B88E2" w14:textId="690F18AC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03325EC5" w14:textId="3E6A6EB4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1425BFA5" w14:textId="0735D5AA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3752A17E" w14:textId="780A243B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381CD3E2" w14:textId="44F96708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2EF28742" w14:textId="293BB14A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720D3434" w14:textId="7F98A44D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1DE41017" w14:textId="514A0E68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211793A2" w14:textId="20877E40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09033345" w14:textId="5AD2A59F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5E28B082" w14:textId="5A084CB5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0B73A1A9" w14:textId="6E0D8511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17B6D19E" w14:textId="5B94585D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650EC9F0" w14:textId="0365FA72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7A459D5C" w14:textId="5BB2CA3B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7505245A" w14:textId="6150989D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6BFBAC0E" w14:textId="310479F1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13C6D8E9" w14:textId="4E7C2BA0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0CA26FD2" w14:textId="4EA884D5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31FCCC67" w14:textId="4A3A49E8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393235DA" w14:textId="5648CD9A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42046BE1" w14:textId="3EAB75E6" w:rsidR="005C2E93" w:rsidRPr="005C2E93" w:rsidRDefault="005C2E93" w:rsidP="005C2E93">
      <w:pPr>
        <w:rPr>
          <w:rFonts w:ascii="Times New Roman" w:hAnsi="Times New Roman"/>
          <w:lang w:val="en-GB"/>
        </w:rPr>
      </w:pPr>
    </w:p>
    <w:p w14:paraId="52D6C641" w14:textId="77777777" w:rsidR="005C2E93" w:rsidRPr="005C2E93" w:rsidRDefault="005C2E93" w:rsidP="005C2E93">
      <w:pPr>
        <w:jc w:val="center"/>
        <w:rPr>
          <w:rFonts w:ascii="Times New Roman" w:hAnsi="Times New Roman"/>
          <w:lang w:val="en-GB"/>
        </w:rPr>
      </w:pPr>
    </w:p>
    <w:sectPr w:rsidR="005C2E93" w:rsidRPr="005C2E93" w:rsidSect="005C2E93">
      <w:footerReference w:type="default" r:id="rId10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5BA6C" w14:textId="77777777" w:rsidR="00030FE7" w:rsidRDefault="00030FE7">
      <w:pPr>
        <w:spacing w:line="240" w:lineRule="auto"/>
      </w:pPr>
      <w:r>
        <w:separator/>
      </w:r>
    </w:p>
  </w:endnote>
  <w:endnote w:type="continuationSeparator" w:id="0">
    <w:p w14:paraId="399333D0" w14:textId="77777777" w:rsidR="00030FE7" w:rsidRDefault="00030F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7349393"/>
      <w:docPartObj>
        <w:docPartGallery w:val="Page Numbers (Bottom of Page)"/>
        <w:docPartUnique/>
      </w:docPartObj>
    </w:sdtPr>
    <w:sdtEndPr/>
    <w:sdtContent>
      <w:p w14:paraId="0E00D3AA" w14:textId="1A667097" w:rsidR="00030FE7" w:rsidRDefault="00030FE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CC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559E0" w14:textId="77777777" w:rsidR="00030FE7" w:rsidRDefault="00030FE7">
      <w:pPr>
        <w:spacing w:line="240" w:lineRule="auto"/>
      </w:pPr>
      <w:r>
        <w:separator/>
      </w:r>
    </w:p>
  </w:footnote>
  <w:footnote w:type="continuationSeparator" w:id="0">
    <w:p w14:paraId="2078A32B" w14:textId="77777777" w:rsidR="00030FE7" w:rsidRDefault="00030FE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D53F7"/>
    <w:multiLevelType w:val="multilevel"/>
    <w:tmpl w:val="C16E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CC73FE"/>
    <w:multiLevelType w:val="multilevel"/>
    <w:tmpl w:val="5BAC2C88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7B0A7CC0"/>
    <w:multiLevelType w:val="hybridMultilevel"/>
    <w:tmpl w:val="28301460"/>
    <w:lvl w:ilvl="0" w:tplc="FF343CFE">
      <w:start w:val="1"/>
      <w:numFmt w:val="lowerRoman"/>
      <w:lvlText w:val="(%1)"/>
      <w:lvlJc w:val="left"/>
      <w:pPr>
        <w:ind w:left="111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flugers Archiv-Euro J Physiol with PMI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x95wa9krwxvjeperuvsv00sdsr2zx5savr&quot;&gt;nanion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4&lt;/item&gt;&lt;item&gt;36&lt;/item&gt;&lt;item&gt;37&lt;/item&gt;&lt;item&gt;38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/record-ids&gt;&lt;/item&gt;&lt;/Libraries&gt;"/>
  </w:docVars>
  <w:rsids>
    <w:rsidRoot w:val="00F8322E"/>
    <w:rsid w:val="0000177C"/>
    <w:rsid w:val="0000220E"/>
    <w:rsid w:val="000045B8"/>
    <w:rsid w:val="000066CF"/>
    <w:rsid w:val="00013A1C"/>
    <w:rsid w:val="0001509D"/>
    <w:rsid w:val="00020CCA"/>
    <w:rsid w:val="00023234"/>
    <w:rsid w:val="0002327D"/>
    <w:rsid w:val="00030FE7"/>
    <w:rsid w:val="00033462"/>
    <w:rsid w:val="000343B2"/>
    <w:rsid w:val="00035C54"/>
    <w:rsid w:val="00041552"/>
    <w:rsid w:val="000421D0"/>
    <w:rsid w:val="00042594"/>
    <w:rsid w:val="00051163"/>
    <w:rsid w:val="00052836"/>
    <w:rsid w:val="0006414B"/>
    <w:rsid w:val="000669B5"/>
    <w:rsid w:val="000776A3"/>
    <w:rsid w:val="0007786A"/>
    <w:rsid w:val="00080860"/>
    <w:rsid w:val="000837CA"/>
    <w:rsid w:val="00087BC6"/>
    <w:rsid w:val="00090D33"/>
    <w:rsid w:val="00094562"/>
    <w:rsid w:val="00095743"/>
    <w:rsid w:val="00095A7A"/>
    <w:rsid w:val="00097732"/>
    <w:rsid w:val="00097B53"/>
    <w:rsid w:val="000A18B4"/>
    <w:rsid w:val="000A34F9"/>
    <w:rsid w:val="000A4CCF"/>
    <w:rsid w:val="000A7DA1"/>
    <w:rsid w:val="000B0B7E"/>
    <w:rsid w:val="000B20D8"/>
    <w:rsid w:val="000B65AC"/>
    <w:rsid w:val="000C0070"/>
    <w:rsid w:val="000C08C9"/>
    <w:rsid w:val="000D6532"/>
    <w:rsid w:val="000D6776"/>
    <w:rsid w:val="000D6C5D"/>
    <w:rsid w:val="000E204F"/>
    <w:rsid w:val="000E5819"/>
    <w:rsid w:val="000F2587"/>
    <w:rsid w:val="000F25E7"/>
    <w:rsid w:val="000F45B5"/>
    <w:rsid w:val="001014C0"/>
    <w:rsid w:val="00101BEE"/>
    <w:rsid w:val="00111154"/>
    <w:rsid w:val="001115DE"/>
    <w:rsid w:val="00111C8F"/>
    <w:rsid w:val="001137AB"/>
    <w:rsid w:val="00120AD2"/>
    <w:rsid w:val="00121CCC"/>
    <w:rsid w:val="00123983"/>
    <w:rsid w:val="001267D1"/>
    <w:rsid w:val="00131262"/>
    <w:rsid w:val="00136B5E"/>
    <w:rsid w:val="00137855"/>
    <w:rsid w:val="001466E7"/>
    <w:rsid w:val="001556CC"/>
    <w:rsid w:val="00164302"/>
    <w:rsid w:val="00166B81"/>
    <w:rsid w:val="00167536"/>
    <w:rsid w:val="00170979"/>
    <w:rsid w:val="0018438C"/>
    <w:rsid w:val="00190642"/>
    <w:rsid w:val="001909C1"/>
    <w:rsid w:val="00195620"/>
    <w:rsid w:val="001A1C20"/>
    <w:rsid w:val="001A3A6B"/>
    <w:rsid w:val="001A42D0"/>
    <w:rsid w:val="001B71AF"/>
    <w:rsid w:val="001C0982"/>
    <w:rsid w:val="001C378A"/>
    <w:rsid w:val="001C6B39"/>
    <w:rsid w:val="001C7563"/>
    <w:rsid w:val="001D2AA7"/>
    <w:rsid w:val="001D2B28"/>
    <w:rsid w:val="001D3536"/>
    <w:rsid w:val="001E6419"/>
    <w:rsid w:val="001E653D"/>
    <w:rsid w:val="001E6CED"/>
    <w:rsid w:val="001F107E"/>
    <w:rsid w:val="001F21EE"/>
    <w:rsid w:val="001F37E9"/>
    <w:rsid w:val="00202B35"/>
    <w:rsid w:val="00206BFC"/>
    <w:rsid w:val="002121DF"/>
    <w:rsid w:val="0021413F"/>
    <w:rsid w:val="00223C85"/>
    <w:rsid w:val="00226011"/>
    <w:rsid w:val="002308DE"/>
    <w:rsid w:val="002327E0"/>
    <w:rsid w:val="00237D2A"/>
    <w:rsid w:val="0024386B"/>
    <w:rsid w:val="0024633B"/>
    <w:rsid w:val="00260136"/>
    <w:rsid w:val="00260BB3"/>
    <w:rsid w:val="0026791E"/>
    <w:rsid w:val="00270336"/>
    <w:rsid w:val="002715EC"/>
    <w:rsid w:val="00274A4E"/>
    <w:rsid w:val="002817A8"/>
    <w:rsid w:val="00290EDC"/>
    <w:rsid w:val="00296298"/>
    <w:rsid w:val="00297C95"/>
    <w:rsid w:val="002A0EBC"/>
    <w:rsid w:val="002A3AEC"/>
    <w:rsid w:val="002A42FA"/>
    <w:rsid w:val="002B450A"/>
    <w:rsid w:val="002C24CD"/>
    <w:rsid w:val="002C4C59"/>
    <w:rsid w:val="002D25CD"/>
    <w:rsid w:val="002D47E4"/>
    <w:rsid w:val="002E376F"/>
    <w:rsid w:val="002E41C7"/>
    <w:rsid w:val="002F0C1C"/>
    <w:rsid w:val="002F3611"/>
    <w:rsid w:val="002F59C1"/>
    <w:rsid w:val="00305E8F"/>
    <w:rsid w:val="00306458"/>
    <w:rsid w:val="003064EA"/>
    <w:rsid w:val="00313718"/>
    <w:rsid w:val="00314E12"/>
    <w:rsid w:val="0031675F"/>
    <w:rsid w:val="00324BB8"/>
    <w:rsid w:val="00335890"/>
    <w:rsid w:val="003415C4"/>
    <w:rsid w:val="00354077"/>
    <w:rsid w:val="00361838"/>
    <w:rsid w:val="003624C2"/>
    <w:rsid w:val="0036366D"/>
    <w:rsid w:val="0036548C"/>
    <w:rsid w:val="00366284"/>
    <w:rsid w:val="003712B4"/>
    <w:rsid w:val="0037292A"/>
    <w:rsid w:val="003761B4"/>
    <w:rsid w:val="0038104E"/>
    <w:rsid w:val="00386661"/>
    <w:rsid w:val="00390316"/>
    <w:rsid w:val="00391FC4"/>
    <w:rsid w:val="0039585B"/>
    <w:rsid w:val="003A676E"/>
    <w:rsid w:val="003A7524"/>
    <w:rsid w:val="003B51BE"/>
    <w:rsid w:val="003B6981"/>
    <w:rsid w:val="003B6C76"/>
    <w:rsid w:val="003C20FE"/>
    <w:rsid w:val="003C3A55"/>
    <w:rsid w:val="003D07C4"/>
    <w:rsid w:val="003D0916"/>
    <w:rsid w:val="003D6615"/>
    <w:rsid w:val="003D7D65"/>
    <w:rsid w:val="003D7ED2"/>
    <w:rsid w:val="003E4B3E"/>
    <w:rsid w:val="003E516C"/>
    <w:rsid w:val="003F12EF"/>
    <w:rsid w:val="003F7673"/>
    <w:rsid w:val="00401541"/>
    <w:rsid w:val="00404439"/>
    <w:rsid w:val="00412865"/>
    <w:rsid w:val="00431655"/>
    <w:rsid w:val="004363E9"/>
    <w:rsid w:val="004449AB"/>
    <w:rsid w:val="00446A65"/>
    <w:rsid w:val="00452079"/>
    <w:rsid w:val="00455F5E"/>
    <w:rsid w:val="00457BA8"/>
    <w:rsid w:val="004737B3"/>
    <w:rsid w:val="00483D5D"/>
    <w:rsid w:val="00493B63"/>
    <w:rsid w:val="0049690B"/>
    <w:rsid w:val="004A104A"/>
    <w:rsid w:val="004A12C5"/>
    <w:rsid w:val="004A4580"/>
    <w:rsid w:val="004A5EED"/>
    <w:rsid w:val="004A7981"/>
    <w:rsid w:val="004B43A0"/>
    <w:rsid w:val="004C0194"/>
    <w:rsid w:val="004C0301"/>
    <w:rsid w:val="004C63E9"/>
    <w:rsid w:val="004D2C74"/>
    <w:rsid w:val="004D4660"/>
    <w:rsid w:val="004D572F"/>
    <w:rsid w:val="004F29AA"/>
    <w:rsid w:val="004F29FA"/>
    <w:rsid w:val="00502F89"/>
    <w:rsid w:val="00504C53"/>
    <w:rsid w:val="00505DA5"/>
    <w:rsid w:val="00514E21"/>
    <w:rsid w:val="00526B93"/>
    <w:rsid w:val="005271DF"/>
    <w:rsid w:val="005350B5"/>
    <w:rsid w:val="005406B6"/>
    <w:rsid w:val="00541129"/>
    <w:rsid w:val="00544832"/>
    <w:rsid w:val="00547F0D"/>
    <w:rsid w:val="00555F63"/>
    <w:rsid w:val="00561025"/>
    <w:rsid w:val="005617C7"/>
    <w:rsid w:val="005628AE"/>
    <w:rsid w:val="005633A3"/>
    <w:rsid w:val="00563718"/>
    <w:rsid w:val="0056490F"/>
    <w:rsid w:val="00565241"/>
    <w:rsid w:val="005761B7"/>
    <w:rsid w:val="00581B2C"/>
    <w:rsid w:val="0058394D"/>
    <w:rsid w:val="00583A5E"/>
    <w:rsid w:val="00587517"/>
    <w:rsid w:val="005946B2"/>
    <w:rsid w:val="005A51E3"/>
    <w:rsid w:val="005B155B"/>
    <w:rsid w:val="005C2E93"/>
    <w:rsid w:val="005C303B"/>
    <w:rsid w:val="005D2EB7"/>
    <w:rsid w:val="005D4131"/>
    <w:rsid w:val="005E2C49"/>
    <w:rsid w:val="005F1BA2"/>
    <w:rsid w:val="006063B2"/>
    <w:rsid w:val="00606E45"/>
    <w:rsid w:val="0061011A"/>
    <w:rsid w:val="006178B9"/>
    <w:rsid w:val="006236B8"/>
    <w:rsid w:val="00625CAB"/>
    <w:rsid w:val="006270E7"/>
    <w:rsid w:val="0063088C"/>
    <w:rsid w:val="00631128"/>
    <w:rsid w:val="006322B1"/>
    <w:rsid w:val="006352DC"/>
    <w:rsid w:val="006412E0"/>
    <w:rsid w:val="006448D6"/>
    <w:rsid w:val="006450B2"/>
    <w:rsid w:val="00655757"/>
    <w:rsid w:val="0065719D"/>
    <w:rsid w:val="00660960"/>
    <w:rsid w:val="00664C6F"/>
    <w:rsid w:val="00673B89"/>
    <w:rsid w:val="00685B4E"/>
    <w:rsid w:val="006904C5"/>
    <w:rsid w:val="0069741D"/>
    <w:rsid w:val="006A5E34"/>
    <w:rsid w:val="006B059D"/>
    <w:rsid w:val="006B4025"/>
    <w:rsid w:val="006B5B67"/>
    <w:rsid w:val="006C6003"/>
    <w:rsid w:val="006C6739"/>
    <w:rsid w:val="006D0887"/>
    <w:rsid w:val="006D5B9C"/>
    <w:rsid w:val="006E1930"/>
    <w:rsid w:val="006E2A84"/>
    <w:rsid w:val="006E5D99"/>
    <w:rsid w:val="006F33BA"/>
    <w:rsid w:val="00702104"/>
    <w:rsid w:val="007045EF"/>
    <w:rsid w:val="00707F66"/>
    <w:rsid w:val="00714467"/>
    <w:rsid w:val="00714750"/>
    <w:rsid w:val="00716AA5"/>
    <w:rsid w:val="00733F65"/>
    <w:rsid w:val="007475F6"/>
    <w:rsid w:val="00747DC9"/>
    <w:rsid w:val="00751F72"/>
    <w:rsid w:val="00757168"/>
    <w:rsid w:val="00760217"/>
    <w:rsid w:val="00760962"/>
    <w:rsid w:val="00773987"/>
    <w:rsid w:val="00786CD5"/>
    <w:rsid w:val="00790601"/>
    <w:rsid w:val="00797EF0"/>
    <w:rsid w:val="007A1BB9"/>
    <w:rsid w:val="007A390D"/>
    <w:rsid w:val="007A5979"/>
    <w:rsid w:val="007A67B5"/>
    <w:rsid w:val="007B01EE"/>
    <w:rsid w:val="007B3865"/>
    <w:rsid w:val="007B7ED0"/>
    <w:rsid w:val="007C174A"/>
    <w:rsid w:val="007C2D27"/>
    <w:rsid w:val="007C3329"/>
    <w:rsid w:val="007D5759"/>
    <w:rsid w:val="007E0421"/>
    <w:rsid w:val="00801878"/>
    <w:rsid w:val="00801DBA"/>
    <w:rsid w:val="00805A74"/>
    <w:rsid w:val="00807BED"/>
    <w:rsid w:val="00807C7E"/>
    <w:rsid w:val="00826A46"/>
    <w:rsid w:val="00831E80"/>
    <w:rsid w:val="0083531F"/>
    <w:rsid w:val="008450BD"/>
    <w:rsid w:val="00852684"/>
    <w:rsid w:val="00861D8C"/>
    <w:rsid w:val="00866A1D"/>
    <w:rsid w:val="0086794E"/>
    <w:rsid w:val="008916F3"/>
    <w:rsid w:val="0089224F"/>
    <w:rsid w:val="008A09E8"/>
    <w:rsid w:val="008A2C8C"/>
    <w:rsid w:val="008B1721"/>
    <w:rsid w:val="008B48F4"/>
    <w:rsid w:val="008B54E9"/>
    <w:rsid w:val="008B6179"/>
    <w:rsid w:val="008C16F2"/>
    <w:rsid w:val="008D5150"/>
    <w:rsid w:val="008D5447"/>
    <w:rsid w:val="008E53AA"/>
    <w:rsid w:val="008F4B90"/>
    <w:rsid w:val="008F7C1B"/>
    <w:rsid w:val="0090450A"/>
    <w:rsid w:val="00904E7C"/>
    <w:rsid w:val="0090716A"/>
    <w:rsid w:val="00923CAE"/>
    <w:rsid w:val="00924894"/>
    <w:rsid w:val="009255DD"/>
    <w:rsid w:val="00925CF3"/>
    <w:rsid w:val="00925DFB"/>
    <w:rsid w:val="00932CEA"/>
    <w:rsid w:val="009338FC"/>
    <w:rsid w:val="00934C63"/>
    <w:rsid w:val="00936B9A"/>
    <w:rsid w:val="0094540C"/>
    <w:rsid w:val="00945BEE"/>
    <w:rsid w:val="00950988"/>
    <w:rsid w:val="00953FB8"/>
    <w:rsid w:val="00955C12"/>
    <w:rsid w:val="009577AF"/>
    <w:rsid w:val="00965D52"/>
    <w:rsid w:val="009703D2"/>
    <w:rsid w:val="009777A1"/>
    <w:rsid w:val="00981C4A"/>
    <w:rsid w:val="00983400"/>
    <w:rsid w:val="00985485"/>
    <w:rsid w:val="00985D43"/>
    <w:rsid w:val="00986ECA"/>
    <w:rsid w:val="00991299"/>
    <w:rsid w:val="0099488E"/>
    <w:rsid w:val="0099700C"/>
    <w:rsid w:val="009A0535"/>
    <w:rsid w:val="009A1600"/>
    <w:rsid w:val="009A400D"/>
    <w:rsid w:val="009A68F1"/>
    <w:rsid w:val="009C4100"/>
    <w:rsid w:val="009E2F21"/>
    <w:rsid w:val="00A009B9"/>
    <w:rsid w:val="00A0427F"/>
    <w:rsid w:val="00A06420"/>
    <w:rsid w:val="00A077A6"/>
    <w:rsid w:val="00A16AE3"/>
    <w:rsid w:val="00A17D81"/>
    <w:rsid w:val="00A23DB9"/>
    <w:rsid w:val="00A34A13"/>
    <w:rsid w:val="00A35851"/>
    <w:rsid w:val="00A505B5"/>
    <w:rsid w:val="00A53DBD"/>
    <w:rsid w:val="00A54457"/>
    <w:rsid w:val="00A5675B"/>
    <w:rsid w:val="00A57013"/>
    <w:rsid w:val="00A66510"/>
    <w:rsid w:val="00A74683"/>
    <w:rsid w:val="00A822A4"/>
    <w:rsid w:val="00A87791"/>
    <w:rsid w:val="00A90DC1"/>
    <w:rsid w:val="00A91FB4"/>
    <w:rsid w:val="00A96929"/>
    <w:rsid w:val="00AA183C"/>
    <w:rsid w:val="00AA312D"/>
    <w:rsid w:val="00AA4755"/>
    <w:rsid w:val="00AA5C6A"/>
    <w:rsid w:val="00AB21F3"/>
    <w:rsid w:val="00AB3CBE"/>
    <w:rsid w:val="00AB56EB"/>
    <w:rsid w:val="00AB78E7"/>
    <w:rsid w:val="00AC0807"/>
    <w:rsid w:val="00AD1CE3"/>
    <w:rsid w:val="00AD3B59"/>
    <w:rsid w:val="00AE5DEA"/>
    <w:rsid w:val="00AE72C2"/>
    <w:rsid w:val="00AE7ADE"/>
    <w:rsid w:val="00AF2E47"/>
    <w:rsid w:val="00AF59C9"/>
    <w:rsid w:val="00B00143"/>
    <w:rsid w:val="00B0062F"/>
    <w:rsid w:val="00B0281F"/>
    <w:rsid w:val="00B02A85"/>
    <w:rsid w:val="00B133EB"/>
    <w:rsid w:val="00B16079"/>
    <w:rsid w:val="00B161F2"/>
    <w:rsid w:val="00B17E48"/>
    <w:rsid w:val="00B239CA"/>
    <w:rsid w:val="00B3578A"/>
    <w:rsid w:val="00B370F0"/>
    <w:rsid w:val="00B406E5"/>
    <w:rsid w:val="00B40CE0"/>
    <w:rsid w:val="00B40DFF"/>
    <w:rsid w:val="00B4312F"/>
    <w:rsid w:val="00B43BE6"/>
    <w:rsid w:val="00B4692B"/>
    <w:rsid w:val="00B47777"/>
    <w:rsid w:val="00B5241E"/>
    <w:rsid w:val="00B52C2F"/>
    <w:rsid w:val="00B52F22"/>
    <w:rsid w:val="00B606B2"/>
    <w:rsid w:val="00B62526"/>
    <w:rsid w:val="00B657C5"/>
    <w:rsid w:val="00B678BE"/>
    <w:rsid w:val="00B76637"/>
    <w:rsid w:val="00B775F5"/>
    <w:rsid w:val="00B90706"/>
    <w:rsid w:val="00B95F9B"/>
    <w:rsid w:val="00B96CED"/>
    <w:rsid w:val="00BA295D"/>
    <w:rsid w:val="00BB0331"/>
    <w:rsid w:val="00BB2A79"/>
    <w:rsid w:val="00BC1904"/>
    <w:rsid w:val="00BC47D4"/>
    <w:rsid w:val="00BC62B7"/>
    <w:rsid w:val="00BD11A8"/>
    <w:rsid w:val="00BD4074"/>
    <w:rsid w:val="00BE1848"/>
    <w:rsid w:val="00BE3618"/>
    <w:rsid w:val="00BE3A62"/>
    <w:rsid w:val="00BE3EE1"/>
    <w:rsid w:val="00BE5BA2"/>
    <w:rsid w:val="00BF01E5"/>
    <w:rsid w:val="00BF55A4"/>
    <w:rsid w:val="00BF6DF5"/>
    <w:rsid w:val="00C12680"/>
    <w:rsid w:val="00C20F88"/>
    <w:rsid w:val="00C37CA9"/>
    <w:rsid w:val="00C40873"/>
    <w:rsid w:val="00C40DB4"/>
    <w:rsid w:val="00C4473F"/>
    <w:rsid w:val="00C465FA"/>
    <w:rsid w:val="00C53127"/>
    <w:rsid w:val="00C57FD6"/>
    <w:rsid w:val="00C61C55"/>
    <w:rsid w:val="00C70BBC"/>
    <w:rsid w:val="00C82286"/>
    <w:rsid w:val="00C916AB"/>
    <w:rsid w:val="00C979A2"/>
    <w:rsid w:val="00CB4B53"/>
    <w:rsid w:val="00CC17D8"/>
    <w:rsid w:val="00CD015A"/>
    <w:rsid w:val="00CE4742"/>
    <w:rsid w:val="00CF064D"/>
    <w:rsid w:val="00CF201A"/>
    <w:rsid w:val="00CF7374"/>
    <w:rsid w:val="00D06864"/>
    <w:rsid w:val="00D07FD8"/>
    <w:rsid w:val="00D13814"/>
    <w:rsid w:val="00D1540C"/>
    <w:rsid w:val="00D23ECD"/>
    <w:rsid w:val="00D2420E"/>
    <w:rsid w:val="00D245D7"/>
    <w:rsid w:val="00D30DB7"/>
    <w:rsid w:val="00D347F0"/>
    <w:rsid w:val="00D400A7"/>
    <w:rsid w:val="00D429A8"/>
    <w:rsid w:val="00D443E8"/>
    <w:rsid w:val="00D44682"/>
    <w:rsid w:val="00D53796"/>
    <w:rsid w:val="00D538B9"/>
    <w:rsid w:val="00D558B5"/>
    <w:rsid w:val="00D56A42"/>
    <w:rsid w:val="00D636B1"/>
    <w:rsid w:val="00D757ED"/>
    <w:rsid w:val="00D7625A"/>
    <w:rsid w:val="00D815A0"/>
    <w:rsid w:val="00D84CE1"/>
    <w:rsid w:val="00D86DE4"/>
    <w:rsid w:val="00D95EC7"/>
    <w:rsid w:val="00D96CCC"/>
    <w:rsid w:val="00D970FE"/>
    <w:rsid w:val="00DA3AE4"/>
    <w:rsid w:val="00DA51C9"/>
    <w:rsid w:val="00DA5607"/>
    <w:rsid w:val="00DC0382"/>
    <w:rsid w:val="00DC16CD"/>
    <w:rsid w:val="00DC738C"/>
    <w:rsid w:val="00DC750F"/>
    <w:rsid w:val="00DD1B2C"/>
    <w:rsid w:val="00DD3EBF"/>
    <w:rsid w:val="00DD4953"/>
    <w:rsid w:val="00DD4F25"/>
    <w:rsid w:val="00DE0B0B"/>
    <w:rsid w:val="00DE316A"/>
    <w:rsid w:val="00DE6BFE"/>
    <w:rsid w:val="00DF1133"/>
    <w:rsid w:val="00DF1C3F"/>
    <w:rsid w:val="00DF288A"/>
    <w:rsid w:val="00DF2E03"/>
    <w:rsid w:val="00DF4DE1"/>
    <w:rsid w:val="00E240C8"/>
    <w:rsid w:val="00E328BB"/>
    <w:rsid w:val="00E36F68"/>
    <w:rsid w:val="00E37C09"/>
    <w:rsid w:val="00E37EB6"/>
    <w:rsid w:val="00E415C7"/>
    <w:rsid w:val="00E4184B"/>
    <w:rsid w:val="00E458F7"/>
    <w:rsid w:val="00E556E7"/>
    <w:rsid w:val="00E5676E"/>
    <w:rsid w:val="00E568F9"/>
    <w:rsid w:val="00E603D2"/>
    <w:rsid w:val="00E62ACB"/>
    <w:rsid w:val="00E64382"/>
    <w:rsid w:val="00E669A6"/>
    <w:rsid w:val="00E6705B"/>
    <w:rsid w:val="00E73BBB"/>
    <w:rsid w:val="00E777B2"/>
    <w:rsid w:val="00E801C7"/>
    <w:rsid w:val="00E82357"/>
    <w:rsid w:val="00E82BDC"/>
    <w:rsid w:val="00EA11C3"/>
    <w:rsid w:val="00EA671C"/>
    <w:rsid w:val="00EB296D"/>
    <w:rsid w:val="00EB4C7E"/>
    <w:rsid w:val="00EC6514"/>
    <w:rsid w:val="00EC69B5"/>
    <w:rsid w:val="00EE4A14"/>
    <w:rsid w:val="00EE6A4A"/>
    <w:rsid w:val="00EF0E70"/>
    <w:rsid w:val="00EF27EA"/>
    <w:rsid w:val="00EF33FF"/>
    <w:rsid w:val="00EF48F4"/>
    <w:rsid w:val="00F0061E"/>
    <w:rsid w:val="00F03C3C"/>
    <w:rsid w:val="00F14538"/>
    <w:rsid w:val="00F243AC"/>
    <w:rsid w:val="00F3488C"/>
    <w:rsid w:val="00F362DC"/>
    <w:rsid w:val="00F41C16"/>
    <w:rsid w:val="00F440AB"/>
    <w:rsid w:val="00F44DB6"/>
    <w:rsid w:val="00F4708B"/>
    <w:rsid w:val="00F50B07"/>
    <w:rsid w:val="00F612AD"/>
    <w:rsid w:val="00F6495C"/>
    <w:rsid w:val="00F70C3F"/>
    <w:rsid w:val="00F7227C"/>
    <w:rsid w:val="00F73EB8"/>
    <w:rsid w:val="00F81D3F"/>
    <w:rsid w:val="00F831A3"/>
    <w:rsid w:val="00F8322E"/>
    <w:rsid w:val="00F847C6"/>
    <w:rsid w:val="00F87099"/>
    <w:rsid w:val="00F95048"/>
    <w:rsid w:val="00FA0668"/>
    <w:rsid w:val="00FC04A1"/>
    <w:rsid w:val="00FC0AA3"/>
    <w:rsid w:val="00FC380B"/>
    <w:rsid w:val="00FC5FD2"/>
    <w:rsid w:val="00FC681C"/>
    <w:rsid w:val="00FD04A3"/>
    <w:rsid w:val="00FD72BE"/>
    <w:rsid w:val="00FD74AB"/>
    <w:rsid w:val="00FE1CEE"/>
    <w:rsid w:val="00FE2273"/>
    <w:rsid w:val="00FE3F6A"/>
    <w:rsid w:val="00FF23AF"/>
    <w:rsid w:val="00FF5224"/>
    <w:rsid w:val="00FF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D8D8E8F"/>
  <w15:chartTrackingRefBased/>
  <w15:docId w15:val="{57952E8A-2921-4BB4-AFB1-5ACFE644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322E"/>
    <w:pPr>
      <w:spacing w:after="0" w:line="480" w:lineRule="auto"/>
      <w:ind w:firstLine="397"/>
      <w:jc w:val="both"/>
    </w:pPr>
    <w:rPr>
      <w:rFonts w:eastAsiaTheme="minorEastAsia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8322E"/>
    <w:pPr>
      <w:keepNext/>
      <w:spacing w:before="240" w:after="60"/>
      <w:ind w:firstLine="0"/>
      <w:outlineLvl w:val="0"/>
    </w:pPr>
    <w:rPr>
      <w:rFonts w:ascii="Times New Roman" w:eastAsiaTheme="majorEastAsia" w:hAnsi="Times New Roman"/>
      <w:b/>
      <w:bCs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8322E"/>
    <w:pPr>
      <w:keepNext/>
      <w:spacing w:before="360" w:after="240"/>
      <w:ind w:firstLine="0"/>
      <w:outlineLvl w:val="1"/>
    </w:pPr>
    <w:rPr>
      <w:rFonts w:ascii="Times New Roman" w:eastAsiaTheme="majorEastAsia" w:hAnsi="Times New Roman"/>
      <w:b/>
      <w:bCs/>
      <w:i/>
      <w:iCs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8322E"/>
    <w:pPr>
      <w:keepNext/>
      <w:spacing w:before="240" w:after="60"/>
      <w:ind w:firstLine="0"/>
      <w:outlineLvl w:val="2"/>
    </w:pPr>
    <w:rPr>
      <w:rFonts w:ascii="Times New Roman" w:eastAsiaTheme="majorEastAsia" w:hAnsi="Times New Roman"/>
      <w:bCs/>
      <w:i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32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32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322E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322E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322E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32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322E"/>
    <w:rPr>
      <w:rFonts w:ascii="Times New Roman" w:eastAsiaTheme="majorEastAsia" w:hAnsi="Times New Roman" w:cs="Times New Roman"/>
      <w:b/>
      <w:bCs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8322E"/>
    <w:rPr>
      <w:rFonts w:ascii="Times New Roman" w:eastAsiaTheme="majorEastAsia" w:hAnsi="Times New Roman" w:cs="Times New Roman"/>
      <w:b/>
      <w:bCs/>
      <w:i/>
      <w:iCs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8322E"/>
    <w:rPr>
      <w:rFonts w:ascii="Times New Roman" w:eastAsiaTheme="majorEastAsia" w:hAnsi="Times New Roman" w:cs="Times New Roman"/>
      <w:bCs/>
      <w:i/>
      <w:sz w:val="24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322E"/>
    <w:rPr>
      <w:rFonts w:eastAsiaTheme="minorEastAsia" w:cs="Times New Roman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8322E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8322E"/>
    <w:rPr>
      <w:rFonts w:eastAsiaTheme="minorEastAsia" w:cs="Times New Roman"/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8322E"/>
    <w:rPr>
      <w:rFonts w:eastAsiaTheme="minorEastAsia" w:cs="Times New Roman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8322E"/>
    <w:rPr>
      <w:rFonts w:eastAsiaTheme="minorEastAsia" w:cs="Times New Roman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8322E"/>
    <w:rPr>
      <w:rFonts w:asciiTheme="majorHAnsi" w:eastAsiaTheme="majorEastAsia" w:hAnsiTheme="majorHAnsi" w:cs="Times New Roman"/>
    </w:rPr>
  </w:style>
  <w:style w:type="character" w:customStyle="1" w:styleId="Heading1Char">
    <w:name w:val="Heading 1 Char"/>
    <w:basedOn w:val="Absatz-Standardschriftart"/>
    <w:uiPriority w:val="9"/>
    <w:rsid w:val="00F8322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sid w:val="00F8322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sid w:val="00F8322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sid w:val="00F8322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sid w:val="00F8322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sid w:val="00F8322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sid w:val="00F8322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sid w:val="00F8322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sid w:val="00F8322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bsatz-Standardschriftart"/>
    <w:uiPriority w:val="10"/>
    <w:rsid w:val="00F8322E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sid w:val="00F8322E"/>
    <w:rPr>
      <w:sz w:val="24"/>
      <w:szCs w:val="24"/>
    </w:rPr>
  </w:style>
  <w:style w:type="character" w:customStyle="1" w:styleId="QuoteChar">
    <w:name w:val="Quote Char"/>
    <w:uiPriority w:val="29"/>
    <w:rsid w:val="00F8322E"/>
    <w:rPr>
      <w:i/>
    </w:rPr>
  </w:style>
  <w:style w:type="character" w:customStyle="1" w:styleId="IntenseQuoteChar">
    <w:name w:val="Intense Quote Char"/>
    <w:uiPriority w:val="30"/>
    <w:rsid w:val="00F8322E"/>
    <w:rPr>
      <w:i/>
    </w:rPr>
  </w:style>
  <w:style w:type="character" w:customStyle="1" w:styleId="HeaderChar">
    <w:name w:val="Header Char"/>
    <w:basedOn w:val="Absatz-Standardschriftart"/>
    <w:uiPriority w:val="99"/>
    <w:rsid w:val="00F8322E"/>
  </w:style>
  <w:style w:type="character" w:customStyle="1" w:styleId="FooterChar">
    <w:name w:val="Footer Char"/>
    <w:basedOn w:val="Absatz-Standardschriftart"/>
    <w:uiPriority w:val="99"/>
    <w:rsid w:val="00F8322E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8322E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F8322E"/>
  </w:style>
  <w:style w:type="table" w:customStyle="1" w:styleId="TableGridLight1">
    <w:name w:val="Table Grid Light1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NormaleTabelle"/>
    <w:uiPriority w:val="5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rsid w:val="00F8322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8322E"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sid w:val="00F8322E"/>
    <w:rPr>
      <w:rFonts w:eastAsiaTheme="minorEastAsia" w:cs="Times New Roman"/>
      <w:sz w:val="18"/>
      <w:szCs w:val="24"/>
    </w:rPr>
  </w:style>
  <w:style w:type="character" w:styleId="Funotenzeichen">
    <w:name w:val="footnote reference"/>
    <w:basedOn w:val="Absatz-Standardschriftart"/>
    <w:uiPriority w:val="99"/>
    <w:unhideWhenUsed/>
    <w:rsid w:val="00F8322E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F8322E"/>
    <w:pPr>
      <w:spacing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sid w:val="00F8322E"/>
    <w:rPr>
      <w:rFonts w:eastAsiaTheme="minorEastAsia" w:cs="Times New Roman"/>
      <w:sz w:val="20"/>
      <w:szCs w:val="24"/>
    </w:rPr>
  </w:style>
  <w:style w:type="character" w:styleId="Endnotenzeichen">
    <w:name w:val="endnote reference"/>
    <w:basedOn w:val="Absatz-Standardschriftart"/>
    <w:uiPriority w:val="99"/>
    <w:semiHidden/>
    <w:unhideWhenUsed/>
    <w:rsid w:val="00F8322E"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rsid w:val="00F8322E"/>
    <w:pPr>
      <w:spacing w:after="57"/>
      <w:ind w:firstLine="0"/>
    </w:pPr>
  </w:style>
  <w:style w:type="paragraph" w:styleId="Verzeichnis2">
    <w:name w:val="toc 2"/>
    <w:basedOn w:val="Standard"/>
    <w:next w:val="Standard"/>
    <w:uiPriority w:val="39"/>
    <w:unhideWhenUsed/>
    <w:rsid w:val="00F8322E"/>
    <w:pPr>
      <w:spacing w:after="57"/>
      <w:ind w:left="283" w:firstLine="0"/>
    </w:pPr>
  </w:style>
  <w:style w:type="paragraph" w:styleId="Verzeichnis3">
    <w:name w:val="toc 3"/>
    <w:basedOn w:val="Standard"/>
    <w:next w:val="Standard"/>
    <w:uiPriority w:val="39"/>
    <w:unhideWhenUsed/>
    <w:rsid w:val="00F8322E"/>
    <w:pPr>
      <w:spacing w:after="57"/>
      <w:ind w:left="567" w:firstLine="0"/>
    </w:pPr>
  </w:style>
  <w:style w:type="paragraph" w:styleId="Verzeichnis4">
    <w:name w:val="toc 4"/>
    <w:basedOn w:val="Standard"/>
    <w:next w:val="Standard"/>
    <w:uiPriority w:val="39"/>
    <w:unhideWhenUsed/>
    <w:rsid w:val="00F8322E"/>
    <w:pPr>
      <w:spacing w:after="57"/>
      <w:ind w:left="850" w:firstLine="0"/>
    </w:pPr>
  </w:style>
  <w:style w:type="paragraph" w:styleId="Verzeichnis5">
    <w:name w:val="toc 5"/>
    <w:basedOn w:val="Standard"/>
    <w:next w:val="Standard"/>
    <w:uiPriority w:val="39"/>
    <w:unhideWhenUsed/>
    <w:rsid w:val="00F8322E"/>
    <w:pPr>
      <w:spacing w:after="57"/>
      <w:ind w:left="1134" w:firstLine="0"/>
    </w:pPr>
  </w:style>
  <w:style w:type="paragraph" w:styleId="Verzeichnis6">
    <w:name w:val="toc 6"/>
    <w:basedOn w:val="Standard"/>
    <w:next w:val="Standard"/>
    <w:uiPriority w:val="39"/>
    <w:unhideWhenUsed/>
    <w:rsid w:val="00F8322E"/>
    <w:pPr>
      <w:spacing w:after="57"/>
      <w:ind w:left="1417" w:firstLine="0"/>
    </w:pPr>
  </w:style>
  <w:style w:type="paragraph" w:styleId="Verzeichnis7">
    <w:name w:val="toc 7"/>
    <w:basedOn w:val="Standard"/>
    <w:next w:val="Standard"/>
    <w:uiPriority w:val="39"/>
    <w:unhideWhenUsed/>
    <w:rsid w:val="00F8322E"/>
    <w:pPr>
      <w:spacing w:after="57"/>
      <w:ind w:left="1701" w:firstLine="0"/>
    </w:pPr>
  </w:style>
  <w:style w:type="paragraph" w:styleId="Verzeichnis8">
    <w:name w:val="toc 8"/>
    <w:basedOn w:val="Standard"/>
    <w:next w:val="Standard"/>
    <w:uiPriority w:val="39"/>
    <w:unhideWhenUsed/>
    <w:rsid w:val="00F8322E"/>
    <w:pPr>
      <w:spacing w:after="57"/>
      <w:ind w:left="1984" w:firstLine="0"/>
    </w:pPr>
  </w:style>
  <w:style w:type="paragraph" w:styleId="Verzeichnis9">
    <w:name w:val="toc 9"/>
    <w:basedOn w:val="Standard"/>
    <w:next w:val="Standard"/>
    <w:uiPriority w:val="39"/>
    <w:unhideWhenUsed/>
    <w:rsid w:val="00F8322E"/>
    <w:pPr>
      <w:spacing w:after="57"/>
      <w:ind w:left="2268" w:firstLine="0"/>
    </w:pPr>
  </w:style>
  <w:style w:type="paragraph" w:styleId="Abbildungsverzeichnis">
    <w:name w:val="table of figures"/>
    <w:basedOn w:val="Standard"/>
    <w:next w:val="Standard"/>
    <w:uiPriority w:val="99"/>
    <w:unhideWhenUsed/>
    <w:rsid w:val="00F8322E"/>
  </w:style>
  <w:style w:type="paragraph" w:styleId="Titel">
    <w:name w:val="Title"/>
    <w:basedOn w:val="Standard"/>
    <w:next w:val="Standard"/>
    <w:link w:val="TitelZchn"/>
    <w:uiPriority w:val="10"/>
    <w:qFormat/>
    <w:rsid w:val="00F8322E"/>
    <w:pPr>
      <w:spacing w:before="240" w:after="60"/>
      <w:ind w:firstLine="0"/>
      <w:jc w:val="center"/>
      <w:outlineLvl w:val="0"/>
    </w:pPr>
    <w:rPr>
      <w:rFonts w:ascii="Times New Roman" w:eastAsiaTheme="majorEastAsia" w:hAnsi="Times New Roman"/>
      <w:b/>
      <w:bCs/>
      <w:sz w:val="28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F8322E"/>
    <w:rPr>
      <w:rFonts w:ascii="Times New Roman" w:eastAsiaTheme="majorEastAsia" w:hAnsi="Times New Roman" w:cs="Times New Roman"/>
      <w:b/>
      <w:bCs/>
      <w:sz w:val="28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832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8322E"/>
    <w:rPr>
      <w:rFonts w:asciiTheme="majorHAnsi" w:eastAsiaTheme="majorEastAsia" w:hAnsiTheme="majorHAnsi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F8322E"/>
    <w:rPr>
      <w:b/>
      <w:bCs/>
    </w:rPr>
  </w:style>
  <w:style w:type="character" w:styleId="Hervorhebung">
    <w:name w:val="Emphasis"/>
    <w:basedOn w:val="Absatz-Standardschriftart"/>
    <w:uiPriority w:val="20"/>
    <w:qFormat/>
    <w:rsid w:val="00F8322E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F8322E"/>
    <w:rPr>
      <w:szCs w:val="32"/>
    </w:rPr>
  </w:style>
  <w:style w:type="paragraph" w:styleId="Listenabsatz">
    <w:name w:val="List Paragraph"/>
    <w:basedOn w:val="Standard"/>
    <w:uiPriority w:val="34"/>
    <w:qFormat/>
    <w:rsid w:val="00F8322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F8322E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F8322E"/>
    <w:rPr>
      <w:rFonts w:eastAsiaTheme="minorEastAsia" w:cs="Times New Roman"/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8322E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8322E"/>
    <w:rPr>
      <w:rFonts w:eastAsiaTheme="minorEastAsia" w:cs="Times New Roman"/>
      <w:b/>
      <w:i/>
      <w:sz w:val="24"/>
    </w:rPr>
  </w:style>
  <w:style w:type="character" w:styleId="SchwacheHervorhebung">
    <w:name w:val="Subtle Emphasis"/>
    <w:uiPriority w:val="19"/>
    <w:qFormat/>
    <w:rsid w:val="00F8322E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8322E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F8322E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8322E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F8322E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8322E"/>
    <w:pPr>
      <w:outlineLvl w:val="9"/>
    </w:pPr>
  </w:style>
  <w:style w:type="table" w:styleId="Tabellenraster">
    <w:name w:val="Table Grid"/>
    <w:basedOn w:val="NormaleTabelle"/>
    <w:uiPriority w:val="39"/>
    <w:rsid w:val="00F8322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Absatz-Standardschriftart"/>
    <w:uiPriority w:val="99"/>
    <w:unhideWhenUsed/>
    <w:rsid w:val="00F8322E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8322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8322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8322E"/>
    <w:rPr>
      <w:rFonts w:eastAsiaTheme="minorEastAs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832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8322E"/>
    <w:rPr>
      <w:rFonts w:eastAsiaTheme="minorEastAsia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32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322E"/>
    <w:rPr>
      <w:rFonts w:ascii="Segoe UI" w:eastAsiaTheme="minorEastAsia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8322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8322E"/>
    <w:rPr>
      <w:rFonts w:eastAsiaTheme="minorEastAsia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8322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8322E"/>
    <w:rPr>
      <w:rFonts w:eastAsiaTheme="minorEastAsia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F8322E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customStyle="1" w:styleId="markedcontent">
    <w:name w:val="markedcontent"/>
    <w:basedOn w:val="Absatz-Standardschriftart"/>
    <w:rsid w:val="00F8322E"/>
  </w:style>
  <w:style w:type="character" w:customStyle="1" w:styleId="ms-rtethemefontface-1">
    <w:name w:val="ms-rtethemefontface-1"/>
    <w:basedOn w:val="Absatz-Standardschriftart"/>
    <w:rsid w:val="00F8322E"/>
  </w:style>
  <w:style w:type="paragraph" w:styleId="StandardWeb">
    <w:name w:val="Normal (Web)"/>
    <w:basedOn w:val="Standard"/>
    <w:uiPriority w:val="99"/>
    <w:semiHidden/>
    <w:unhideWhenUsed/>
    <w:rsid w:val="00F8322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lang w:eastAsia="de-DE"/>
    </w:rPr>
  </w:style>
  <w:style w:type="character" w:customStyle="1" w:styleId="docsum-journal-citation">
    <w:name w:val="docsum-journal-citation"/>
    <w:basedOn w:val="Absatz-Standardschriftart"/>
    <w:rsid w:val="00F8322E"/>
  </w:style>
  <w:style w:type="character" w:customStyle="1" w:styleId="docsum-authors">
    <w:name w:val="docsum-authors"/>
    <w:basedOn w:val="Absatz-Standardschriftart"/>
    <w:rsid w:val="00F8322E"/>
  </w:style>
  <w:style w:type="character" w:customStyle="1" w:styleId="citation-part">
    <w:name w:val="citation-part"/>
    <w:basedOn w:val="Absatz-Standardschriftart"/>
    <w:rsid w:val="00F8322E"/>
  </w:style>
  <w:style w:type="character" w:customStyle="1" w:styleId="docsum-pmid">
    <w:name w:val="docsum-pmid"/>
    <w:basedOn w:val="Absatz-Standardschriftart"/>
    <w:rsid w:val="00F8322E"/>
  </w:style>
  <w:style w:type="paragraph" w:styleId="HTMLVorformatiert">
    <w:name w:val="HTML Preformatted"/>
    <w:basedOn w:val="Standard"/>
    <w:link w:val="HTMLVorformatiertZchn"/>
    <w:uiPriority w:val="99"/>
    <w:unhideWhenUsed/>
    <w:rsid w:val="00F832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F8322E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gnvwddmdb3b">
    <w:name w:val="gnvwddmdb3b"/>
    <w:basedOn w:val="Absatz-Standardschriftart"/>
    <w:rsid w:val="00F8322E"/>
  </w:style>
  <w:style w:type="character" w:styleId="Platzhaltertext">
    <w:name w:val="Placeholder Text"/>
    <w:basedOn w:val="Absatz-Standardschriftart"/>
    <w:uiPriority w:val="99"/>
    <w:semiHidden/>
    <w:rsid w:val="00F8322E"/>
    <w:rPr>
      <w:color w:val="808080"/>
    </w:rPr>
  </w:style>
  <w:style w:type="paragraph" w:customStyle="1" w:styleId="EndNoteBibliographyTitle">
    <w:name w:val="EndNote Bibliography Title"/>
    <w:basedOn w:val="Standard"/>
    <w:link w:val="EndNoteBibliographyTitleZchn"/>
    <w:rsid w:val="00F8322E"/>
    <w:pPr>
      <w:jc w:val="center"/>
    </w:pPr>
    <w:rPr>
      <w:rFonts w:ascii="Times New Roman" w:hAnsi="Times New Roman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F8322E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F8322E"/>
    <w:pPr>
      <w:spacing w:line="240" w:lineRule="auto"/>
    </w:pPr>
    <w:rPr>
      <w:rFonts w:ascii="Times New Roman" w:hAnsi="Times New Roman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F8322E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FrageReviewer">
    <w:name w:val="Frage Reviewer"/>
    <w:basedOn w:val="Standard"/>
    <w:link w:val="FrageReviewerZchn"/>
    <w:qFormat/>
    <w:rsid w:val="00F8322E"/>
    <w:pPr>
      <w:spacing w:before="360" w:after="160" w:line="252" w:lineRule="auto"/>
      <w:ind w:firstLine="0"/>
    </w:pPr>
    <w:rPr>
      <w:rFonts w:ascii="Times New Roman" w:hAnsi="Times New Roman"/>
      <w:i/>
      <w:color w:val="FF0000"/>
      <w:lang w:val="en-GB"/>
    </w:rPr>
  </w:style>
  <w:style w:type="character" w:customStyle="1" w:styleId="FrageReviewerZchn">
    <w:name w:val="Frage Reviewer Zchn"/>
    <w:basedOn w:val="Absatz-Standardschriftart"/>
    <w:link w:val="FrageReviewer"/>
    <w:rsid w:val="00F8322E"/>
    <w:rPr>
      <w:rFonts w:ascii="Times New Roman" w:eastAsiaTheme="minorEastAsia" w:hAnsi="Times New Roman" w:cs="Times New Roman"/>
      <w:i/>
      <w:color w:val="FF0000"/>
      <w:sz w:val="24"/>
      <w:szCs w:val="24"/>
      <w:lang w:val="en-GB"/>
    </w:rPr>
  </w:style>
  <w:style w:type="character" w:customStyle="1" w:styleId="period">
    <w:name w:val="period"/>
    <w:basedOn w:val="Absatz-Standardschriftart"/>
    <w:rsid w:val="00F8322E"/>
  </w:style>
  <w:style w:type="character" w:customStyle="1" w:styleId="cit">
    <w:name w:val="cit"/>
    <w:basedOn w:val="Absatz-Standardschriftart"/>
    <w:rsid w:val="00F8322E"/>
  </w:style>
  <w:style w:type="character" w:customStyle="1" w:styleId="citation-doi">
    <w:name w:val="citation-doi"/>
    <w:basedOn w:val="Absatz-Standardschriftart"/>
    <w:rsid w:val="00F8322E"/>
  </w:style>
  <w:style w:type="character" w:customStyle="1" w:styleId="authors-list-item">
    <w:name w:val="authors-list-item"/>
    <w:basedOn w:val="Absatz-Standardschriftart"/>
    <w:rsid w:val="00F8322E"/>
  </w:style>
  <w:style w:type="character" w:customStyle="1" w:styleId="author-sup-separator">
    <w:name w:val="author-sup-separator"/>
    <w:basedOn w:val="Absatz-Standardschriftart"/>
    <w:rsid w:val="00F8322E"/>
  </w:style>
  <w:style w:type="character" w:customStyle="1" w:styleId="comma">
    <w:name w:val="comma"/>
    <w:basedOn w:val="Absatz-Standardschriftart"/>
    <w:rsid w:val="00F8322E"/>
  </w:style>
  <w:style w:type="character" w:customStyle="1" w:styleId="identifier">
    <w:name w:val="identifier"/>
    <w:basedOn w:val="Absatz-Standardschriftart"/>
    <w:rsid w:val="00F8322E"/>
  </w:style>
  <w:style w:type="character" w:customStyle="1" w:styleId="id-label">
    <w:name w:val="id-label"/>
    <w:basedOn w:val="Absatz-Standardschriftart"/>
    <w:rsid w:val="00F8322E"/>
  </w:style>
  <w:style w:type="character" w:customStyle="1" w:styleId="referencesnote">
    <w:name w:val="references__note"/>
    <w:basedOn w:val="Absatz-Standardschriftart"/>
    <w:rsid w:val="00F8322E"/>
  </w:style>
  <w:style w:type="character" w:customStyle="1" w:styleId="referencesauthors">
    <w:name w:val="references__authors"/>
    <w:basedOn w:val="Absatz-Standardschriftart"/>
    <w:rsid w:val="00F8322E"/>
  </w:style>
  <w:style w:type="character" w:customStyle="1" w:styleId="referencesarticle-title">
    <w:name w:val="references__article-title"/>
    <w:basedOn w:val="Absatz-Standardschriftart"/>
    <w:rsid w:val="00F8322E"/>
  </w:style>
  <w:style w:type="character" w:customStyle="1" w:styleId="referencesyear">
    <w:name w:val="references__year"/>
    <w:basedOn w:val="Absatz-Standardschriftart"/>
    <w:rsid w:val="00F8322E"/>
  </w:style>
  <w:style w:type="character" w:customStyle="1" w:styleId="ref-doi">
    <w:name w:val="ref-doi"/>
    <w:basedOn w:val="Absatz-Standardschriftart"/>
    <w:rsid w:val="00F8322E"/>
  </w:style>
  <w:style w:type="paragraph" w:customStyle="1" w:styleId="p">
    <w:name w:val="p"/>
    <w:basedOn w:val="Standard"/>
    <w:rsid w:val="002C4C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lang w:eastAsia="de-DE"/>
    </w:rPr>
  </w:style>
  <w:style w:type="character" w:customStyle="1" w:styleId="anchor-text">
    <w:name w:val="anchor-text"/>
    <w:basedOn w:val="Absatz-Standardschriftart"/>
    <w:rsid w:val="008A2C8C"/>
  </w:style>
  <w:style w:type="character" w:customStyle="1" w:styleId="secondary-date">
    <w:name w:val="secondary-date"/>
    <w:basedOn w:val="Absatz-Standardschriftart"/>
    <w:rsid w:val="00DF1C3F"/>
  </w:style>
  <w:style w:type="character" w:customStyle="1" w:styleId="lrzxr">
    <w:name w:val="lrzxr"/>
    <w:basedOn w:val="Absatz-Standardschriftart"/>
    <w:rsid w:val="00B775F5"/>
  </w:style>
  <w:style w:type="character" w:customStyle="1" w:styleId="reference-text">
    <w:name w:val="reference-text"/>
    <w:basedOn w:val="Absatz-Standardschriftart"/>
    <w:rsid w:val="00B77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8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8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7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3D866-D358-4934-ACFD-8E5C17C26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3885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Sure</dc:creator>
  <cp:keywords/>
  <dc:description/>
  <cp:lastModifiedBy>Alexandr Ilyaskin</cp:lastModifiedBy>
  <cp:revision>6</cp:revision>
  <cp:lastPrinted>2024-08-19T14:50:00Z</cp:lastPrinted>
  <dcterms:created xsi:type="dcterms:W3CDTF">2025-01-24T11:35:00Z</dcterms:created>
  <dcterms:modified xsi:type="dcterms:W3CDTF">2025-01-24T17:38:00Z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3eb93f62-692b-4dce-bb7c-69f37a9055b9</vt:lpwstr>
  </property>
</Properties>
</file>