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83ADF" w14:textId="77777777" w:rsidR="00DD04AF" w:rsidRDefault="00DD04AF" w:rsidP="00DD04AF">
      <w:pPr>
        <w:autoSpaceDE w:val="0"/>
        <w:autoSpaceDN w:val="0"/>
        <w:adjustRightInd w:val="0"/>
        <w:rPr>
          <w:rFonts w:asciiTheme="majorBidi" w:hAnsiTheme="majorBidi" w:cstheme="majorBidi"/>
          <w:b/>
        </w:rPr>
      </w:pPr>
      <w:bookmarkStart w:id="0" w:name="_GoBack"/>
      <w:r>
        <w:rPr>
          <w:rFonts w:asciiTheme="majorBidi" w:hAnsiTheme="majorBidi" w:cstheme="majorBidi"/>
          <w:b/>
        </w:rPr>
        <w:t xml:space="preserve">Raman developmental markers in root cell walls are associated with lodging tendency in </w:t>
      </w:r>
      <w:proofErr w:type="spellStart"/>
      <w:r>
        <w:rPr>
          <w:rFonts w:asciiTheme="majorBidi" w:hAnsiTheme="majorBidi" w:cstheme="majorBidi"/>
          <w:b/>
        </w:rPr>
        <w:t>tef</w:t>
      </w:r>
      <w:proofErr w:type="spellEnd"/>
    </w:p>
    <w:p w14:paraId="62F940C7" w14:textId="77777777" w:rsidR="00DD3E90" w:rsidRPr="00F836FF" w:rsidRDefault="00DD3E9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ajorBidi" w:hAnsiTheme="majorBidi" w:cstheme="majorBidi"/>
          <w:b/>
          <w:smallCaps/>
          <w:color w:val="201818"/>
          <w:sz w:val="24"/>
          <w:szCs w:val="24"/>
        </w:rPr>
      </w:pPr>
    </w:p>
    <w:p w14:paraId="0F36FCB2" w14:textId="77777777" w:rsidR="00DD3E90" w:rsidRPr="00F836FF" w:rsidRDefault="00FD70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ajorBidi" w:hAnsiTheme="majorBidi" w:cstheme="majorBidi"/>
          <w:i/>
          <w:color w:val="201818"/>
          <w:sz w:val="24"/>
          <w:szCs w:val="24"/>
          <w:vertAlign w:val="superscript"/>
        </w:rPr>
      </w:pPr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>Sabrina Diehn</w:t>
      </w:r>
      <w:r w:rsidRPr="00F836FF">
        <w:rPr>
          <w:rFonts w:asciiTheme="majorBidi" w:hAnsiTheme="majorBidi" w:cstheme="majorBidi"/>
          <w:i/>
          <w:color w:val="201818"/>
          <w:sz w:val="24"/>
          <w:szCs w:val="24"/>
          <w:vertAlign w:val="superscript"/>
        </w:rPr>
        <w:t>1</w:t>
      </w:r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>, Noa Kirby</w:t>
      </w:r>
      <w:r w:rsidRPr="00F836FF">
        <w:rPr>
          <w:rFonts w:asciiTheme="majorBidi" w:hAnsiTheme="majorBidi" w:cstheme="majorBidi"/>
          <w:i/>
          <w:color w:val="201818"/>
          <w:sz w:val="24"/>
          <w:szCs w:val="24"/>
          <w:vertAlign w:val="superscript"/>
        </w:rPr>
        <w:t>1</w:t>
      </w:r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 xml:space="preserve">, </w:t>
      </w:r>
      <w:proofErr w:type="spellStart"/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>Shiran</w:t>
      </w:r>
      <w:proofErr w:type="spellEnd"/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 xml:space="preserve"> Ben-Zeev</w:t>
      </w:r>
      <w:r w:rsidRPr="00F836FF">
        <w:rPr>
          <w:rFonts w:asciiTheme="majorBidi" w:hAnsiTheme="majorBidi" w:cstheme="majorBidi"/>
          <w:i/>
          <w:color w:val="201818"/>
          <w:sz w:val="24"/>
          <w:szCs w:val="24"/>
          <w:vertAlign w:val="superscript"/>
        </w:rPr>
        <w:t>1</w:t>
      </w:r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 xml:space="preserve">, </w:t>
      </w:r>
      <w:proofErr w:type="spellStart"/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>Muluken</w:t>
      </w:r>
      <w:proofErr w:type="spellEnd"/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 xml:space="preserve"> </w:t>
      </w:r>
      <w:proofErr w:type="spellStart"/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>Demelie</w:t>
      </w:r>
      <w:proofErr w:type="spellEnd"/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 xml:space="preserve"> Alemu</w:t>
      </w:r>
      <w:r w:rsidRPr="00F836FF">
        <w:rPr>
          <w:rFonts w:asciiTheme="majorBidi" w:hAnsiTheme="majorBidi" w:cstheme="majorBidi"/>
          <w:i/>
          <w:color w:val="201818"/>
          <w:sz w:val="24"/>
          <w:szCs w:val="24"/>
          <w:vertAlign w:val="superscript"/>
        </w:rPr>
        <w:t>1,2</w:t>
      </w:r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 xml:space="preserve">, </w:t>
      </w:r>
      <w:proofErr w:type="spellStart"/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>Yehoshua</w:t>
      </w:r>
      <w:proofErr w:type="spellEnd"/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 xml:space="preserve"> Saranga</w:t>
      </w:r>
      <w:r w:rsidRPr="00F836FF">
        <w:rPr>
          <w:rFonts w:asciiTheme="majorBidi" w:hAnsiTheme="majorBidi" w:cstheme="majorBidi"/>
          <w:i/>
          <w:color w:val="201818"/>
          <w:sz w:val="24"/>
          <w:szCs w:val="24"/>
          <w:vertAlign w:val="superscript"/>
        </w:rPr>
        <w:t>1</w:t>
      </w:r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>, Rivka Elbaum</w:t>
      </w:r>
      <w:r w:rsidRPr="00F836FF">
        <w:rPr>
          <w:rFonts w:asciiTheme="majorBidi" w:hAnsiTheme="majorBidi" w:cstheme="majorBidi"/>
          <w:i/>
          <w:color w:val="201818"/>
          <w:sz w:val="24"/>
          <w:szCs w:val="24"/>
          <w:vertAlign w:val="superscript"/>
        </w:rPr>
        <w:t>1</w:t>
      </w:r>
    </w:p>
    <w:p w14:paraId="4B88E971" w14:textId="77777777" w:rsidR="00DD3E90" w:rsidRPr="00F836FF" w:rsidRDefault="00FD70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ajorBidi" w:hAnsiTheme="majorBidi" w:cstheme="majorBidi"/>
          <w:i/>
          <w:color w:val="201818"/>
          <w:sz w:val="24"/>
          <w:szCs w:val="24"/>
        </w:rPr>
      </w:pPr>
      <w:r w:rsidRPr="00F836FF">
        <w:rPr>
          <w:rFonts w:asciiTheme="majorBidi" w:hAnsiTheme="majorBidi" w:cstheme="majorBidi"/>
          <w:i/>
          <w:color w:val="201818"/>
          <w:sz w:val="24"/>
          <w:szCs w:val="24"/>
          <w:vertAlign w:val="superscript"/>
        </w:rPr>
        <w:t>1</w:t>
      </w:r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>The Robert H. Smith Institute of Plant Sciences and Genetics in Agriculture, The Hebrew University of Jerusalem, Rehovot 7610001, Israel</w:t>
      </w:r>
    </w:p>
    <w:p w14:paraId="5E707767" w14:textId="77777777" w:rsidR="00DD3E90" w:rsidRPr="00F836FF" w:rsidRDefault="00FD70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ajorBidi" w:hAnsiTheme="majorBidi" w:cstheme="majorBidi"/>
          <w:i/>
          <w:color w:val="201818"/>
          <w:sz w:val="24"/>
          <w:szCs w:val="24"/>
        </w:rPr>
      </w:pPr>
      <w:r w:rsidRPr="00F836FF">
        <w:rPr>
          <w:rFonts w:asciiTheme="majorBidi" w:hAnsiTheme="majorBidi" w:cstheme="majorBidi"/>
          <w:i/>
          <w:color w:val="201818"/>
          <w:sz w:val="24"/>
          <w:szCs w:val="24"/>
          <w:vertAlign w:val="superscript"/>
        </w:rPr>
        <w:t>2</w:t>
      </w:r>
      <w:r w:rsidRPr="00F836FF">
        <w:rPr>
          <w:rFonts w:asciiTheme="majorBidi" w:hAnsiTheme="majorBidi" w:cstheme="majorBidi"/>
          <w:i/>
          <w:color w:val="201818"/>
          <w:sz w:val="24"/>
          <w:szCs w:val="24"/>
        </w:rPr>
        <w:t>Ethiopian Institute of Agricultural Research, Ethiopia</w:t>
      </w:r>
    </w:p>
    <w:p w14:paraId="1BA1A514" w14:textId="77777777" w:rsidR="00DD3E90" w:rsidRPr="00F836FF" w:rsidRDefault="00DD3E9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ajorBidi" w:hAnsiTheme="majorBidi" w:cstheme="majorBidi"/>
          <w:i/>
          <w:color w:val="201818"/>
          <w:sz w:val="24"/>
          <w:szCs w:val="24"/>
        </w:rPr>
      </w:pPr>
    </w:p>
    <w:p w14:paraId="2346B101" w14:textId="0F3059B5" w:rsidR="00DD3E90" w:rsidRPr="00F836FF" w:rsidRDefault="00DD3E90">
      <w:pPr>
        <w:rPr>
          <w:rFonts w:asciiTheme="majorBidi" w:hAnsiTheme="majorBidi" w:cstheme="majorBidi"/>
          <w:b/>
          <w:sz w:val="24"/>
          <w:szCs w:val="24"/>
        </w:rPr>
      </w:pPr>
    </w:p>
    <w:p w14:paraId="6A014ACD" w14:textId="77777777" w:rsidR="00DD3E90" w:rsidRPr="00F836FF" w:rsidRDefault="00FD7033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F836FF">
        <w:rPr>
          <w:rFonts w:asciiTheme="majorBidi" w:hAnsiTheme="majorBidi" w:cstheme="majorBidi"/>
          <w:b/>
          <w:sz w:val="24"/>
          <w:szCs w:val="24"/>
        </w:rPr>
        <w:t>Supporting table and figures</w:t>
      </w:r>
    </w:p>
    <w:p w14:paraId="4E9F99B3" w14:textId="77777777" w:rsidR="00DD3E90" w:rsidRPr="00F836FF" w:rsidRDefault="00DD3E90">
      <w:pPr>
        <w:rPr>
          <w:rFonts w:asciiTheme="majorBidi" w:hAnsiTheme="majorBidi" w:cstheme="majorBidi"/>
          <w:b/>
          <w:sz w:val="24"/>
          <w:szCs w:val="24"/>
        </w:rPr>
      </w:pPr>
    </w:p>
    <w:p w14:paraId="5BD85233" w14:textId="6195F644" w:rsidR="00DD3E90" w:rsidRPr="00F836FF" w:rsidRDefault="00FD7033" w:rsidP="00286302">
      <w:pPr>
        <w:rPr>
          <w:rFonts w:asciiTheme="majorBidi" w:hAnsiTheme="majorBidi" w:cstheme="majorBidi"/>
        </w:rPr>
      </w:pPr>
      <w:r w:rsidRPr="00F836FF">
        <w:rPr>
          <w:rFonts w:asciiTheme="majorBidi" w:hAnsiTheme="majorBidi" w:cstheme="majorBidi"/>
          <w:b/>
          <w:bCs/>
        </w:rPr>
        <w:t>Table S1:</w:t>
      </w:r>
      <w:r w:rsidRPr="00F836FF">
        <w:rPr>
          <w:rFonts w:asciiTheme="majorBidi" w:hAnsiTheme="majorBidi" w:cstheme="majorBidi"/>
        </w:rPr>
        <w:t xml:space="preserve"> Days to flowering (DTF) and lodging indices at week 8, 9, and 10 (LI8, LI9, and LI10, respectively) of the four tef genotypes (RTC-157, RTC-275, RTC-392, RTC-400) in a field experiment, Shiller Farm 2021. Data are means of two six plots (2 irrigation regimes X 3 replicates). Different letters (</w:t>
      </w:r>
      <w:proofErr w:type="spellStart"/>
      <w:r w:rsidRPr="00F836FF">
        <w:rPr>
          <w:rFonts w:asciiTheme="majorBidi" w:hAnsiTheme="majorBidi" w:cstheme="majorBidi"/>
        </w:rPr>
        <w:t>a</w:t>
      </w:r>
      <w:proofErr w:type="gramStart"/>
      <w:r w:rsidRPr="00F836FF">
        <w:rPr>
          <w:rFonts w:asciiTheme="majorBidi" w:hAnsiTheme="majorBidi" w:cstheme="majorBidi"/>
        </w:rPr>
        <w:t>,b,c</w:t>
      </w:r>
      <w:proofErr w:type="spellEnd"/>
      <w:proofErr w:type="gramEnd"/>
      <w:r w:rsidRPr="00F836FF">
        <w:rPr>
          <w:rFonts w:asciiTheme="majorBidi" w:hAnsiTheme="majorBidi" w:cstheme="majorBidi"/>
        </w:rPr>
        <w:t>) indicate significant difference according to Tukey HSD test (</w:t>
      </w:r>
      <w:r w:rsidR="00956A2C" w:rsidRPr="00F836FF">
        <w:rPr>
          <w:rFonts w:asciiTheme="majorBidi" w:hAnsiTheme="majorBidi" w:cstheme="majorBidi"/>
          <w:i/>
          <w:iCs/>
        </w:rPr>
        <w:t>P</w:t>
      </w:r>
      <w:r w:rsidRPr="00F836FF">
        <w:rPr>
          <w:rFonts w:asciiTheme="majorBidi" w:hAnsiTheme="majorBidi" w:cstheme="majorBidi"/>
        </w:rPr>
        <w:t>&lt;0.05), *, ** and *** in</w:t>
      </w:r>
      <w:r w:rsidR="00956A2C" w:rsidRPr="00F836FF">
        <w:rPr>
          <w:rFonts w:asciiTheme="majorBidi" w:hAnsiTheme="majorBidi" w:cstheme="majorBidi"/>
        </w:rPr>
        <w:t xml:space="preserve">dicate significant F ratios at </w:t>
      </w:r>
      <w:r w:rsidR="00956A2C" w:rsidRPr="00F836FF">
        <w:rPr>
          <w:rFonts w:asciiTheme="majorBidi" w:hAnsiTheme="majorBidi" w:cstheme="majorBidi"/>
          <w:i/>
          <w:iCs/>
        </w:rPr>
        <w:t>P</w:t>
      </w:r>
      <w:r w:rsidRPr="00F836FF">
        <w:rPr>
          <w:rFonts w:asciiTheme="majorBidi" w:hAnsiTheme="majorBidi" w:cstheme="majorBidi"/>
        </w:rPr>
        <w:t xml:space="preserve">&lt;0.05, 0.01 and 0.001, respectively. Data adapted from </w:t>
      </w:r>
      <w:proofErr w:type="spellStart"/>
      <w:r w:rsidRPr="00F836FF">
        <w:rPr>
          <w:rFonts w:asciiTheme="majorBidi" w:hAnsiTheme="majorBidi" w:cstheme="majorBidi"/>
        </w:rPr>
        <w:t>Demelie</w:t>
      </w:r>
      <w:proofErr w:type="spellEnd"/>
      <w:r w:rsidRPr="00F836FF">
        <w:rPr>
          <w:rFonts w:asciiTheme="majorBidi" w:hAnsiTheme="majorBidi" w:cstheme="majorBidi"/>
        </w:rPr>
        <w:t xml:space="preserve"> </w:t>
      </w:r>
      <w:proofErr w:type="spellStart"/>
      <w:r w:rsidRPr="00F836FF">
        <w:rPr>
          <w:rFonts w:asciiTheme="majorBidi" w:hAnsiTheme="majorBidi" w:cstheme="majorBidi"/>
        </w:rPr>
        <w:t>Alemu</w:t>
      </w:r>
      <w:proofErr w:type="spellEnd"/>
      <w:r w:rsidR="00286302">
        <w:rPr>
          <w:rFonts w:asciiTheme="majorBidi" w:hAnsiTheme="majorBidi" w:cstheme="majorBidi"/>
        </w:rPr>
        <w:t xml:space="preserve"> and</w:t>
      </w:r>
      <w:r w:rsidRPr="00F836FF">
        <w:rPr>
          <w:rFonts w:asciiTheme="majorBidi" w:hAnsiTheme="majorBidi" w:cstheme="majorBidi"/>
        </w:rPr>
        <w:t xml:space="preserve"> Ben-</w:t>
      </w:r>
      <w:proofErr w:type="spellStart"/>
      <w:r w:rsidRPr="00F836FF">
        <w:rPr>
          <w:rFonts w:asciiTheme="majorBidi" w:hAnsiTheme="majorBidi" w:cstheme="majorBidi"/>
        </w:rPr>
        <w:t>Zeev</w:t>
      </w:r>
      <w:proofErr w:type="spellEnd"/>
      <w:r w:rsidRPr="00F836FF">
        <w:rPr>
          <w:rFonts w:asciiTheme="majorBidi" w:hAnsiTheme="majorBidi" w:cstheme="majorBidi"/>
        </w:rPr>
        <w:t xml:space="preserve"> (</w:t>
      </w:r>
      <w:r w:rsidR="00286302">
        <w:rPr>
          <w:rFonts w:asciiTheme="majorBidi" w:hAnsiTheme="majorBidi" w:cstheme="majorBidi"/>
        </w:rPr>
        <w:t xml:space="preserve">pers. communication, Hebrew University of Jerusalem, </w:t>
      </w:r>
      <w:r w:rsidRPr="00F836FF">
        <w:rPr>
          <w:rFonts w:asciiTheme="majorBidi" w:hAnsiTheme="majorBidi" w:cstheme="majorBidi"/>
        </w:rPr>
        <w:t>2023).</w:t>
      </w:r>
    </w:p>
    <w:tbl>
      <w:tblPr>
        <w:tblStyle w:val="a"/>
        <w:tblW w:w="9067" w:type="dxa"/>
        <w:tblLayout w:type="fixed"/>
        <w:tblLook w:val="0400" w:firstRow="0" w:lastRow="0" w:firstColumn="0" w:lastColumn="0" w:noHBand="0" w:noVBand="1"/>
      </w:tblPr>
      <w:tblGrid>
        <w:gridCol w:w="1511"/>
        <w:gridCol w:w="1511"/>
        <w:gridCol w:w="1511"/>
        <w:gridCol w:w="1511"/>
        <w:gridCol w:w="1511"/>
        <w:gridCol w:w="1512"/>
      </w:tblGrid>
      <w:tr w:rsidR="00DD3E90" w:rsidRPr="00F836FF" w14:paraId="26044C61" w14:textId="77777777">
        <w:trPr>
          <w:trHeight w:val="280"/>
        </w:trPr>
        <w:tc>
          <w:tcPr>
            <w:tcW w:w="3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D65721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Effect of genotypes </w:t>
            </w:r>
          </w:p>
        </w:tc>
        <w:tc>
          <w:tcPr>
            <w:tcW w:w="15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D95657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DTF</w:t>
            </w:r>
          </w:p>
        </w:tc>
        <w:tc>
          <w:tcPr>
            <w:tcW w:w="15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D24124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LI8</w:t>
            </w:r>
          </w:p>
        </w:tc>
        <w:tc>
          <w:tcPr>
            <w:tcW w:w="15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19CD88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LI9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EEB0DF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LI10</w:t>
            </w:r>
          </w:p>
        </w:tc>
      </w:tr>
      <w:tr w:rsidR="00DD3E90" w:rsidRPr="00F836FF" w14:paraId="27E9832C" w14:textId="77777777">
        <w:trPr>
          <w:trHeight w:val="280"/>
        </w:trPr>
        <w:tc>
          <w:tcPr>
            <w:tcW w:w="1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F2F856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RTC-157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2DBF94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1B5D6B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81.2 a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DBA4BD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37 b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4BE2D1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285 b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494504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387 c</w:t>
            </w:r>
          </w:p>
        </w:tc>
      </w:tr>
      <w:tr w:rsidR="00DD3E90" w:rsidRPr="00F836FF" w14:paraId="7282EA94" w14:textId="77777777">
        <w:trPr>
          <w:trHeight w:val="280"/>
        </w:trPr>
        <w:tc>
          <w:tcPr>
            <w:tcW w:w="1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59E4DC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RTC-275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AD9667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6FB605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54.2 b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A6DE64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183 b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AE96D8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417 b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DDA155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550 b</w:t>
            </w:r>
          </w:p>
        </w:tc>
      </w:tr>
      <w:tr w:rsidR="00DD3E90" w:rsidRPr="00F836FF" w14:paraId="558EFFA0" w14:textId="77777777">
        <w:trPr>
          <w:trHeight w:val="280"/>
        </w:trPr>
        <w:tc>
          <w:tcPr>
            <w:tcW w:w="1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6E3284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RTC-392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94CA71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273EBF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43.7 c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9EFC3B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117 b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3F2AEB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450 b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5E37C9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667 ab</w:t>
            </w:r>
          </w:p>
        </w:tc>
      </w:tr>
      <w:tr w:rsidR="00DD3E90" w:rsidRPr="00F836FF" w14:paraId="486A8ECD" w14:textId="77777777">
        <w:trPr>
          <w:trHeight w:val="280"/>
        </w:trPr>
        <w:tc>
          <w:tcPr>
            <w:tcW w:w="1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F1734A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RTC-400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E0D9BD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0E0B2A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57.2 b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CF2C7E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450 a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EA9646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833 a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93AD41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783 a</w:t>
            </w:r>
          </w:p>
        </w:tc>
      </w:tr>
      <w:tr w:rsidR="00DD3E90" w:rsidRPr="00F836FF" w14:paraId="4622F480" w14:textId="77777777">
        <w:trPr>
          <w:trHeight w:val="280"/>
        </w:trPr>
        <w:tc>
          <w:tcPr>
            <w:tcW w:w="1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F52684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D359D6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2A564F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3E004C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9E3727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B6C14F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 </w:t>
            </w:r>
          </w:p>
        </w:tc>
      </w:tr>
      <w:tr w:rsidR="00DD3E90" w:rsidRPr="00F836FF" w14:paraId="1D5649A2" w14:textId="77777777">
        <w:trPr>
          <w:trHeight w:val="280"/>
        </w:trPr>
        <w:tc>
          <w:tcPr>
            <w:tcW w:w="1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0AB58E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Source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E3E75F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DF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2FF8BB" w14:textId="77777777" w:rsidR="00DD3E90" w:rsidRPr="00F836FF" w:rsidRDefault="00FD7033">
            <w:pPr>
              <w:spacing w:after="0" w:line="240" w:lineRule="auto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F Ratio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661A3D" w14:textId="77777777" w:rsidR="00DD3E90" w:rsidRPr="00F836FF" w:rsidRDefault="00FD7033">
            <w:pPr>
              <w:spacing w:after="0" w:line="240" w:lineRule="auto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F Ratio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097D30" w14:textId="77777777" w:rsidR="00DD3E90" w:rsidRPr="00F836FF" w:rsidRDefault="00FD7033">
            <w:pPr>
              <w:spacing w:after="0" w:line="240" w:lineRule="auto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F Ratio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146AEA" w14:textId="77777777" w:rsidR="00DD3E90" w:rsidRPr="00F836FF" w:rsidRDefault="00FD7033">
            <w:pPr>
              <w:spacing w:after="0" w:line="240" w:lineRule="auto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F Ratio</w:t>
            </w:r>
          </w:p>
        </w:tc>
      </w:tr>
      <w:tr w:rsidR="00DD3E90" w:rsidRPr="00F836FF" w14:paraId="4C569859" w14:textId="77777777">
        <w:trPr>
          <w:trHeight w:val="280"/>
        </w:trPr>
        <w:tc>
          <w:tcPr>
            <w:tcW w:w="1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538F4A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ENV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ACCFA5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A6A48A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126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03136F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2.69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0D3FE0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21.97 ***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5830D8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122.47 ***</w:t>
            </w:r>
          </w:p>
        </w:tc>
      </w:tr>
      <w:tr w:rsidR="00DD3E90" w:rsidRPr="00F836FF" w14:paraId="35717C44" w14:textId="77777777">
        <w:trPr>
          <w:trHeight w:val="280"/>
        </w:trPr>
        <w:tc>
          <w:tcPr>
            <w:tcW w:w="1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1F6BEB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Geno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7BEB31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FA81F4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4519.1 ***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584E99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10.72***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CC1F11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9.59 **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D0C711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26.00 ***</w:t>
            </w:r>
          </w:p>
        </w:tc>
      </w:tr>
      <w:tr w:rsidR="00DD3E90" w:rsidRPr="00F836FF" w14:paraId="0CC864DF" w14:textId="77777777">
        <w:trPr>
          <w:trHeight w:val="280"/>
        </w:trPr>
        <w:tc>
          <w:tcPr>
            <w:tcW w:w="1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B9132B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ENV*Geno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2149FD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2041EE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353.8 *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8E2B31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1.45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1BC794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1.82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C424E5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13.8 ***</w:t>
            </w:r>
          </w:p>
        </w:tc>
      </w:tr>
      <w:tr w:rsidR="00DD3E90" w:rsidRPr="00F836FF" w14:paraId="204AEE2C" w14:textId="77777777">
        <w:trPr>
          <w:trHeight w:val="280"/>
        </w:trPr>
        <w:tc>
          <w:tcPr>
            <w:tcW w:w="15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D28644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Block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75D4F0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76ED4D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35.6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7A9563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2.21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C1DED1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0.24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8DC852" w14:textId="77777777" w:rsidR="00DD3E90" w:rsidRPr="00F836FF" w:rsidRDefault="00FD7033">
            <w:pPr>
              <w:spacing w:after="0" w:line="240" w:lineRule="auto"/>
              <w:rPr>
                <w:rFonts w:asciiTheme="majorBidi" w:eastAsia="Arial" w:hAnsiTheme="majorBidi" w:cstheme="majorBidi"/>
                <w:color w:val="000000"/>
              </w:rPr>
            </w:pPr>
            <w:r w:rsidRPr="00F836FF">
              <w:rPr>
                <w:rFonts w:asciiTheme="majorBidi" w:eastAsia="Arial" w:hAnsiTheme="majorBidi" w:cstheme="majorBidi"/>
                <w:color w:val="000000"/>
              </w:rPr>
              <w:t>0.81</w:t>
            </w:r>
          </w:p>
        </w:tc>
      </w:tr>
    </w:tbl>
    <w:p w14:paraId="759FD58A" w14:textId="77777777" w:rsidR="00DD3E90" w:rsidRPr="00F836FF" w:rsidRDefault="00DD3E90">
      <w:pPr>
        <w:rPr>
          <w:rFonts w:asciiTheme="majorBidi" w:hAnsiTheme="majorBidi" w:cstheme="majorBidi"/>
        </w:rPr>
      </w:pPr>
    </w:p>
    <w:p w14:paraId="0FCFFAE2" w14:textId="77777777" w:rsidR="00DD3E90" w:rsidRPr="00F836FF" w:rsidRDefault="00DD3E90">
      <w:pPr>
        <w:rPr>
          <w:rFonts w:asciiTheme="majorBidi" w:hAnsiTheme="majorBidi" w:cstheme="majorBidi"/>
        </w:rPr>
      </w:pPr>
    </w:p>
    <w:p w14:paraId="38D86B5F" w14:textId="4CEE1FB0" w:rsidR="00DD3E90" w:rsidRPr="00F836FF" w:rsidRDefault="00DD3E90">
      <w:pPr>
        <w:rPr>
          <w:rFonts w:asciiTheme="majorBidi" w:hAnsiTheme="majorBidi" w:cstheme="majorBidi"/>
        </w:rPr>
      </w:pPr>
    </w:p>
    <w:p w14:paraId="619BE8FC" w14:textId="77777777" w:rsidR="00DD3E90" w:rsidRPr="00F836FF" w:rsidRDefault="00DD3E90">
      <w:pPr>
        <w:rPr>
          <w:rFonts w:asciiTheme="majorBidi" w:hAnsiTheme="majorBidi" w:cstheme="majorBidi"/>
        </w:rPr>
      </w:pPr>
    </w:p>
    <w:p w14:paraId="354604B5" w14:textId="77777777" w:rsidR="00DD3E90" w:rsidRPr="00F836FF" w:rsidRDefault="00FD7033">
      <w:pPr>
        <w:rPr>
          <w:rFonts w:asciiTheme="majorBidi" w:hAnsiTheme="majorBidi" w:cstheme="majorBidi"/>
        </w:rPr>
      </w:pPr>
      <w:r w:rsidRPr="00F836FF">
        <w:rPr>
          <w:rFonts w:asciiTheme="majorBidi" w:hAnsiTheme="majorBidi" w:cstheme="majorBidi"/>
          <w:noProof/>
          <w:lang w:val="en-IN" w:eastAsia="en-IN" w:bidi="ar-SA"/>
        </w:rPr>
        <w:lastRenderedPageBreak/>
        <w:drawing>
          <wp:inline distT="0" distB="0" distL="0" distR="0" wp14:anchorId="67010CEB" wp14:editId="2E596E69">
            <wp:extent cx="5812155" cy="3792855"/>
            <wp:effectExtent l="0" t="0" r="0" b="0"/>
            <wp:docPr id="2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2155" cy="3792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2F6294" w14:textId="77777777" w:rsidR="00DD3E90" w:rsidRPr="00F836FF" w:rsidRDefault="00DD3E90">
      <w:pPr>
        <w:rPr>
          <w:rFonts w:asciiTheme="majorBidi" w:hAnsiTheme="majorBidi" w:cstheme="majorBidi"/>
        </w:rPr>
      </w:pPr>
    </w:p>
    <w:p w14:paraId="66E5A4E6" w14:textId="42479503" w:rsidR="00DD3E90" w:rsidRPr="00F836FF" w:rsidRDefault="00FD7033" w:rsidP="00956A2C">
      <w:pPr>
        <w:spacing w:line="360" w:lineRule="auto"/>
        <w:rPr>
          <w:rFonts w:asciiTheme="majorBidi" w:hAnsiTheme="majorBidi" w:cstheme="majorBidi"/>
        </w:rPr>
      </w:pPr>
      <w:r w:rsidRPr="00F836FF">
        <w:rPr>
          <w:rFonts w:asciiTheme="majorBidi" w:hAnsiTheme="majorBidi" w:cstheme="majorBidi"/>
          <w:b/>
        </w:rPr>
        <w:t>Fig</w:t>
      </w:r>
      <w:r w:rsidR="00956A2C" w:rsidRPr="00F836FF">
        <w:rPr>
          <w:rFonts w:asciiTheme="majorBidi" w:hAnsiTheme="majorBidi" w:cstheme="majorBidi"/>
          <w:b/>
        </w:rPr>
        <w:t>.</w:t>
      </w:r>
      <w:r w:rsidRPr="00F836FF">
        <w:rPr>
          <w:rFonts w:asciiTheme="majorBidi" w:hAnsiTheme="majorBidi" w:cstheme="majorBidi"/>
          <w:b/>
        </w:rPr>
        <w:t xml:space="preserve"> S1</w:t>
      </w:r>
      <w:r w:rsidRPr="00F836FF">
        <w:rPr>
          <w:rFonts w:asciiTheme="majorBidi" w:hAnsiTheme="majorBidi" w:cstheme="majorBidi"/>
        </w:rPr>
        <w:t xml:space="preserve"> Photographs of plants that were used in this study, including (from left to right) RTC-157, RTC-275, RTC-392, and RTC-400 genotypes of plants of (top to bottom) 5-week-old (5w), supported 10-week-old (10wt), and non-supported 10-week-old (10wf).</w:t>
      </w:r>
    </w:p>
    <w:p w14:paraId="12F4034B" w14:textId="77777777" w:rsidR="00DD3E90" w:rsidRPr="00F836FF" w:rsidRDefault="00DD3E90">
      <w:pPr>
        <w:rPr>
          <w:rFonts w:asciiTheme="majorBidi" w:hAnsiTheme="majorBidi" w:cstheme="majorBidi"/>
        </w:rPr>
      </w:pPr>
    </w:p>
    <w:p w14:paraId="362F11C3" w14:textId="77777777" w:rsidR="00DD3E90" w:rsidRPr="00F836FF" w:rsidRDefault="00DD3E90">
      <w:pPr>
        <w:rPr>
          <w:rFonts w:asciiTheme="majorBidi" w:hAnsiTheme="majorBidi" w:cstheme="majorBidi"/>
        </w:rPr>
      </w:pPr>
    </w:p>
    <w:p w14:paraId="46C9448D" w14:textId="77777777" w:rsidR="00DD3E90" w:rsidRPr="00F836FF" w:rsidRDefault="00DD3E90">
      <w:pPr>
        <w:rPr>
          <w:rFonts w:asciiTheme="majorBidi" w:hAnsiTheme="majorBidi" w:cstheme="majorBidi"/>
        </w:rPr>
      </w:pPr>
    </w:p>
    <w:p w14:paraId="32579F7A" w14:textId="77777777" w:rsidR="00DD3E90" w:rsidRPr="00F836FF" w:rsidRDefault="00DD3E90">
      <w:pPr>
        <w:rPr>
          <w:rFonts w:asciiTheme="majorBidi" w:hAnsiTheme="majorBidi" w:cstheme="majorBidi"/>
        </w:rPr>
      </w:pPr>
    </w:p>
    <w:p w14:paraId="668DE562" w14:textId="77777777" w:rsidR="00DD3E90" w:rsidRPr="00F836FF" w:rsidRDefault="00DD3E90">
      <w:pPr>
        <w:rPr>
          <w:rFonts w:asciiTheme="majorBidi" w:hAnsiTheme="majorBidi" w:cstheme="majorBidi"/>
        </w:rPr>
      </w:pPr>
    </w:p>
    <w:p w14:paraId="6CA5C72D" w14:textId="77777777" w:rsidR="00DD3E90" w:rsidRPr="00F836FF" w:rsidRDefault="00DD3E90">
      <w:pPr>
        <w:rPr>
          <w:rFonts w:asciiTheme="majorBidi" w:hAnsiTheme="majorBidi" w:cstheme="majorBidi"/>
        </w:rPr>
      </w:pPr>
    </w:p>
    <w:p w14:paraId="2ED6FCBD" w14:textId="77777777" w:rsidR="00DD3E90" w:rsidRPr="00F836FF" w:rsidRDefault="00DD3E90">
      <w:pPr>
        <w:rPr>
          <w:rFonts w:asciiTheme="majorBidi" w:hAnsiTheme="majorBidi" w:cstheme="majorBidi"/>
        </w:rPr>
      </w:pPr>
    </w:p>
    <w:p w14:paraId="08AAAE03" w14:textId="77777777" w:rsidR="00DD3E90" w:rsidRPr="00F836FF" w:rsidRDefault="00DD3E90">
      <w:pPr>
        <w:rPr>
          <w:rFonts w:asciiTheme="majorBidi" w:hAnsiTheme="majorBidi" w:cstheme="majorBidi"/>
        </w:rPr>
      </w:pPr>
    </w:p>
    <w:p w14:paraId="16E26A48" w14:textId="77777777" w:rsidR="00DD3E90" w:rsidRPr="00F836FF" w:rsidRDefault="00DD3E90">
      <w:pPr>
        <w:rPr>
          <w:rFonts w:asciiTheme="majorBidi" w:hAnsiTheme="majorBidi" w:cstheme="majorBidi"/>
        </w:rPr>
      </w:pPr>
    </w:p>
    <w:p w14:paraId="071400AF" w14:textId="77777777" w:rsidR="00DD3E90" w:rsidRPr="00F836FF" w:rsidRDefault="00DD3E90">
      <w:pPr>
        <w:rPr>
          <w:rFonts w:asciiTheme="majorBidi" w:hAnsiTheme="majorBidi" w:cstheme="majorBidi"/>
        </w:rPr>
      </w:pPr>
    </w:p>
    <w:p w14:paraId="256AF9B7" w14:textId="77777777" w:rsidR="00DD3E90" w:rsidRPr="00F836FF" w:rsidRDefault="00DD3E90">
      <w:pPr>
        <w:rPr>
          <w:rFonts w:asciiTheme="majorBidi" w:hAnsiTheme="majorBidi" w:cstheme="majorBidi"/>
        </w:rPr>
      </w:pPr>
    </w:p>
    <w:p w14:paraId="13FAA78B" w14:textId="77777777" w:rsidR="00DD3E90" w:rsidRPr="00F836FF" w:rsidRDefault="00DD3E90">
      <w:pPr>
        <w:rPr>
          <w:rFonts w:asciiTheme="majorBidi" w:hAnsiTheme="majorBidi" w:cstheme="majorBidi"/>
        </w:rPr>
      </w:pPr>
    </w:p>
    <w:p w14:paraId="11FA2C9B" w14:textId="77777777" w:rsidR="00DD3E90" w:rsidRPr="00F836FF" w:rsidRDefault="00DD3E90">
      <w:pPr>
        <w:rPr>
          <w:rFonts w:asciiTheme="majorBidi" w:hAnsiTheme="majorBidi" w:cstheme="majorBidi"/>
        </w:rPr>
      </w:pPr>
    </w:p>
    <w:p w14:paraId="458DF71F" w14:textId="77777777" w:rsidR="00DD3E90" w:rsidRPr="00F836FF" w:rsidRDefault="00DD3E90">
      <w:pPr>
        <w:rPr>
          <w:rFonts w:asciiTheme="majorBidi" w:hAnsiTheme="majorBidi" w:cstheme="majorBidi"/>
        </w:rPr>
      </w:pPr>
    </w:p>
    <w:p w14:paraId="724E3EAB" w14:textId="77777777" w:rsidR="00DD3E90" w:rsidRPr="00F836FF" w:rsidRDefault="00DD3E90">
      <w:pPr>
        <w:rPr>
          <w:rFonts w:asciiTheme="majorBidi" w:hAnsiTheme="majorBidi" w:cstheme="majorBidi"/>
        </w:rPr>
      </w:pPr>
    </w:p>
    <w:p w14:paraId="3EC7213B" w14:textId="77777777" w:rsidR="00DD3E90" w:rsidRPr="00F836FF" w:rsidRDefault="00FD7033">
      <w:pPr>
        <w:rPr>
          <w:rFonts w:asciiTheme="majorBidi" w:hAnsiTheme="majorBidi" w:cstheme="majorBidi"/>
        </w:rPr>
      </w:pPr>
      <w:r w:rsidRPr="00F836FF">
        <w:rPr>
          <w:rFonts w:asciiTheme="majorBidi" w:hAnsiTheme="majorBidi" w:cstheme="majorBidi"/>
          <w:noProof/>
          <w:lang w:val="en-IN" w:eastAsia="en-IN" w:bidi="ar-SA"/>
        </w:rPr>
        <w:lastRenderedPageBreak/>
        <w:drawing>
          <wp:inline distT="0" distB="0" distL="0" distR="0" wp14:anchorId="37ED8038" wp14:editId="2D5CC886">
            <wp:extent cx="5096282" cy="6882362"/>
            <wp:effectExtent l="0" t="0" r="0" b="0"/>
            <wp:docPr id="2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6282" cy="68823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5298B1" w14:textId="68044EC7" w:rsidR="00DD3E90" w:rsidRPr="00F836FF" w:rsidRDefault="00FD7033" w:rsidP="00956A2C">
      <w:pPr>
        <w:spacing w:line="360" w:lineRule="auto"/>
        <w:rPr>
          <w:rFonts w:asciiTheme="majorBidi" w:hAnsiTheme="majorBidi" w:cstheme="majorBidi"/>
        </w:rPr>
      </w:pPr>
      <w:r w:rsidRPr="00F836FF">
        <w:rPr>
          <w:rFonts w:asciiTheme="majorBidi" w:hAnsiTheme="majorBidi" w:cstheme="majorBidi"/>
          <w:b/>
        </w:rPr>
        <w:t>Fig</w:t>
      </w:r>
      <w:r w:rsidR="00956A2C" w:rsidRPr="00F836FF">
        <w:rPr>
          <w:rFonts w:asciiTheme="majorBidi" w:hAnsiTheme="majorBidi" w:cstheme="majorBidi"/>
          <w:b/>
        </w:rPr>
        <w:t>.</w:t>
      </w:r>
      <w:r w:rsidRPr="00F836FF">
        <w:rPr>
          <w:rFonts w:asciiTheme="majorBidi" w:hAnsiTheme="majorBidi" w:cstheme="majorBidi"/>
          <w:b/>
        </w:rPr>
        <w:t xml:space="preserve"> S2</w:t>
      </w:r>
      <w:r w:rsidRPr="00F836FF">
        <w:rPr>
          <w:rFonts w:asciiTheme="majorBidi" w:hAnsiTheme="majorBidi" w:cstheme="majorBidi"/>
        </w:rPr>
        <w:t xml:space="preserve"> </w:t>
      </w:r>
      <w:r w:rsidRPr="00F836FF">
        <w:rPr>
          <w:rFonts w:asciiTheme="majorBidi" w:hAnsiTheme="majorBidi" w:cstheme="majorBidi"/>
          <w:b/>
          <w:bCs/>
        </w:rPr>
        <w:t>A</w:t>
      </w:r>
      <w:r w:rsidR="00EF7E8D">
        <w:rPr>
          <w:rFonts w:asciiTheme="majorBidi" w:hAnsiTheme="majorBidi" w:cstheme="majorBidi"/>
          <w:b/>
          <w:bCs/>
        </w:rPr>
        <w:t>.</w:t>
      </w:r>
      <w:r w:rsidRPr="00F836FF">
        <w:rPr>
          <w:rFonts w:asciiTheme="majorBidi" w:hAnsiTheme="majorBidi" w:cstheme="majorBidi"/>
        </w:rPr>
        <w:t xml:space="preserve"> SEM mosaic images of cross sections from the first internodes of the two genotypes RTC-375 (</w:t>
      </w:r>
      <w:r w:rsidR="00956A2C" w:rsidRPr="00F836FF">
        <w:rPr>
          <w:rFonts w:asciiTheme="majorBidi" w:hAnsiTheme="majorBidi" w:cstheme="majorBidi"/>
        </w:rPr>
        <w:t xml:space="preserve">intermediate </w:t>
      </w:r>
      <w:r w:rsidRPr="00F836FF">
        <w:rPr>
          <w:rFonts w:asciiTheme="majorBidi" w:hAnsiTheme="majorBidi" w:cstheme="majorBidi"/>
        </w:rPr>
        <w:t xml:space="preserve">lodging tolerant) and RTC-400 (lodging susceptible) </w:t>
      </w:r>
      <w:r w:rsidR="005932EB" w:rsidRPr="00F836FF">
        <w:rPr>
          <w:rFonts w:asciiTheme="majorBidi" w:hAnsiTheme="majorBidi" w:cstheme="majorBidi"/>
        </w:rPr>
        <w:t>at</w:t>
      </w:r>
      <w:r w:rsidRPr="00F836FF">
        <w:rPr>
          <w:rFonts w:asciiTheme="majorBidi" w:hAnsiTheme="majorBidi" w:cstheme="majorBidi"/>
        </w:rPr>
        <w:t xml:space="preserve"> 8 weeks and 10 weeks</w:t>
      </w:r>
      <w:r w:rsidR="005932EB" w:rsidRPr="00F836FF">
        <w:rPr>
          <w:rFonts w:asciiTheme="majorBidi" w:hAnsiTheme="majorBidi" w:cstheme="majorBidi"/>
        </w:rPr>
        <w:t xml:space="preserve"> after emergence</w:t>
      </w:r>
      <w:r w:rsidRPr="00F836FF">
        <w:rPr>
          <w:rFonts w:asciiTheme="majorBidi" w:hAnsiTheme="majorBidi" w:cstheme="majorBidi"/>
        </w:rPr>
        <w:t xml:space="preserve">. </w:t>
      </w:r>
      <w:r w:rsidRPr="00F836FF">
        <w:rPr>
          <w:rFonts w:asciiTheme="majorBidi" w:hAnsiTheme="majorBidi" w:cstheme="majorBidi"/>
          <w:b/>
          <w:bCs/>
        </w:rPr>
        <w:t>B</w:t>
      </w:r>
      <w:r w:rsidR="00EF7E8D">
        <w:rPr>
          <w:rFonts w:asciiTheme="majorBidi" w:hAnsiTheme="majorBidi" w:cstheme="majorBidi"/>
          <w:b/>
          <w:bCs/>
        </w:rPr>
        <w:t>.</w:t>
      </w:r>
      <w:r w:rsidRPr="00F836FF">
        <w:rPr>
          <w:rFonts w:asciiTheme="majorBidi" w:hAnsiTheme="majorBidi" w:cstheme="majorBidi"/>
        </w:rPr>
        <w:t xml:space="preserve"> PCA images of PC1 and PC2 of internode cross sections focusing on epidermis and vascular bundles. These preliminary observations indicated a faster development of a hollow stem in the lodging susceptible genotype. Nonetheless, we could not detect consistent chemical variation linked to lodging tendencies by Raman microspectroscopy</w:t>
      </w:r>
      <w:r w:rsidRPr="00F836FF">
        <w:rPr>
          <w:rFonts w:asciiTheme="majorBidi" w:hAnsiTheme="majorBidi" w:cstheme="majorBidi"/>
          <w:color w:val="FF0000"/>
        </w:rPr>
        <w:t>.</w:t>
      </w:r>
    </w:p>
    <w:p w14:paraId="13B8AA5A" w14:textId="77777777" w:rsidR="00DD3E90" w:rsidRPr="00F836FF" w:rsidRDefault="00DD3E90">
      <w:pPr>
        <w:rPr>
          <w:rFonts w:asciiTheme="majorBidi" w:hAnsiTheme="majorBidi" w:cstheme="majorBidi"/>
        </w:rPr>
      </w:pPr>
    </w:p>
    <w:p w14:paraId="2E6BEF7A" w14:textId="77777777" w:rsidR="00DD3E90" w:rsidRPr="00F836FF" w:rsidRDefault="00DD3E90">
      <w:pPr>
        <w:rPr>
          <w:rFonts w:asciiTheme="majorBidi" w:hAnsiTheme="majorBidi" w:cstheme="majorBidi"/>
        </w:rPr>
      </w:pPr>
    </w:p>
    <w:p w14:paraId="7DCED84F" w14:textId="77777777" w:rsidR="00DD3E90" w:rsidRPr="00F836FF" w:rsidRDefault="00FD7033">
      <w:pPr>
        <w:spacing w:line="360" w:lineRule="auto"/>
        <w:rPr>
          <w:rFonts w:asciiTheme="majorBidi" w:hAnsiTheme="majorBidi" w:cstheme="majorBidi"/>
        </w:rPr>
      </w:pPr>
      <w:r w:rsidRPr="00F836FF">
        <w:rPr>
          <w:rFonts w:asciiTheme="majorBidi" w:hAnsiTheme="majorBidi" w:cstheme="majorBidi"/>
          <w:noProof/>
          <w:lang w:val="en-IN" w:eastAsia="en-IN" w:bidi="ar-SA"/>
        </w:rPr>
        <w:lastRenderedPageBreak/>
        <w:drawing>
          <wp:inline distT="0" distB="0" distL="0" distR="0" wp14:anchorId="5B8590E6" wp14:editId="2E14A7B0">
            <wp:extent cx="6114415" cy="2210435"/>
            <wp:effectExtent l="0" t="0" r="0" b="0"/>
            <wp:docPr id="2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22104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4D495C" w14:textId="225B33F8" w:rsidR="00DD3E90" w:rsidRPr="00F836FF" w:rsidRDefault="00FD7033" w:rsidP="00313FE1">
      <w:pPr>
        <w:spacing w:line="360" w:lineRule="auto"/>
        <w:rPr>
          <w:rFonts w:asciiTheme="majorBidi" w:hAnsiTheme="majorBidi" w:cstheme="majorBidi"/>
        </w:rPr>
      </w:pPr>
      <w:r w:rsidRPr="00F836FF">
        <w:rPr>
          <w:rFonts w:asciiTheme="majorBidi" w:hAnsiTheme="majorBidi" w:cstheme="majorBidi"/>
          <w:b/>
        </w:rPr>
        <w:t>Fig</w:t>
      </w:r>
      <w:r w:rsidR="00956A2C" w:rsidRPr="00F836FF">
        <w:rPr>
          <w:rFonts w:asciiTheme="majorBidi" w:hAnsiTheme="majorBidi" w:cstheme="majorBidi"/>
          <w:b/>
        </w:rPr>
        <w:t>.</w:t>
      </w:r>
      <w:r w:rsidRPr="00F836FF">
        <w:rPr>
          <w:rFonts w:asciiTheme="majorBidi" w:hAnsiTheme="majorBidi" w:cstheme="majorBidi"/>
          <w:b/>
        </w:rPr>
        <w:t xml:space="preserve"> S3</w:t>
      </w:r>
      <w:r w:rsidRPr="00F836FF">
        <w:rPr>
          <w:rFonts w:asciiTheme="majorBidi" w:hAnsiTheme="majorBidi" w:cstheme="majorBidi"/>
        </w:rPr>
        <w:t xml:space="preserve"> </w:t>
      </w:r>
      <w:r w:rsidR="00956A2C" w:rsidRPr="00F836FF">
        <w:rPr>
          <w:rFonts w:asciiTheme="majorBidi" w:hAnsiTheme="majorBidi" w:cstheme="majorBidi"/>
        </w:rPr>
        <w:t>Crown root cross sections from a line with intermediate (</w:t>
      </w:r>
      <w:r w:rsidR="00956A2C" w:rsidRPr="00F836FF">
        <w:rPr>
          <w:rFonts w:asciiTheme="majorBidi" w:hAnsiTheme="majorBidi" w:cstheme="majorBidi"/>
          <w:b/>
          <w:bCs/>
        </w:rPr>
        <w:t>A</w:t>
      </w:r>
      <w:r w:rsidR="00956A2C" w:rsidRPr="00F836FF">
        <w:rPr>
          <w:rFonts w:asciiTheme="majorBidi" w:hAnsiTheme="majorBidi" w:cstheme="majorBidi"/>
        </w:rPr>
        <w:t>, RTC-275) and with high (</w:t>
      </w:r>
      <w:r w:rsidR="00956A2C" w:rsidRPr="00F836FF">
        <w:rPr>
          <w:rFonts w:asciiTheme="majorBidi" w:hAnsiTheme="majorBidi" w:cstheme="majorBidi"/>
          <w:b/>
          <w:bCs/>
        </w:rPr>
        <w:t>B</w:t>
      </w:r>
      <w:r w:rsidR="00956A2C" w:rsidRPr="00F836FF">
        <w:rPr>
          <w:rFonts w:asciiTheme="majorBidi" w:hAnsiTheme="majorBidi" w:cstheme="majorBidi"/>
        </w:rPr>
        <w:t>, RTC-400) lodging tendencies</w:t>
      </w:r>
      <w:r w:rsidR="00313FE1" w:rsidRPr="00F836FF">
        <w:rPr>
          <w:rFonts w:asciiTheme="majorBidi" w:hAnsiTheme="majorBidi" w:cstheme="majorBidi"/>
        </w:rPr>
        <w:t xml:space="preserve"> of five weeks old (5w) </w:t>
      </w:r>
      <w:proofErr w:type="spellStart"/>
      <w:r w:rsidR="00313FE1" w:rsidRPr="00F836FF">
        <w:rPr>
          <w:rFonts w:asciiTheme="majorBidi" w:hAnsiTheme="majorBidi" w:cstheme="majorBidi"/>
        </w:rPr>
        <w:t>tef</w:t>
      </w:r>
      <w:proofErr w:type="spellEnd"/>
      <w:r w:rsidR="00313FE1" w:rsidRPr="00F836FF">
        <w:rPr>
          <w:rFonts w:asciiTheme="majorBidi" w:hAnsiTheme="majorBidi" w:cstheme="majorBidi"/>
        </w:rPr>
        <w:t xml:space="preserve"> plants</w:t>
      </w:r>
      <w:r w:rsidR="00956A2C" w:rsidRPr="00F836FF">
        <w:rPr>
          <w:rFonts w:asciiTheme="majorBidi" w:hAnsiTheme="majorBidi" w:cstheme="majorBidi"/>
        </w:rPr>
        <w:t xml:space="preserve">. </w:t>
      </w:r>
      <w:r w:rsidR="00313FE1" w:rsidRPr="00F836FF">
        <w:rPr>
          <w:rFonts w:asciiTheme="majorBidi" w:hAnsiTheme="majorBidi" w:cstheme="majorBidi"/>
        </w:rPr>
        <w:t>The images present an o</w:t>
      </w:r>
      <w:r w:rsidRPr="00F836FF">
        <w:rPr>
          <w:rFonts w:asciiTheme="majorBidi" w:hAnsiTheme="majorBidi" w:cstheme="majorBidi"/>
        </w:rPr>
        <w:t xml:space="preserve">verlay of bright-field images and </w:t>
      </w:r>
      <w:r w:rsidR="00956A2C" w:rsidRPr="00F836FF">
        <w:rPr>
          <w:rFonts w:asciiTheme="majorBidi" w:hAnsiTheme="majorBidi" w:cstheme="majorBidi"/>
        </w:rPr>
        <w:t xml:space="preserve">Raman </w:t>
      </w:r>
      <w:r w:rsidRPr="00F836FF">
        <w:rPr>
          <w:rFonts w:asciiTheme="majorBidi" w:hAnsiTheme="majorBidi" w:cstheme="majorBidi"/>
        </w:rPr>
        <w:t xml:space="preserve">intensity maps </w:t>
      </w:r>
      <w:r w:rsidR="00313FE1" w:rsidRPr="00F836FF">
        <w:rPr>
          <w:rFonts w:asciiTheme="majorBidi" w:hAnsiTheme="majorBidi" w:cstheme="majorBidi"/>
        </w:rPr>
        <w:t>at</w:t>
      </w:r>
      <w:r w:rsidRPr="00F836FF">
        <w:rPr>
          <w:rFonts w:asciiTheme="majorBidi" w:hAnsiTheme="majorBidi" w:cstheme="majorBidi"/>
        </w:rPr>
        <w:t xml:space="preserve"> 1144 cm</w:t>
      </w:r>
      <w:r w:rsidR="00313FE1" w:rsidRPr="00F836FF">
        <w:rPr>
          <w:rFonts w:asciiTheme="majorBidi" w:hAnsiTheme="majorBidi" w:cstheme="majorBidi"/>
          <w:vertAlign w:val="superscript"/>
        </w:rPr>
        <w:t>-1</w:t>
      </w:r>
      <w:r w:rsidR="00313FE1" w:rsidRPr="00F836FF">
        <w:rPr>
          <w:rFonts w:asciiTheme="majorBidi" w:hAnsiTheme="majorBidi" w:cstheme="majorBidi"/>
        </w:rPr>
        <w:t>, which is</w:t>
      </w:r>
      <w:r w:rsidR="002B6B34" w:rsidRPr="00F836FF">
        <w:rPr>
          <w:rFonts w:asciiTheme="majorBidi" w:hAnsiTheme="majorBidi" w:cstheme="majorBidi"/>
        </w:rPr>
        <w:t xml:space="preserve"> tentatively</w:t>
      </w:r>
      <w:r w:rsidR="00313FE1" w:rsidRPr="00F836FF">
        <w:rPr>
          <w:rFonts w:asciiTheme="majorBidi" w:hAnsiTheme="majorBidi" w:cstheme="majorBidi"/>
        </w:rPr>
        <w:t xml:space="preserve"> </w:t>
      </w:r>
      <w:r w:rsidRPr="00F836FF">
        <w:rPr>
          <w:rFonts w:asciiTheme="majorBidi" w:hAnsiTheme="majorBidi" w:cstheme="majorBidi"/>
        </w:rPr>
        <w:t xml:space="preserve">associated with </w:t>
      </w:r>
      <w:proofErr w:type="spellStart"/>
      <w:r w:rsidRPr="00F836FF">
        <w:rPr>
          <w:rFonts w:asciiTheme="majorBidi" w:hAnsiTheme="majorBidi" w:cstheme="majorBidi"/>
        </w:rPr>
        <w:t>suberin</w:t>
      </w:r>
      <w:proofErr w:type="spellEnd"/>
      <w:r w:rsidRPr="00F836FF">
        <w:rPr>
          <w:rFonts w:asciiTheme="majorBidi" w:hAnsiTheme="majorBidi" w:cstheme="majorBidi"/>
        </w:rPr>
        <w:t>.</w:t>
      </w:r>
      <w:r w:rsidR="00956A2C" w:rsidRPr="00F836FF">
        <w:rPr>
          <w:rFonts w:asciiTheme="majorBidi" w:hAnsiTheme="majorBidi" w:cstheme="majorBidi"/>
        </w:rPr>
        <w:t xml:space="preserve"> </w:t>
      </w:r>
      <w:r w:rsidRPr="00F836FF">
        <w:rPr>
          <w:rFonts w:asciiTheme="majorBidi" w:hAnsiTheme="majorBidi" w:cstheme="majorBidi"/>
        </w:rPr>
        <w:t>The endodermis inner tangential wall exhibits high suberin levels, mostly in RTC-400.</w:t>
      </w:r>
    </w:p>
    <w:p w14:paraId="47040F3C" w14:textId="77777777" w:rsidR="00DD3E90" w:rsidRPr="00F836FF" w:rsidRDefault="00DD3E90">
      <w:pPr>
        <w:spacing w:line="360" w:lineRule="auto"/>
        <w:rPr>
          <w:rFonts w:asciiTheme="majorBidi" w:hAnsiTheme="majorBidi" w:cstheme="majorBidi"/>
        </w:rPr>
      </w:pPr>
    </w:p>
    <w:p w14:paraId="01C94F37" w14:textId="77777777" w:rsidR="00DD3E90" w:rsidRPr="00F836FF" w:rsidRDefault="00FD7033">
      <w:pPr>
        <w:spacing w:line="360" w:lineRule="auto"/>
        <w:rPr>
          <w:rFonts w:asciiTheme="majorBidi" w:hAnsiTheme="majorBidi" w:cstheme="majorBidi"/>
        </w:rPr>
      </w:pPr>
      <w:r w:rsidRPr="00F836FF">
        <w:rPr>
          <w:rFonts w:asciiTheme="majorBidi" w:hAnsiTheme="majorBidi" w:cstheme="majorBidi"/>
          <w:noProof/>
          <w:lang w:val="en-IN" w:eastAsia="en-IN" w:bidi="ar-SA"/>
        </w:rPr>
        <w:lastRenderedPageBreak/>
        <w:drawing>
          <wp:inline distT="0" distB="0" distL="0" distR="0" wp14:anchorId="6971E67F" wp14:editId="51A494FD">
            <wp:extent cx="5524500" cy="6953250"/>
            <wp:effectExtent l="0" t="0" r="0" b="0"/>
            <wp:docPr id="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6953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F09001" w14:textId="6B3432AC" w:rsidR="00DD3E90" w:rsidRPr="00F836FF" w:rsidRDefault="00FD7033" w:rsidP="00956A2C">
      <w:pPr>
        <w:spacing w:line="360" w:lineRule="auto"/>
        <w:jc w:val="both"/>
        <w:rPr>
          <w:rFonts w:asciiTheme="majorBidi" w:hAnsiTheme="majorBidi" w:cstheme="majorBidi"/>
        </w:rPr>
      </w:pPr>
      <w:r w:rsidRPr="00F836FF">
        <w:rPr>
          <w:rFonts w:asciiTheme="majorBidi" w:hAnsiTheme="majorBidi" w:cstheme="majorBidi"/>
          <w:b/>
        </w:rPr>
        <w:t xml:space="preserve"> Fig</w:t>
      </w:r>
      <w:r w:rsidR="00956A2C" w:rsidRPr="00F836FF">
        <w:rPr>
          <w:rFonts w:asciiTheme="majorBidi" w:hAnsiTheme="majorBidi" w:cstheme="majorBidi"/>
          <w:b/>
        </w:rPr>
        <w:t>.</w:t>
      </w:r>
      <w:r w:rsidRPr="00F836FF">
        <w:rPr>
          <w:rFonts w:asciiTheme="majorBidi" w:hAnsiTheme="majorBidi" w:cstheme="majorBidi"/>
          <w:b/>
        </w:rPr>
        <w:t xml:space="preserve"> S4</w:t>
      </w:r>
      <w:r w:rsidRPr="00F836FF">
        <w:rPr>
          <w:rFonts w:asciiTheme="majorBidi" w:hAnsiTheme="majorBidi" w:cstheme="majorBidi"/>
        </w:rPr>
        <w:t xml:space="preserve"> Overlays of the intensity maps of</w:t>
      </w:r>
      <w:r w:rsidR="00EF7E8D">
        <w:rPr>
          <w:rFonts w:asciiTheme="majorBidi" w:hAnsiTheme="majorBidi" w:cstheme="majorBidi"/>
        </w:rPr>
        <w:t xml:space="preserve"> </w:t>
      </w:r>
      <w:r w:rsidR="00EF7E8D" w:rsidRPr="00EF7E8D">
        <w:rPr>
          <w:rFonts w:asciiTheme="majorBidi" w:hAnsiTheme="majorBidi" w:cstheme="majorBidi"/>
        </w:rPr>
        <w:t>(</w:t>
      </w:r>
      <w:r w:rsidR="00EF7E8D">
        <w:rPr>
          <w:rFonts w:asciiTheme="majorBidi" w:hAnsiTheme="majorBidi" w:cstheme="majorBidi"/>
          <w:b/>
          <w:bCs/>
        </w:rPr>
        <w:t>A</w:t>
      </w:r>
      <w:r w:rsidR="00EF7E8D" w:rsidRPr="00EF7E8D">
        <w:rPr>
          <w:rFonts w:asciiTheme="majorBidi" w:hAnsiTheme="majorBidi" w:cstheme="majorBidi"/>
        </w:rPr>
        <w:t>)</w:t>
      </w:r>
      <w:r w:rsidRPr="00F836FF">
        <w:rPr>
          <w:rFonts w:asciiTheme="majorBidi" w:hAnsiTheme="majorBidi" w:cstheme="majorBidi"/>
        </w:rPr>
        <w:t xml:space="preserve"> 1173 and 1599 cm</w:t>
      </w:r>
      <w:r w:rsidRPr="00F836FF">
        <w:rPr>
          <w:rFonts w:asciiTheme="majorBidi" w:hAnsiTheme="majorBidi" w:cstheme="majorBidi"/>
          <w:vertAlign w:val="superscript"/>
        </w:rPr>
        <w:t>-1</w:t>
      </w:r>
      <w:r w:rsidRPr="00F836FF">
        <w:rPr>
          <w:rFonts w:asciiTheme="majorBidi" w:hAnsiTheme="majorBidi" w:cstheme="majorBidi"/>
        </w:rPr>
        <w:t xml:space="preserve">, as well as of </w:t>
      </w:r>
      <w:r w:rsidR="00EF7E8D">
        <w:rPr>
          <w:rFonts w:asciiTheme="majorBidi" w:hAnsiTheme="majorBidi" w:cstheme="majorBidi"/>
        </w:rPr>
        <w:t>(</w:t>
      </w:r>
      <w:r w:rsidR="00EF7E8D" w:rsidRPr="00EF7E8D">
        <w:rPr>
          <w:rFonts w:asciiTheme="majorBidi" w:hAnsiTheme="majorBidi" w:cstheme="majorBidi"/>
          <w:b/>
          <w:bCs/>
        </w:rPr>
        <w:t>B</w:t>
      </w:r>
      <w:r w:rsidR="00EF7E8D">
        <w:rPr>
          <w:rFonts w:asciiTheme="majorBidi" w:hAnsiTheme="majorBidi" w:cstheme="majorBidi"/>
        </w:rPr>
        <w:t xml:space="preserve">) </w:t>
      </w:r>
      <w:r w:rsidRPr="00F836FF">
        <w:rPr>
          <w:rFonts w:asciiTheme="majorBidi" w:hAnsiTheme="majorBidi" w:cstheme="majorBidi"/>
        </w:rPr>
        <w:t>1630 and 1656 cm</w:t>
      </w:r>
      <w:r w:rsidRPr="00F836FF">
        <w:rPr>
          <w:rFonts w:asciiTheme="majorBidi" w:hAnsiTheme="majorBidi" w:cstheme="majorBidi"/>
          <w:vertAlign w:val="superscript"/>
        </w:rPr>
        <w:t>-1</w:t>
      </w:r>
      <w:r w:rsidRPr="00F836FF">
        <w:rPr>
          <w:rFonts w:asciiTheme="majorBidi" w:hAnsiTheme="majorBidi" w:cstheme="majorBidi"/>
        </w:rPr>
        <w:t xml:space="preserve"> from 5 weeks (5w), 10 weeks trellised (10wt) and 10 weeks non-trellised (10wf) plants from the two genotypes RTC-275 and RTC-400. One can appreciate that on a cell level, the bands at 1173 and 1599 cm</w:t>
      </w:r>
      <w:r w:rsidRPr="00F836FF">
        <w:rPr>
          <w:rFonts w:asciiTheme="majorBidi" w:hAnsiTheme="majorBidi" w:cstheme="majorBidi"/>
          <w:vertAlign w:val="superscript"/>
        </w:rPr>
        <w:t>-1</w:t>
      </w:r>
      <w:r w:rsidRPr="00F836FF">
        <w:rPr>
          <w:rFonts w:asciiTheme="majorBidi" w:hAnsiTheme="majorBidi" w:cstheme="majorBidi"/>
        </w:rPr>
        <w:t xml:space="preserve"> and at 1630 and 1656 cm</w:t>
      </w:r>
      <w:r w:rsidRPr="00F836FF">
        <w:rPr>
          <w:rFonts w:asciiTheme="majorBidi" w:hAnsiTheme="majorBidi" w:cstheme="majorBidi"/>
          <w:vertAlign w:val="superscript"/>
        </w:rPr>
        <w:t>-1</w:t>
      </w:r>
      <w:r w:rsidRPr="00F836FF">
        <w:rPr>
          <w:rFonts w:asciiTheme="majorBidi" w:hAnsiTheme="majorBidi" w:cstheme="majorBidi"/>
        </w:rPr>
        <w:t xml:space="preserve"> complement each other. </w:t>
      </w:r>
      <w:r w:rsidRPr="00F836FF">
        <w:rPr>
          <w:rFonts w:asciiTheme="majorBidi" w:eastAsia="Verdana" w:hAnsiTheme="majorBidi" w:cstheme="majorBidi"/>
        </w:rPr>
        <w:t>All scale bars represent</w:t>
      </w:r>
      <w:r w:rsidRPr="00F836FF">
        <w:rPr>
          <w:rFonts w:asciiTheme="majorBidi" w:hAnsiTheme="majorBidi" w:cstheme="majorBidi"/>
        </w:rPr>
        <w:t xml:space="preserve"> 20 µm.</w:t>
      </w:r>
    </w:p>
    <w:p w14:paraId="01D1317D" w14:textId="77777777" w:rsidR="00DD3E90" w:rsidRPr="00F836FF" w:rsidRDefault="00DD3E90">
      <w:pPr>
        <w:spacing w:line="360" w:lineRule="auto"/>
        <w:rPr>
          <w:rFonts w:asciiTheme="majorBidi" w:hAnsiTheme="majorBidi" w:cstheme="majorBidi"/>
        </w:rPr>
      </w:pPr>
    </w:p>
    <w:p w14:paraId="51643897" w14:textId="77777777" w:rsidR="00DD3E90" w:rsidRPr="00F836FF" w:rsidRDefault="00DD3E90">
      <w:pPr>
        <w:rPr>
          <w:rFonts w:asciiTheme="majorBidi" w:hAnsiTheme="majorBidi" w:cstheme="majorBidi"/>
        </w:rPr>
      </w:pPr>
    </w:p>
    <w:bookmarkEnd w:id="0"/>
    <w:p w14:paraId="0CDBCAD5" w14:textId="77777777" w:rsidR="00DD3E90" w:rsidRPr="00F836FF" w:rsidRDefault="00DD3E90">
      <w:pPr>
        <w:rPr>
          <w:rFonts w:asciiTheme="majorBidi" w:hAnsiTheme="majorBidi" w:cstheme="majorBidi"/>
        </w:rPr>
      </w:pPr>
    </w:p>
    <w:sectPr w:rsidR="00DD3E90" w:rsidRPr="00F836FF" w:rsidSect="00406DF9">
      <w:pgSz w:w="11900" w:h="16840"/>
      <w:pgMar w:top="1134" w:right="1134" w:bottom="1134" w:left="1134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E90"/>
    <w:rsid w:val="00286302"/>
    <w:rsid w:val="002B6B34"/>
    <w:rsid w:val="00313FE1"/>
    <w:rsid w:val="00406DF9"/>
    <w:rsid w:val="0050060D"/>
    <w:rsid w:val="005932EB"/>
    <w:rsid w:val="008A6C50"/>
    <w:rsid w:val="00956A2C"/>
    <w:rsid w:val="00AF2E13"/>
    <w:rsid w:val="00DD04AF"/>
    <w:rsid w:val="00DD3E90"/>
    <w:rsid w:val="00EF7E8D"/>
    <w:rsid w:val="00F836FF"/>
    <w:rsid w:val="00FD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26027"/>
  <w15:docId w15:val="{273C5A58-61C5-45C6-8F9A-7C683E43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Listofauthors">
    <w:name w:val="List of authors"/>
    <w:basedOn w:val="Normal"/>
    <w:qFormat/>
    <w:rsid w:val="000F1301"/>
    <w:pPr>
      <w:spacing w:after="120" w:line="360" w:lineRule="auto"/>
      <w:contextualSpacing/>
      <w:jc w:val="both"/>
    </w:pPr>
    <w:rPr>
      <w:rFonts w:ascii="Cambria" w:eastAsia="Open Sans" w:hAnsi="Cambria" w:cs="Open Sans"/>
      <w:bCs/>
      <w:i/>
      <w:color w:val="201818"/>
      <w:sz w:val="24"/>
      <w:szCs w:val="24"/>
      <w:lang w:bidi="ar-SA"/>
    </w:rPr>
  </w:style>
  <w:style w:type="character" w:customStyle="1" w:styleId="Presentingauthor">
    <w:name w:val="Presenting author"/>
    <w:basedOn w:val="DefaultParagraphFont"/>
    <w:uiPriority w:val="1"/>
    <w:rsid w:val="000F1301"/>
    <w:rPr>
      <w:b/>
    </w:rPr>
  </w:style>
  <w:style w:type="paragraph" w:customStyle="1" w:styleId="Textofabstract">
    <w:name w:val="Text of abstract"/>
    <w:basedOn w:val="Normal"/>
    <w:qFormat/>
    <w:rsid w:val="000F1301"/>
    <w:pPr>
      <w:spacing w:before="240" w:after="120" w:line="360" w:lineRule="auto"/>
      <w:jc w:val="both"/>
    </w:pPr>
    <w:rPr>
      <w:rFonts w:ascii="Cambria" w:eastAsia="Open Sans" w:hAnsi="Cambria" w:cs="Open Sans"/>
      <w:color w:val="201818"/>
      <w:sz w:val="24"/>
      <w:szCs w:val="24"/>
      <w:lang w:bidi="ar-SA"/>
    </w:rPr>
  </w:style>
  <w:style w:type="paragraph" w:customStyle="1" w:styleId="Referencelist">
    <w:name w:val="Reference list"/>
    <w:basedOn w:val="Textofabstract"/>
    <w:qFormat/>
    <w:rsid w:val="000F1301"/>
    <w:pPr>
      <w:spacing w:before="0"/>
    </w:pPr>
  </w:style>
  <w:style w:type="paragraph" w:styleId="NoSpacing">
    <w:name w:val="No Spacing"/>
    <w:link w:val="NoSpacingChar"/>
    <w:uiPriority w:val="1"/>
    <w:qFormat/>
    <w:rsid w:val="000F1301"/>
    <w:pPr>
      <w:spacing w:after="0" w:line="240" w:lineRule="auto"/>
      <w:jc w:val="both"/>
    </w:pPr>
    <w:rPr>
      <w:rFonts w:asciiTheme="majorHAnsi" w:eastAsiaTheme="majorEastAsia" w:hAnsiTheme="majorHAnsi" w:cstheme="majorBidi"/>
      <w:color w:val="000000" w:themeColor="text1"/>
      <w:lang w:val="fr-FR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0F1301"/>
    <w:rPr>
      <w:rFonts w:asciiTheme="majorHAnsi" w:eastAsiaTheme="majorEastAsia" w:hAnsiTheme="majorHAnsi" w:cstheme="majorBidi"/>
      <w:color w:val="000000" w:themeColor="text1"/>
      <w:lang w:val="fr-FR" w:bidi="ar-SA"/>
    </w:rPr>
  </w:style>
  <w:style w:type="paragraph" w:styleId="ListParagraph">
    <w:name w:val="List Paragraph"/>
    <w:basedOn w:val="Normal"/>
    <w:uiPriority w:val="34"/>
    <w:qFormat/>
    <w:rsid w:val="000F032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FF7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001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01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01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01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017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17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45CE0"/>
    <w:pPr>
      <w:spacing w:after="0" w:line="240" w:lineRule="auto"/>
    </w:p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0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/oKy+awabuv6rCy22VEtYp6tdw==">CgMxLjA4AHIhMUgtYm00U3Z5eWNQWnlSRE5HRThoYlZUbGtLNXdkQ1hT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elbaum-lab</dc:creator>
  <cp:lastModifiedBy>Chithra M.</cp:lastModifiedBy>
  <cp:revision>6</cp:revision>
  <dcterms:created xsi:type="dcterms:W3CDTF">2023-11-08T12:49:00Z</dcterms:created>
  <dcterms:modified xsi:type="dcterms:W3CDTF">2023-12-09T01:07:00Z</dcterms:modified>
</cp:coreProperties>
</file>