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1F106" w14:textId="4479AB3B" w:rsidR="00BC4E9C" w:rsidRPr="00E53672" w:rsidRDefault="00000000" w:rsidP="00E53672">
      <w:pPr>
        <w:spacing w:line="360" w:lineRule="auto"/>
        <w:rPr>
          <w:rFonts w:ascii="Times New Roman" w:eastAsia="Times New Roman" w:hAnsi="Times New Roman" w:cs="Times New Roman"/>
          <w:b/>
          <w:bCs/>
          <w:color w:val="000000" w:themeColor="text1"/>
        </w:rPr>
      </w:pPr>
      <w:r w:rsidRPr="00E53672">
        <w:rPr>
          <w:rFonts w:ascii="Times New Roman" w:eastAsia="Times New Roman" w:hAnsi="Times New Roman" w:cs="Times New Roman"/>
          <w:b/>
          <w:bCs/>
          <w:color w:val="000000" w:themeColor="text1"/>
        </w:rPr>
        <w:t xml:space="preserve">Supplementary </w:t>
      </w:r>
      <w:r w:rsidR="00D267BB" w:rsidRPr="00E53672">
        <w:rPr>
          <w:rFonts w:ascii="Times New Roman" w:eastAsia="Times New Roman" w:hAnsi="Times New Roman" w:cs="Times New Roman"/>
          <w:b/>
          <w:bCs/>
          <w:color w:val="000000" w:themeColor="text1"/>
        </w:rPr>
        <w:t>analyses</w:t>
      </w:r>
    </w:p>
    <w:p w14:paraId="53A8199E" w14:textId="77777777" w:rsidR="00BC4E9C" w:rsidRPr="00E53672" w:rsidRDefault="00BC4E9C" w:rsidP="00E53672">
      <w:pPr>
        <w:spacing w:line="360" w:lineRule="auto"/>
        <w:rPr>
          <w:rFonts w:ascii="Times New Roman" w:eastAsia="Times New Roman" w:hAnsi="Times New Roman" w:cs="Times New Roman"/>
          <w:color w:val="000000" w:themeColor="text1"/>
        </w:rPr>
      </w:pPr>
    </w:p>
    <w:p w14:paraId="54E0F5CE" w14:textId="07827E17" w:rsidR="00BC4E9C" w:rsidRPr="00E53672" w:rsidRDefault="00000000" w:rsidP="00E53672">
      <w:pPr>
        <w:spacing w:line="360" w:lineRule="auto"/>
        <w:rPr>
          <w:rFonts w:ascii="Times New Roman" w:eastAsia="Times New Roman" w:hAnsi="Times New Roman" w:cs="Times New Roman"/>
          <w:color w:val="000000" w:themeColor="text1"/>
          <w:highlight w:val="white"/>
        </w:rPr>
      </w:pPr>
      <w:r w:rsidRPr="00E53672">
        <w:rPr>
          <w:rFonts w:ascii="Times New Roman" w:eastAsia="Times New Roman" w:hAnsi="Times New Roman" w:cs="Times New Roman"/>
          <w:color w:val="000000" w:themeColor="text1"/>
        </w:rPr>
        <w:t xml:space="preserve">To assess differences in image characteristics among </w:t>
      </w:r>
      <w:r w:rsidR="00E53672">
        <w:rPr>
          <w:rFonts w:ascii="Times New Roman" w:eastAsia="Times New Roman" w:hAnsi="Times New Roman" w:cs="Times New Roman"/>
          <w:color w:val="000000" w:themeColor="text1"/>
        </w:rPr>
        <w:t xml:space="preserve">the various </w:t>
      </w:r>
      <w:r w:rsidRPr="00E53672">
        <w:rPr>
          <w:rFonts w:ascii="Times New Roman" w:eastAsia="Times New Roman" w:hAnsi="Times New Roman" w:cs="Times New Roman"/>
          <w:color w:val="000000" w:themeColor="text1"/>
        </w:rPr>
        <w:t xml:space="preserve">stimulus categories, we computed and analysed two </w:t>
      </w:r>
      <w:r w:rsidR="00E53672">
        <w:rPr>
          <w:rFonts w:ascii="Times New Roman" w:eastAsia="Times New Roman" w:hAnsi="Times New Roman" w:cs="Times New Roman"/>
          <w:color w:val="000000" w:themeColor="text1"/>
        </w:rPr>
        <w:t xml:space="preserve">distinct </w:t>
      </w:r>
      <w:r w:rsidRPr="00E53672">
        <w:rPr>
          <w:rFonts w:ascii="Times New Roman" w:eastAsia="Times New Roman" w:hAnsi="Times New Roman" w:cs="Times New Roman"/>
          <w:color w:val="000000" w:themeColor="text1"/>
        </w:rPr>
        <w:t>image descriptors</w:t>
      </w:r>
      <w:r w:rsidR="00E53672">
        <w:rPr>
          <w:rFonts w:ascii="Times New Roman" w:eastAsia="Times New Roman" w:hAnsi="Times New Roman" w:cs="Times New Roman"/>
          <w:color w:val="000000" w:themeColor="text1"/>
        </w:rPr>
        <w:t>. The first is</w:t>
      </w:r>
      <w:r w:rsidRPr="00E53672">
        <w:rPr>
          <w:rFonts w:ascii="Times New Roman" w:eastAsia="Times New Roman" w:hAnsi="Times New Roman" w:cs="Times New Roman"/>
          <w:color w:val="000000" w:themeColor="text1"/>
        </w:rPr>
        <w:t xml:space="preserve"> the </w:t>
      </w:r>
      <w:r w:rsidRPr="00E53672">
        <w:rPr>
          <w:rFonts w:ascii="Times New Roman" w:eastAsia="Times New Roman" w:hAnsi="Times New Roman" w:cs="Times New Roman"/>
          <w:color w:val="000000" w:themeColor="text1"/>
          <w:highlight w:val="white"/>
        </w:rPr>
        <w:t>GIST descriptor</w:t>
      </w:r>
      <w:r w:rsidR="00E53672">
        <w:rPr>
          <w:rFonts w:ascii="Times New Roman" w:eastAsia="Times New Roman" w:hAnsi="Times New Roman" w:cs="Times New Roman"/>
          <w:color w:val="000000" w:themeColor="text1"/>
          <w:highlight w:val="white"/>
        </w:rPr>
        <w:t xml:space="preserve">, </w:t>
      </w:r>
      <w:r w:rsidRPr="00E53672">
        <w:rPr>
          <w:rFonts w:ascii="Times New Roman" w:eastAsia="Times New Roman" w:hAnsi="Times New Roman" w:cs="Times New Roman"/>
          <w:color w:val="000000" w:themeColor="text1"/>
          <w:highlight w:val="white"/>
        </w:rPr>
        <w:t>a fixed-length global image descriptor designed to capture the spatial layout and coarse structure</w:t>
      </w:r>
      <w:proofErr w:type="gramStart"/>
      <w:r w:rsidRPr="00E53672">
        <w:rPr>
          <w:rFonts w:ascii="Times New Roman" w:eastAsia="Times New Roman" w:hAnsi="Times New Roman" w:cs="Times New Roman"/>
          <w:color w:val="000000" w:themeColor="text1"/>
          <w:highlight w:val="white"/>
        </w:rPr>
        <w:t>—“</w:t>
      </w:r>
      <w:proofErr w:type="gramEnd"/>
      <w:r w:rsidRPr="00E53672">
        <w:rPr>
          <w:rFonts w:ascii="Times New Roman" w:eastAsia="Times New Roman" w:hAnsi="Times New Roman" w:cs="Times New Roman"/>
          <w:color w:val="000000" w:themeColor="text1"/>
          <w:highlight w:val="white"/>
        </w:rPr>
        <w:t>the gist”—of a scene in a compact vector (</w:t>
      </w:r>
      <w:r w:rsidRPr="00E53672">
        <w:rPr>
          <w:rFonts w:ascii="Times New Roman" w:eastAsia="Times New Roman" w:hAnsi="Times New Roman" w:cs="Times New Roman"/>
          <w:color w:val="000000" w:themeColor="text1"/>
        </w:rPr>
        <w:t>Oliva &amp; Torralba, 2001)</w:t>
      </w:r>
      <w:r w:rsidR="00E53672">
        <w:rPr>
          <w:rFonts w:ascii="Times New Roman" w:eastAsia="Times New Roman" w:hAnsi="Times New Roman" w:cs="Times New Roman"/>
          <w:color w:val="000000" w:themeColor="text1"/>
        </w:rPr>
        <w:t xml:space="preserve">. The second is </w:t>
      </w:r>
      <w:r w:rsidRPr="00E53672">
        <w:rPr>
          <w:rFonts w:ascii="Times New Roman" w:eastAsia="Times New Roman" w:hAnsi="Times New Roman" w:cs="Times New Roman"/>
          <w:color w:val="000000" w:themeColor="text1"/>
        </w:rPr>
        <w:t>the Histogram of Oriented Gradients (HOG)</w:t>
      </w:r>
      <w:r w:rsidRPr="00E53672">
        <w:rPr>
          <w:rFonts w:ascii="Times New Roman" w:eastAsia="Times New Roman" w:hAnsi="Times New Roman" w:cs="Times New Roman"/>
          <w:color w:val="000000" w:themeColor="text1"/>
          <w:highlight w:val="white"/>
        </w:rPr>
        <w:t> descriptor</w:t>
      </w:r>
      <w:r w:rsidR="00E53672">
        <w:rPr>
          <w:rFonts w:ascii="Times New Roman" w:eastAsia="Times New Roman" w:hAnsi="Times New Roman" w:cs="Times New Roman"/>
          <w:color w:val="000000" w:themeColor="text1"/>
          <w:highlight w:val="white"/>
        </w:rPr>
        <w:t xml:space="preserve">, which </w:t>
      </w:r>
      <w:r w:rsidRPr="00E53672">
        <w:rPr>
          <w:rFonts w:ascii="Times New Roman" w:eastAsia="Times New Roman" w:hAnsi="Times New Roman" w:cs="Times New Roman"/>
          <w:color w:val="000000" w:themeColor="text1"/>
        </w:rPr>
        <w:t xml:space="preserve">captures local shape and appearance information by encoding the distribution of intensity gradients or edge directions within localized regions of an image. The underlying assumption is that the local </w:t>
      </w:r>
      <w:r w:rsidR="00E53672">
        <w:rPr>
          <w:rFonts w:ascii="Times New Roman" w:eastAsia="Times New Roman" w:hAnsi="Times New Roman" w:cs="Times New Roman"/>
          <w:color w:val="000000" w:themeColor="text1"/>
        </w:rPr>
        <w:t>image</w:t>
      </w:r>
      <w:r w:rsidRPr="00E53672">
        <w:rPr>
          <w:rFonts w:ascii="Times New Roman" w:eastAsia="Times New Roman" w:hAnsi="Times New Roman" w:cs="Times New Roman"/>
          <w:color w:val="000000" w:themeColor="text1"/>
        </w:rPr>
        <w:t xml:space="preserve"> appearance and shape can be effectively characterized by the distribution of local intensity gradients, even without precise knowledge of their spatial arrangement.</w:t>
      </w:r>
      <w:r w:rsidRPr="00E53672">
        <w:rPr>
          <w:rFonts w:ascii="Times New Roman" w:eastAsia="Times New Roman" w:hAnsi="Times New Roman" w:cs="Times New Roman"/>
          <w:color w:val="000000" w:themeColor="text1"/>
          <w:highlight w:val="white"/>
        </w:rPr>
        <w:t xml:space="preserve"> </w:t>
      </w:r>
    </w:p>
    <w:p w14:paraId="5B4E3D9F" w14:textId="77777777" w:rsidR="00E53672" w:rsidRPr="00E53672" w:rsidRDefault="00E53672" w:rsidP="00E53672">
      <w:pPr>
        <w:spacing w:line="360" w:lineRule="auto"/>
        <w:rPr>
          <w:rFonts w:ascii="Times New Roman" w:eastAsia="Times New Roman" w:hAnsi="Times New Roman" w:cs="Times New Roman"/>
          <w:color w:val="000000" w:themeColor="text1"/>
          <w:highlight w:val="white"/>
        </w:rPr>
      </w:pPr>
    </w:p>
    <w:p w14:paraId="5542B9AD" w14:textId="77777777" w:rsidR="00BC4E9C" w:rsidRPr="00E53672" w:rsidRDefault="00000000" w:rsidP="00E53672">
      <w:pPr>
        <w:spacing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i/>
          <w:iCs/>
          <w:color w:val="000000" w:themeColor="text1"/>
        </w:rPr>
        <w:t>GIST descriptor.</w:t>
      </w:r>
      <w:r w:rsidRPr="00E53672">
        <w:rPr>
          <w:rFonts w:ascii="Times New Roman" w:eastAsia="Times New Roman" w:hAnsi="Times New Roman" w:cs="Times New Roman"/>
          <w:color w:val="000000" w:themeColor="text1"/>
        </w:rPr>
        <w:t xml:space="preserve"> To directly assess the visual similarity/dissimilarity between the target stimuli (real faces, illusory faces, butterflies) and the filler stimuli, we performed an image-level analysis using the GIST descriptor (Oliva &amp; Torralba, 2001), as recently applied by Collyer et al. (2024). GIST descriptors were computed for each stimulus and arranged as feature vectors. Pairwise similarity was quantified using the Pearson correlation coefficient across descriptor dimensions and subsequently transformed into dissimilarities (1 – r), producing a representational dissimilarity matrix (RDM) that encodes the relative distances between images in terms of their global scene statistics (Figure 1).</w:t>
      </w:r>
    </w:p>
    <w:p w14:paraId="7BD9F384" w14:textId="70093993" w:rsidR="00BC4E9C" w:rsidRPr="00E53672" w:rsidRDefault="00000000" w:rsidP="00E53672">
      <w:pPr>
        <w:spacing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T</w:t>
      </w:r>
      <w:r w:rsidR="00E53672">
        <w:rPr>
          <w:rFonts w:ascii="Times New Roman" w:eastAsia="Times New Roman" w:hAnsi="Times New Roman" w:cs="Times New Roman"/>
          <w:color w:val="000000" w:themeColor="text1"/>
        </w:rPr>
        <w:t xml:space="preserve">wo </w:t>
      </w:r>
      <w:r w:rsidRPr="00E53672">
        <w:rPr>
          <w:rFonts w:ascii="Times New Roman" w:eastAsia="Times New Roman" w:hAnsi="Times New Roman" w:cs="Times New Roman"/>
          <w:color w:val="000000" w:themeColor="text1"/>
        </w:rPr>
        <w:t>ANOVAs were conducted on these dissimilarity values, followed by appropriate post-hoc pairwise comparisons (Bonferroni-corrected). The first ANOVA compared within-category values to assess which categories were more internally variable. This analysis showed that real faces were significantly more homogeneous (mean dissimilarity = 0.758, SD = 0.201, F = 13.70,</w:t>
      </w:r>
      <w:r w:rsidRPr="00E53672">
        <w:rPr>
          <w:rFonts w:ascii="Times New Roman" w:eastAsia="Times New Roman" w:hAnsi="Times New Roman" w:cs="Times New Roman"/>
          <w:i/>
          <w:iCs/>
          <w:color w:val="000000" w:themeColor="text1"/>
        </w:rPr>
        <w:t xml:space="preserve"> p</w:t>
      </w:r>
      <w:r w:rsidRPr="00E53672">
        <w:rPr>
          <w:rFonts w:ascii="Times New Roman" w:eastAsia="Times New Roman" w:hAnsi="Times New Roman" w:cs="Times New Roman"/>
          <w:color w:val="000000" w:themeColor="text1"/>
        </w:rPr>
        <w:t xml:space="preserve"> &lt;  .001, η²p = .034 ) than both standard objects (mean dissimilarity = 1.007, SD = .220; </w:t>
      </w:r>
      <w:r w:rsidRPr="00E53672">
        <w:rPr>
          <w:rFonts w:ascii="Times New Roman" w:eastAsia="Times New Roman" w:hAnsi="Times New Roman" w:cs="Times New Roman"/>
          <w:i/>
          <w:iCs/>
          <w:color w:val="000000" w:themeColor="text1"/>
        </w:rPr>
        <w:t>t</w:t>
      </w:r>
      <w:r w:rsidRPr="00E53672">
        <w:rPr>
          <w:rFonts w:ascii="Times New Roman" w:eastAsia="Times New Roman" w:hAnsi="Times New Roman" w:cs="Times New Roman"/>
          <w:color w:val="000000" w:themeColor="text1"/>
        </w:rPr>
        <w:t xml:space="preserve"> = -5.941, </w:t>
      </w:r>
      <w:r w:rsidRPr="00E53672">
        <w:rPr>
          <w:rFonts w:ascii="Times New Roman" w:eastAsia="Times New Roman" w:hAnsi="Times New Roman" w:cs="Times New Roman"/>
          <w:i/>
          <w:iCs/>
          <w:color w:val="000000" w:themeColor="text1"/>
        </w:rPr>
        <w:t>d</w:t>
      </w:r>
      <w:r w:rsidRPr="00E53672">
        <w:rPr>
          <w:rFonts w:ascii="Times New Roman" w:eastAsia="Times New Roman" w:hAnsi="Times New Roman" w:cs="Times New Roman"/>
          <w:color w:val="000000" w:themeColor="text1"/>
        </w:rPr>
        <w:t xml:space="preserve"> = - 1.137, </w:t>
      </w:r>
      <w:r w:rsidRPr="00E53672">
        <w:rPr>
          <w:rFonts w:ascii="Times New Roman" w:eastAsia="Times New Roman" w:hAnsi="Times New Roman" w:cs="Times New Roman"/>
          <w:i/>
          <w:iCs/>
          <w:color w:val="000000" w:themeColor="text1"/>
        </w:rPr>
        <w:t>p</w:t>
      </w:r>
      <w:r w:rsidRPr="00E53672">
        <w:rPr>
          <w:rFonts w:ascii="Times New Roman" w:eastAsia="Times New Roman" w:hAnsi="Times New Roman" w:cs="Times New Roman"/>
          <w:color w:val="000000" w:themeColor="text1"/>
        </w:rPr>
        <w:t xml:space="preserve"> = &lt; .001)  and illusory faces (mean dissimilarity = 1.001, SD = .235; </w:t>
      </w:r>
      <w:r w:rsidRPr="00E53672">
        <w:rPr>
          <w:rFonts w:ascii="Times New Roman" w:eastAsia="Times New Roman" w:hAnsi="Times New Roman" w:cs="Times New Roman"/>
          <w:i/>
          <w:iCs/>
          <w:color w:val="000000" w:themeColor="text1"/>
        </w:rPr>
        <w:t>t</w:t>
      </w:r>
      <w:r w:rsidRPr="00E53672">
        <w:rPr>
          <w:rFonts w:ascii="Times New Roman" w:eastAsia="Times New Roman" w:hAnsi="Times New Roman" w:cs="Times New Roman"/>
          <w:color w:val="000000" w:themeColor="text1"/>
        </w:rPr>
        <w:t xml:space="preserve"> = -4.152, </w:t>
      </w:r>
      <w:r w:rsidRPr="00E53672">
        <w:rPr>
          <w:rFonts w:ascii="Times New Roman" w:eastAsia="Times New Roman" w:hAnsi="Times New Roman" w:cs="Times New Roman"/>
          <w:i/>
          <w:iCs/>
          <w:color w:val="000000" w:themeColor="text1"/>
        </w:rPr>
        <w:t>d</w:t>
      </w:r>
      <w:r w:rsidRPr="00E53672">
        <w:rPr>
          <w:rFonts w:ascii="Times New Roman" w:eastAsia="Times New Roman" w:hAnsi="Times New Roman" w:cs="Times New Roman"/>
          <w:color w:val="000000" w:themeColor="text1"/>
        </w:rPr>
        <w:t xml:space="preserve"> = - 1.1107, </w:t>
      </w:r>
      <w:r w:rsidRPr="00E53672">
        <w:rPr>
          <w:rFonts w:ascii="Times New Roman" w:eastAsia="Times New Roman" w:hAnsi="Times New Roman" w:cs="Times New Roman"/>
          <w:i/>
          <w:iCs/>
          <w:color w:val="000000" w:themeColor="text1"/>
        </w:rPr>
        <w:t>p</w:t>
      </w:r>
      <w:r w:rsidRPr="00E53672">
        <w:rPr>
          <w:rFonts w:ascii="Times New Roman" w:eastAsia="Times New Roman" w:hAnsi="Times New Roman" w:cs="Times New Roman"/>
          <w:color w:val="000000" w:themeColor="text1"/>
        </w:rPr>
        <w:t xml:space="preserve"> = &lt; .001), while butterflies showed intermediate values (mean dissimilarity = 0.900, SD = 0.182). </w:t>
      </w:r>
    </w:p>
    <w:p w14:paraId="75A7EA28" w14:textId="77777777" w:rsidR="00E53672" w:rsidRDefault="00000000" w:rsidP="00E53672">
      <w:pPr>
        <w:spacing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 xml:space="preserve">The second ANOVA compared the dissimilarity between each target category and fillers (standard objects), addressing whether any target was disproportionately similar to fillers. This analysis yielded no significant effects (F = 2.826, </w:t>
      </w:r>
      <w:r w:rsidRPr="00E53672">
        <w:rPr>
          <w:rFonts w:ascii="Times New Roman" w:eastAsia="Times New Roman" w:hAnsi="Times New Roman" w:cs="Times New Roman"/>
          <w:i/>
          <w:iCs/>
          <w:color w:val="000000" w:themeColor="text1"/>
        </w:rPr>
        <w:t>p</w:t>
      </w:r>
      <w:r w:rsidRPr="00E53672">
        <w:rPr>
          <w:rFonts w:ascii="Times New Roman" w:eastAsia="Times New Roman" w:hAnsi="Times New Roman" w:cs="Times New Roman"/>
          <w:color w:val="000000" w:themeColor="text1"/>
        </w:rPr>
        <w:t xml:space="preserve"> = .060, η²p = .005). Thus, illusory faces do not seem to overlap more with fillers than the other categories (see Table 1). </w:t>
      </w:r>
    </w:p>
    <w:p w14:paraId="1C13281D" w14:textId="266DEEF3" w:rsidR="00B86784" w:rsidRPr="00E53672" w:rsidRDefault="00E53672" w:rsidP="00E53672">
      <w:pPr>
        <w:spacing w:line="36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To summarize,</w:t>
      </w:r>
      <w:r w:rsidR="00000000" w:rsidRPr="00E53672">
        <w:rPr>
          <w:rFonts w:ascii="Times New Roman" w:eastAsia="Times New Roman" w:hAnsi="Times New Roman" w:cs="Times New Roman"/>
          <w:color w:val="000000" w:themeColor="text1"/>
        </w:rPr>
        <w:t xml:space="preserve"> the results </w:t>
      </w:r>
      <w:r w:rsidR="00B86784" w:rsidRPr="00E53672">
        <w:rPr>
          <w:rFonts w:ascii="Times New Roman" w:eastAsia="Times New Roman" w:hAnsi="Times New Roman" w:cs="Times New Roman"/>
          <w:color w:val="000000" w:themeColor="text1"/>
        </w:rPr>
        <w:t xml:space="preserve">of the analyses revealed </w:t>
      </w:r>
      <w:r w:rsidR="00B86784" w:rsidRPr="00E53672">
        <w:rPr>
          <w:rFonts w:ascii="Times New Roman" w:hAnsi="Times New Roman" w:cs="Times New Roman"/>
          <w:color w:val="000000" w:themeColor="text1"/>
        </w:rPr>
        <w:t xml:space="preserve">within-category differences for all stimulus categories, except for real faces, which exhibited greater overall homogeneity. Importantly, the differences between each target category (i.e., real faces, illusory faces, and butterflies) and the </w:t>
      </w:r>
      <w:r w:rsidR="00B86784" w:rsidRPr="00E53672">
        <w:rPr>
          <w:rFonts w:ascii="Times New Roman" w:hAnsi="Times New Roman" w:cs="Times New Roman"/>
          <w:color w:val="000000" w:themeColor="text1"/>
        </w:rPr>
        <w:lastRenderedPageBreak/>
        <w:t xml:space="preserve">filler stimuli (standard objects) were comparable. Therefore, there was no indication of disproportionate similarity between illusory faces and fillers (that is, </w:t>
      </w:r>
      <w:r w:rsidR="00000000" w:rsidRPr="00E53672">
        <w:rPr>
          <w:rFonts w:ascii="Times New Roman" w:eastAsia="Times New Roman" w:hAnsi="Times New Roman" w:cs="Times New Roman"/>
          <w:color w:val="000000" w:themeColor="text1"/>
        </w:rPr>
        <w:t>filler stimuli do</w:t>
      </w:r>
      <w:r w:rsidR="00B86784" w:rsidRPr="00E53672">
        <w:rPr>
          <w:rFonts w:ascii="Times New Roman" w:eastAsia="Times New Roman" w:hAnsi="Times New Roman" w:cs="Times New Roman"/>
          <w:color w:val="000000" w:themeColor="text1"/>
        </w:rPr>
        <w:t xml:space="preserve"> not seem to </w:t>
      </w:r>
      <w:r w:rsidR="00000000" w:rsidRPr="00E53672">
        <w:rPr>
          <w:rFonts w:ascii="Times New Roman" w:eastAsia="Times New Roman" w:hAnsi="Times New Roman" w:cs="Times New Roman"/>
          <w:color w:val="000000" w:themeColor="text1"/>
        </w:rPr>
        <w:t>disproportionately bias the visual similarity structure at the level of low-level image statistic</w:t>
      </w:r>
      <w:r w:rsidR="00B86784" w:rsidRPr="00E53672">
        <w:rPr>
          <w:rFonts w:ascii="Times New Roman" w:eastAsia="Times New Roman" w:hAnsi="Times New Roman" w:cs="Times New Roman"/>
          <w:color w:val="000000" w:themeColor="text1"/>
        </w:rPr>
        <w:t xml:space="preserve">s). </w:t>
      </w:r>
    </w:p>
    <w:p w14:paraId="4721040E" w14:textId="77777777" w:rsidR="00BC4E9C" w:rsidRPr="00E53672" w:rsidRDefault="00000000" w:rsidP="00E53672">
      <w:pPr>
        <w:spacing w:line="360" w:lineRule="auto"/>
        <w:jc w:val="center"/>
        <w:rPr>
          <w:rFonts w:ascii="Times New Roman" w:eastAsia="Times New Roman" w:hAnsi="Times New Roman" w:cs="Times New Roman"/>
          <w:color w:val="000000" w:themeColor="text1"/>
        </w:rPr>
      </w:pPr>
      <w:r w:rsidRPr="00E53672">
        <w:rPr>
          <w:rFonts w:ascii="Times New Roman" w:eastAsia="Times New Roman" w:hAnsi="Times New Roman" w:cs="Times New Roman"/>
          <w:noProof/>
          <w:color w:val="000000" w:themeColor="text1"/>
        </w:rPr>
        <w:drawing>
          <wp:inline distT="0" distB="0" distL="0" distR="0" wp14:anchorId="64D25771" wp14:editId="400B5E3E">
            <wp:extent cx="4501048" cy="4050067"/>
            <wp:effectExtent l="0" t="0" r="0" b="0"/>
            <wp:docPr id="1" name="image1.png" descr="Immagine che contiene testo, schermata, linea, diagramma&#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schermata, linea, diagramma&#10;&#10;Il contenuto generato dall'IA potrebbe non essere corretto."/>
                    <pic:cNvPicPr preferRelativeResize="0"/>
                  </pic:nvPicPr>
                  <pic:blipFill>
                    <a:blip r:embed="rId7"/>
                    <a:srcRect l="4045" b="2858"/>
                    <a:stretch>
                      <a:fillRect/>
                    </a:stretch>
                  </pic:blipFill>
                  <pic:spPr>
                    <a:xfrm>
                      <a:off x="0" y="0"/>
                      <a:ext cx="4501048" cy="4050067"/>
                    </a:xfrm>
                    <a:prstGeom prst="rect">
                      <a:avLst/>
                    </a:prstGeom>
                    <a:ln/>
                  </pic:spPr>
                </pic:pic>
              </a:graphicData>
            </a:graphic>
          </wp:inline>
        </w:drawing>
      </w:r>
    </w:p>
    <w:p w14:paraId="58A55FE1" w14:textId="77777777" w:rsidR="00BC4E9C" w:rsidRPr="00E53672" w:rsidRDefault="00000000" w:rsidP="00E53672">
      <w:pPr>
        <w:jc w:val="center"/>
        <w:rPr>
          <w:rFonts w:ascii="Times New Roman" w:eastAsia="Times New Roman" w:hAnsi="Times New Roman" w:cs="Times New Roman"/>
          <w:color w:val="000000" w:themeColor="text1"/>
          <w:sz w:val="22"/>
          <w:szCs w:val="22"/>
        </w:rPr>
      </w:pPr>
      <w:r w:rsidRPr="00E53672">
        <w:rPr>
          <w:rFonts w:ascii="Times New Roman" w:eastAsia="Times New Roman" w:hAnsi="Times New Roman" w:cs="Times New Roman"/>
          <w:color w:val="000000" w:themeColor="text1"/>
          <w:sz w:val="22"/>
          <w:szCs w:val="22"/>
        </w:rPr>
        <w:t>Figure 1.</w:t>
      </w:r>
      <w:r w:rsidRPr="00E53672">
        <w:rPr>
          <w:rFonts w:ascii="Times New Roman" w:eastAsia="Times New Roman" w:hAnsi="Times New Roman" w:cs="Times New Roman"/>
          <w:i/>
          <w:iCs/>
          <w:color w:val="000000" w:themeColor="text1"/>
          <w:sz w:val="22"/>
          <w:szCs w:val="22"/>
        </w:rPr>
        <w:t xml:space="preserve"> </w:t>
      </w:r>
      <w:r w:rsidRPr="00E53672">
        <w:rPr>
          <w:rFonts w:ascii="Times New Roman" w:eastAsia="Times New Roman" w:hAnsi="Times New Roman" w:cs="Times New Roman"/>
          <w:color w:val="000000" w:themeColor="text1"/>
          <w:sz w:val="22"/>
          <w:szCs w:val="22"/>
        </w:rPr>
        <w:t>Representational Dissimilarity Matrix (RDM)</w:t>
      </w:r>
      <w:r w:rsidRPr="00E53672">
        <w:rPr>
          <w:rFonts w:ascii="Times New Roman" w:eastAsia="Times New Roman" w:hAnsi="Times New Roman" w:cs="Times New Roman"/>
          <w:i/>
          <w:iCs/>
          <w:color w:val="000000" w:themeColor="text1"/>
          <w:sz w:val="22"/>
          <w:szCs w:val="22"/>
        </w:rPr>
        <w:t xml:space="preserve"> </w:t>
      </w:r>
      <w:r w:rsidRPr="00E53672">
        <w:rPr>
          <w:rFonts w:ascii="Times New Roman" w:eastAsia="Gungsuh" w:hAnsi="Times New Roman" w:cs="Times New Roman"/>
          <w:color w:val="000000" w:themeColor="text1"/>
          <w:sz w:val="22"/>
          <w:szCs w:val="22"/>
        </w:rPr>
        <w:t>based on GIST descriptors. Each cell represents the dissimilarity between two images, computed as 1−</w:t>
      </w:r>
      <w:r w:rsidRPr="00E53672">
        <w:rPr>
          <w:rFonts w:ascii="Times New Roman" w:eastAsia="Times New Roman" w:hAnsi="Times New Roman" w:cs="Times New Roman"/>
          <w:i/>
          <w:iCs/>
          <w:color w:val="000000" w:themeColor="text1"/>
          <w:sz w:val="22"/>
          <w:szCs w:val="22"/>
        </w:rPr>
        <w:t>r</w:t>
      </w:r>
      <w:r w:rsidRPr="00E53672">
        <w:rPr>
          <w:rFonts w:ascii="Times New Roman" w:eastAsia="Times New Roman" w:hAnsi="Times New Roman" w:cs="Times New Roman"/>
          <w:color w:val="000000" w:themeColor="text1"/>
          <w:sz w:val="22"/>
          <w:szCs w:val="22"/>
        </w:rPr>
        <w:t xml:space="preserve">, where </w:t>
      </w:r>
      <w:r w:rsidRPr="00E53672">
        <w:rPr>
          <w:rFonts w:ascii="Times New Roman" w:eastAsia="Times New Roman" w:hAnsi="Times New Roman" w:cs="Times New Roman"/>
          <w:i/>
          <w:iCs/>
          <w:color w:val="000000" w:themeColor="text1"/>
          <w:sz w:val="22"/>
          <w:szCs w:val="22"/>
        </w:rPr>
        <w:t>r</w:t>
      </w:r>
      <w:r w:rsidRPr="00E53672">
        <w:rPr>
          <w:rFonts w:ascii="Times New Roman" w:eastAsia="Times New Roman" w:hAnsi="Times New Roman" w:cs="Times New Roman"/>
          <w:color w:val="000000" w:themeColor="text1"/>
          <w:sz w:val="22"/>
          <w:szCs w:val="22"/>
        </w:rPr>
        <w:t xml:space="preserve"> is the Pearson correlation between their GIST feature vectors. The resulting values range theoretically from 0 (perfectly correlated) to 2 (perfectly anticorrelated). For visualization purposes, dissimilarities were rescaled and clipped to the interval [0,1], so that higher values correspond to greater dissimilarity and lower values to greater similarity. Images are ordered by category (Faces, Butterflies, Illusory faces, Standard Objects), and black grid lines indicate category boundaries.</w:t>
      </w:r>
    </w:p>
    <w:p w14:paraId="5B5C2FED" w14:textId="77777777" w:rsidR="00BC4E9C" w:rsidRPr="00E53672" w:rsidRDefault="00BC4E9C" w:rsidP="00E53672">
      <w:pPr>
        <w:spacing w:line="360" w:lineRule="auto"/>
        <w:rPr>
          <w:rFonts w:ascii="Times New Roman" w:eastAsia="Times New Roman" w:hAnsi="Times New Roman" w:cs="Times New Roman"/>
          <w:color w:val="000000" w:themeColor="text1"/>
        </w:rPr>
      </w:pPr>
    </w:p>
    <w:p w14:paraId="7AA7743B" w14:textId="77777777" w:rsidR="00BC4E9C" w:rsidRPr="00E53672" w:rsidRDefault="00BC4E9C" w:rsidP="00E53672">
      <w:pPr>
        <w:spacing w:line="360" w:lineRule="auto"/>
        <w:rPr>
          <w:rFonts w:ascii="Times New Roman" w:eastAsia="Times New Roman" w:hAnsi="Times New Roman" w:cs="Times New Roman"/>
          <w:color w:val="000000" w:themeColor="text1"/>
        </w:rPr>
      </w:pPr>
    </w:p>
    <w:tbl>
      <w:tblPr>
        <w:tblStyle w:val="a"/>
        <w:tblW w:w="6615" w:type="dxa"/>
        <w:jc w:val="center"/>
        <w:tblInd w:w="0" w:type="dxa"/>
        <w:tblBorders>
          <w:top w:val="single" w:sz="4" w:space="0" w:color="7F7F7F"/>
          <w:bottom w:val="single" w:sz="4" w:space="0" w:color="7F7F7F"/>
        </w:tblBorders>
        <w:tblLayout w:type="fixed"/>
        <w:tblLook w:val="04A0" w:firstRow="1" w:lastRow="0" w:firstColumn="1" w:lastColumn="0" w:noHBand="0" w:noVBand="1"/>
      </w:tblPr>
      <w:tblGrid>
        <w:gridCol w:w="3549"/>
        <w:gridCol w:w="236"/>
        <w:gridCol w:w="236"/>
        <w:gridCol w:w="236"/>
        <w:gridCol w:w="756"/>
        <w:gridCol w:w="236"/>
        <w:gridCol w:w="756"/>
        <w:gridCol w:w="374"/>
        <w:gridCol w:w="236"/>
      </w:tblGrid>
      <w:tr w:rsidR="00E53672" w:rsidRPr="00E53672" w14:paraId="06034328" w14:textId="77777777" w:rsidTr="00E53672">
        <w:trPr>
          <w:gridAfter w:val="1"/>
          <w:cnfStyle w:val="100000000000" w:firstRow="1" w:lastRow="0" w:firstColumn="0" w:lastColumn="0" w:oddVBand="0" w:evenVBand="0" w:oddHBand="0" w:evenHBand="0" w:firstRowFirstColumn="0" w:firstRowLastColumn="0" w:lastRowFirstColumn="0" w:lastRowLastColumn="0"/>
          <w:wAfter w:w="236" w:type="dxa"/>
          <w:jc w:val="center"/>
        </w:trPr>
        <w:tc>
          <w:tcPr>
            <w:cnfStyle w:val="001000000000" w:firstRow="0" w:lastRow="0" w:firstColumn="1" w:lastColumn="0" w:oddVBand="0" w:evenVBand="0" w:oddHBand="0" w:evenHBand="0" w:firstRowFirstColumn="0" w:firstRowLastColumn="0" w:lastRowFirstColumn="0" w:lastRowLastColumn="0"/>
            <w:tcW w:w="3785" w:type="dxa"/>
            <w:gridSpan w:val="2"/>
            <w:tcBorders>
              <w:top w:val="nil"/>
            </w:tcBorders>
          </w:tcPr>
          <w:p w14:paraId="0522F32C" w14:textId="77777777" w:rsidR="00BC4E9C" w:rsidRPr="00E53672" w:rsidRDefault="00BC4E9C" w:rsidP="00E53672">
            <w:pPr>
              <w:spacing w:after="160" w:line="360" w:lineRule="auto"/>
              <w:rPr>
                <w:rFonts w:ascii="Times New Roman" w:eastAsia="Times New Roman" w:hAnsi="Times New Roman" w:cs="Times New Roman"/>
                <w:color w:val="000000" w:themeColor="text1"/>
              </w:rPr>
            </w:pPr>
          </w:p>
        </w:tc>
        <w:tc>
          <w:tcPr>
            <w:tcW w:w="472" w:type="dxa"/>
            <w:gridSpan w:val="2"/>
            <w:tcBorders>
              <w:top w:val="nil"/>
            </w:tcBorders>
          </w:tcPr>
          <w:p w14:paraId="28D79C81" w14:textId="77777777" w:rsidR="00BC4E9C" w:rsidRPr="00E53672" w:rsidRDefault="00BC4E9C" w:rsidP="00E53672">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992" w:type="dxa"/>
            <w:gridSpan w:val="2"/>
            <w:tcBorders>
              <w:top w:val="nil"/>
            </w:tcBorders>
          </w:tcPr>
          <w:p w14:paraId="729BB935" w14:textId="77777777" w:rsidR="00BC4E9C" w:rsidRPr="00E53672" w:rsidRDefault="00000000" w:rsidP="00E53672">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Mean</w:t>
            </w:r>
          </w:p>
        </w:tc>
        <w:tc>
          <w:tcPr>
            <w:tcW w:w="1130" w:type="dxa"/>
            <w:gridSpan w:val="2"/>
            <w:tcBorders>
              <w:top w:val="nil"/>
              <w:right w:val="nil"/>
            </w:tcBorders>
          </w:tcPr>
          <w:p w14:paraId="5B1D16DF" w14:textId="77777777" w:rsidR="00BC4E9C" w:rsidRPr="00E53672" w:rsidRDefault="00000000" w:rsidP="00E53672">
            <w:pPr>
              <w:spacing w:after="16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SD</w:t>
            </w:r>
          </w:p>
        </w:tc>
      </w:tr>
      <w:tr w:rsidR="00E53672" w:rsidRPr="00E53672" w14:paraId="10AC0847" w14:textId="77777777" w:rsidTr="00E536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9" w:type="dxa"/>
          </w:tcPr>
          <w:p w14:paraId="4633F65A" w14:textId="77777777" w:rsidR="00BC4E9C" w:rsidRPr="00E53672" w:rsidRDefault="00000000" w:rsidP="00E53672">
            <w:pPr>
              <w:spacing w:after="160"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b w:val="0"/>
                <w:bCs w:val="0"/>
                <w:color w:val="000000" w:themeColor="text1"/>
              </w:rPr>
              <w:t>Butterflies vs Standard Objects</w:t>
            </w:r>
          </w:p>
        </w:tc>
        <w:tc>
          <w:tcPr>
            <w:tcW w:w="236" w:type="dxa"/>
          </w:tcPr>
          <w:p w14:paraId="527EA39A"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5F571AAB"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2BA6F627"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756" w:type="dxa"/>
          </w:tcPr>
          <w:p w14:paraId="3F3DFC73" w14:textId="77777777" w:rsidR="00BC4E9C" w:rsidRPr="00E53672" w:rsidRDefault="00000000"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1.036</w:t>
            </w:r>
          </w:p>
        </w:tc>
        <w:tc>
          <w:tcPr>
            <w:tcW w:w="236" w:type="dxa"/>
          </w:tcPr>
          <w:p w14:paraId="480AB027"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756" w:type="dxa"/>
            <w:tcBorders>
              <w:right w:val="nil"/>
            </w:tcBorders>
          </w:tcPr>
          <w:p w14:paraId="5D14A2FB" w14:textId="77777777" w:rsidR="00BC4E9C" w:rsidRPr="00E53672" w:rsidRDefault="00000000"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0.171</w:t>
            </w:r>
          </w:p>
        </w:tc>
        <w:tc>
          <w:tcPr>
            <w:tcW w:w="374" w:type="dxa"/>
            <w:tcBorders>
              <w:left w:val="nil"/>
            </w:tcBorders>
          </w:tcPr>
          <w:p w14:paraId="7BBD56B7"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29B49B06"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r>
      <w:tr w:rsidR="00E53672" w:rsidRPr="00E53672" w14:paraId="3B61E856" w14:textId="77777777" w:rsidTr="00E53672">
        <w:trPr>
          <w:jc w:val="center"/>
        </w:trPr>
        <w:tc>
          <w:tcPr>
            <w:cnfStyle w:val="001000000000" w:firstRow="0" w:lastRow="0" w:firstColumn="1" w:lastColumn="0" w:oddVBand="0" w:evenVBand="0" w:oddHBand="0" w:evenHBand="0" w:firstRowFirstColumn="0" w:firstRowLastColumn="0" w:lastRowFirstColumn="0" w:lastRowLastColumn="0"/>
            <w:tcW w:w="3549" w:type="dxa"/>
          </w:tcPr>
          <w:p w14:paraId="32C65021" w14:textId="77777777" w:rsidR="00BC4E9C" w:rsidRPr="00E53672" w:rsidRDefault="00000000" w:rsidP="00E53672">
            <w:pPr>
              <w:spacing w:after="160"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b w:val="0"/>
                <w:bCs w:val="0"/>
                <w:color w:val="000000" w:themeColor="text1"/>
              </w:rPr>
              <w:t>Faces vs Standard Objects</w:t>
            </w:r>
          </w:p>
        </w:tc>
        <w:tc>
          <w:tcPr>
            <w:tcW w:w="236" w:type="dxa"/>
          </w:tcPr>
          <w:p w14:paraId="7CFCCEA3" w14:textId="77777777" w:rsidR="00BC4E9C" w:rsidRPr="00E53672" w:rsidRDefault="00BC4E9C"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09903C74" w14:textId="77777777" w:rsidR="00BC4E9C" w:rsidRPr="00E53672" w:rsidRDefault="00BC4E9C"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Borders>
              <w:top w:val="single" w:sz="4" w:space="0" w:color="7F7F7F"/>
              <w:bottom w:val="single" w:sz="4" w:space="0" w:color="7F7F7F"/>
            </w:tcBorders>
          </w:tcPr>
          <w:p w14:paraId="7D6BDD91" w14:textId="77777777" w:rsidR="00BC4E9C" w:rsidRPr="00E53672" w:rsidRDefault="00BC4E9C"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756" w:type="dxa"/>
            <w:tcBorders>
              <w:top w:val="single" w:sz="4" w:space="0" w:color="7F7F7F"/>
              <w:bottom w:val="single" w:sz="4" w:space="0" w:color="7F7F7F"/>
            </w:tcBorders>
          </w:tcPr>
          <w:p w14:paraId="2E20030E" w14:textId="77777777" w:rsidR="00BC4E9C" w:rsidRPr="00E53672" w:rsidRDefault="00000000"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1.034</w:t>
            </w:r>
          </w:p>
        </w:tc>
        <w:tc>
          <w:tcPr>
            <w:tcW w:w="236" w:type="dxa"/>
            <w:tcBorders>
              <w:top w:val="single" w:sz="4" w:space="0" w:color="7F7F7F"/>
              <w:bottom w:val="single" w:sz="4" w:space="0" w:color="7F7F7F"/>
            </w:tcBorders>
          </w:tcPr>
          <w:p w14:paraId="1D2201D6" w14:textId="77777777" w:rsidR="00BC4E9C" w:rsidRPr="00E53672" w:rsidRDefault="00BC4E9C"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756" w:type="dxa"/>
            <w:tcBorders>
              <w:top w:val="single" w:sz="4" w:space="0" w:color="7F7F7F"/>
              <w:bottom w:val="single" w:sz="4" w:space="0" w:color="7F7F7F"/>
              <w:right w:val="nil"/>
            </w:tcBorders>
          </w:tcPr>
          <w:p w14:paraId="3CAD28BD" w14:textId="77777777" w:rsidR="00BC4E9C" w:rsidRPr="00E53672" w:rsidRDefault="00000000"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0.187</w:t>
            </w:r>
          </w:p>
        </w:tc>
        <w:tc>
          <w:tcPr>
            <w:tcW w:w="374" w:type="dxa"/>
            <w:tcBorders>
              <w:left w:val="nil"/>
            </w:tcBorders>
          </w:tcPr>
          <w:p w14:paraId="5A00A4C3" w14:textId="77777777" w:rsidR="00BC4E9C" w:rsidRPr="00E53672" w:rsidRDefault="00BC4E9C"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65BDBF54" w14:textId="77777777" w:rsidR="00BC4E9C" w:rsidRPr="00E53672" w:rsidRDefault="00BC4E9C" w:rsidP="00E53672">
            <w:pPr>
              <w:spacing w:after="16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p>
        </w:tc>
      </w:tr>
      <w:tr w:rsidR="00E53672" w:rsidRPr="00E53672" w14:paraId="46F9F8DD" w14:textId="77777777" w:rsidTr="00E5367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49" w:type="dxa"/>
          </w:tcPr>
          <w:p w14:paraId="361AF785" w14:textId="77777777" w:rsidR="00BC4E9C" w:rsidRPr="00E53672" w:rsidRDefault="00000000" w:rsidP="00E53672">
            <w:pPr>
              <w:spacing w:after="160"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b w:val="0"/>
                <w:bCs w:val="0"/>
                <w:color w:val="000000" w:themeColor="text1"/>
              </w:rPr>
              <w:t>Illusory Faces vs Standard Objects</w:t>
            </w:r>
          </w:p>
        </w:tc>
        <w:tc>
          <w:tcPr>
            <w:tcW w:w="236" w:type="dxa"/>
          </w:tcPr>
          <w:p w14:paraId="43967FB5"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7FAE2D26"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5807084F"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756" w:type="dxa"/>
          </w:tcPr>
          <w:p w14:paraId="20D6A222" w14:textId="77777777" w:rsidR="00BC4E9C" w:rsidRPr="00E53672" w:rsidRDefault="00000000"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1.006</w:t>
            </w:r>
          </w:p>
        </w:tc>
        <w:tc>
          <w:tcPr>
            <w:tcW w:w="236" w:type="dxa"/>
          </w:tcPr>
          <w:p w14:paraId="6516A740"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756" w:type="dxa"/>
            <w:tcBorders>
              <w:right w:val="nil"/>
            </w:tcBorders>
          </w:tcPr>
          <w:p w14:paraId="311B253B" w14:textId="77777777" w:rsidR="00BC4E9C" w:rsidRPr="00E53672" w:rsidRDefault="00000000"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0.219</w:t>
            </w:r>
          </w:p>
        </w:tc>
        <w:tc>
          <w:tcPr>
            <w:tcW w:w="374" w:type="dxa"/>
            <w:tcBorders>
              <w:left w:val="nil"/>
            </w:tcBorders>
          </w:tcPr>
          <w:p w14:paraId="7970203F"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c>
          <w:tcPr>
            <w:tcW w:w="236" w:type="dxa"/>
          </w:tcPr>
          <w:p w14:paraId="5D920C98" w14:textId="77777777" w:rsidR="00BC4E9C" w:rsidRPr="00E53672" w:rsidRDefault="00BC4E9C" w:rsidP="00E53672">
            <w:pPr>
              <w:spacing w:after="16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p>
        </w:tc>
      </w:tr>
    </w:tbl>
    <w:p w14:paraId="7ECD015C" w14:textId="77777777" w:rsidR="00BC4E9C" w:rsidRPr="00E53672" w:rsidRDefault="00BC4E9C" w:rsidP="00E53672">
      <w:pPr>
        <w:spacing w:line="360" w:lineRule="auto"/>
        <w:rPr>
          <w:rFonts w:ascii="Times New Roman" w:eastAsia="Times New Roman" w:hAnsi="Times New Roman" w:cs="Times New Roman"/>
          <w:color w:val="000000" w:themeColor="text1"/>
          <w:sz w:val="22"/>
          <w:szCs w:val="22"/>
        </w:rPr>
      </w:pPr>
    </w:p>
    <w:p w14:paraId="19BA26C7" w14:textId="77777777" w:rsidR="00BC4E9C" w:rsidRPr="00E53672" w:rsidRDefault="00000000" w:rsidP="00E53672">
      <w:pPr>
        <w:jc w:val="center"/>
        <w:rPr>
          <w:rFonts w:ascii="Times New Roman" w:eastAsia="Times New Roman" w:hAnsi="Times New Roman" w:cs="Times New Roman"/>
          <w:color w:val="000000" w:themeColor="text1"/>
          <w:sz w:val="22"/>
          <w:szCs w:val="22"/>
        </w:rPr>
      </w:pPr>
      <w:r w:rsidRPr="00E53672">
        <w:rPr>
          <w:rFonts w:ascii="Times New Roman" w:eastAsia="Times New Roman" w:hAnsi="Times New Roman" w:cs="Times New Roman"/>
          <w:color w:val="000000" w:themeColor="text1"/>
          <w:sz w:val="22"/>
          <w:szCs w:val="22"/>
        </w:rPr>
        <w:t xml:space="preserve">Table 1. Mean dissimilarity values (1 – </w:t>
      </w:r>
      <w:r w:rsidRPr="00E53672">
        <w:rPr>
          <w:rFonts w:ascii="Times New Roman" w:eastAsia="Times New Roman" w:hAnsi="Times New Roman" w:cs="Times New Roman"/>
          <w:i/>
          <w:iCs/>
          <w:color w:val="000000" w:themeColor="text1"/>
          <w:sz w:val="22"/>
          <w:szCs w:val="22"/>
        </w:rPr>
        <w:t>r</w:t>
      </w:r>
      <w:r w:rsidRPr="00E53672">
        <w:rPr>
          <w:rFonts w:ascii="Times New Roman" w:eastAsia="Times New Roman" w:hAnsi="Times New Roman" w:cs="Times New Roman"/>
          <w:color w:val="000000" w:themeColor="text1"/>
          <w:sz w:val="22"/>
          <w:szCs w:val="22"/>
        </w:rPr>
        <w:t>) between target categories (butterflies, faces, illusory faces) and fillers (Standard objects).</w:t>
      </w:r>
    </w:p>
    <w:p w14:paraId="156E599E" w14:textId="77777777" w:rsidR="00BC4E9C" w:rsidRPr="00E53672" w:rsidRDefault="00BC4E9C" w:rsidP="00E53672">
      <w:pPr>
        <w:spacing w:line="360" w:lineRule="auto"/>
        <w:rPr>
          <w:rFonts w:ascii="Times New Roman" w:eastAsia="Times New Roman" w:hAnsi="Times New Roman" w:cs="Times New Roman"/>
          <w:color w:val="000000" w:themeColor="text1"/>
        </w:rPr>
      </w:pPr>
    </w:p>
    <w:p w14:paraId="0FBC0706" w14:textId="1B5D0CF0" w:rsidR="00BC4E9C" w:rsidRPr="00E53672" w:rsidRDefault="00000000" w:rsidP="00E53672">
      <w:pPr>
        <w:pStyle w:val="Titolo3"/>
        <w:keepNext w:val="0"/>
        <w:keepLines w:val="0"/>
        <w:spacing w:before="0" w:after="0" w:line="360" w:lineRule="auto"/>
        <w:rPr>
          <w:rFonts w:ascii="Times New Roman" w:eastAsia="Times New Roman" w:hAnsi="Times New Roman" w:cs="Times New Roman"/>
          <w:color w:val="000000" w:themeColor="text1"/>
          <w:sz w:val="24"/>
          <w:szCs w:val="24"/>
        </w:rPr>
      </w:pPr>
      <w:bookmarkStart w:id="0" w:name="_3yg8fysp7hes" w:colFirst="0" w:colLast="0"/>
      <w:bookmarkEnd w:id="0"/>
      <w:r w:rsidRPr="00E53672">
        <w:rPr>
          <w:rFonts w:ascii="Times New Roman" w:eastAsia="Times New Roman" w:hAnsi="Times New Roman" w:cs="Times New Roman"/>
          <w:i/>
          <w:iCs/>
          <w:color w:val="000000" w:themeColor="text1"/>
          <w:sz w:val="24"/>
          <w:szCs w:val="24"/>
        </w:rPr>
        <w:lastRenderedPageBreak/>
        <w:t>HOG descriptor.</w:t>
      </w:r>
      <w:r w:rsidRPr="00E53672">
        <w:rPr>
          <w:rFonts w:ascii="Times New Roman" w:eastAsia="Times New Roman" w:hAnsi="Times New Roman" w:cs="Times New Roman"/>
          <w:color w:val="000000" w:themeColor="text1"/>
          <w:sz w:val="24"/>
          <w:szCs w:val="24"/>
        </w:rPr>
        <w:t xml:space="preserve"> To complement the global image analysis provided by the GIST descriptor, we extracted Histogram of Oriented Gradients (HOG) features (Dalal &amp; Triggs, 2005; Felzenszwalb et al., 2010) to capture fine-grained local shape and edge information within each image. All stimuli were resized to 128 × 128 pixels and </w:t>
      </w:r>
      <w:r w:rsidR="00E53672" w:rsidRPr="00E53672">
        <w:rPr>
          <w:rFonts w:ascii="Times New Roman" w:eastAsia="Times New Roman" w:hAnsi="Times New Roman" w:cs="Times New Roman"/>
          <w:color w:val="000000" w:themeColor="text1"/>
          <w:sz w:val="24"/>
          <w:szCs w:val="24"/>
        </w:rPr>
        <w:t>analysed</w:t>
      </w:r>
      <w:r w:rsidRPr="00E53672">
        <w:rPr>
          <w:rFonts w:ascii="Times New Roman" w:eastAsia="Times New Roman" w:hAnsi="Times New Roman" w:cs="Times New Roman"/>
          <w:color w:val="000000" w:themeColor="text1"/>
          <w:sz w:val="24"/>
          <w:szCs w:val="24"/>
        </w:rPr>
        <w:t xml:space="preserve"> using a custom implementation of the HOG algorithm. Local image gradients were computed using horizontal and vertical derivative filters, and for each 8 × </w:t>
      </w:r>
      <w:r w:rsidR="00B86784" w:rsidRPr="00E53672">
        <w:rPr>
          <w:rFonts w:ascii="Times New Roman" w:eastAsia="Times New Roman" w:hAnsi="Times New Roman" w:cs="Times New Roman"/>
          <w:color w:val="000000" w:themeColor="text1"/>
          <w:sz w:val="24"/>
          <w:szCs w:val="24"/>
        </w:rPr>
        <w:t>8-pixel</w:t>
      </w:r>
      <w:r w:rsidRPr="00E53672">
        <w:rPr>
          <w:rFonts w:ascii="Times New Roman" w:eastAsia="Times New Roman" w:hAnsi="Times New Roman" w:cs="Times New Roman"/>
          <w:color w:val="000000" w:themeColor="text1"/>
          <w:sz w:val="24"/>
          <w:szCs w:val="24"/>
        </w:rPr>
        <w:t xml:space="preserve"> cell, a histogram of gradient orientations was constructed with nine unsigned orientation bins (0–180°). These histograms were normalized within overlapping 2 × 2 cell blocks using L2-Hys normalization to ensure robustness to changes in contrast and illumination. The concatenation of all normalized block histograms yielded a high-dimensional feature vector representing each image’s local structural </w:t>
      </w:r>
      <w:r w:rsidR="00E53672" w:rsidRPr="00E53672">
        <w:rPr>
          <w:rFonts w:ascii="Times New Roman" w:eastAsia="Times New Roman" w:hAnsi="Times New Roman" w:cs="Times New Roman"/>
          <w:color w:val="000000" w:themeColor="text1"/>
          <w:sz w:val="24"/>
          <w:szCs w:val="24"/>
        </w:rPr>
        <w:t>composition. The</w:t>
      </w:r>
      <w:r w:rsidRPr="00E53672">
        <w:rPr>
          <w:rFonts w:ascii="Times New Roman" w:eastAsia="Times New Roman" w:hAnsi="Times New Roman" w:cs="Times New Roman"/>
          <w:color w:val="000000" w:themeColor="text1"/>
          <w:sz w:val="24"/>
          <w:szCs w:val="24"/>
        </w:rPr>
        <w:t xml:space="preserve"> resulting feature matrix was mean-</w:t>
      </w:r>
      <w:proofErr w:type="spellStart"/>
      <w:r w:rsidR="00E53672" w:rsidRPr="00E53672">
        <w:rPr>
          <w:rFonts w:ascii="Times New Roman" w:eastAsia="Times New Roman" w:hAnsi="Times New Roman" w:cs="Times New Roman"/>
          <w:color w:val="000000" w:themeColor="text1"/>
          <w:sz w:val="24"/>
          <w:szCs w:val="24"/>
        </w:rPr>
        <w:t>centered</w:t>
      </w:r>
      <w:proofErr w:type="spellEnd"/>
      <w:r w:rsidRPr="00E53672">
        <w:rPr>
          <w:rFonts w:ascii="Times New Roman" w:eastAsia="Times New Roman" w:hAnsi="Times New Roman" w:cs="Times New Roman"/>
          <w:color w:val="000000" w:themeColor="text1"/>
          <w:sz w:val="24"/>
          <w:szCs w:val="24"/>
        </w:rPr>
        <w:t xml:space="preserve"> and submitted to Principal Component Analysis (PCA) based on singular value decomposition (Jolliffe &amp; Cadima, 2016). </w:t>
      </w:r>
      <w:r w:rsidR="00E53672" w:rsidRPr="00E53672">
        <w:rPr>
          <w:rFonts w:ascii="Times New Roman" w:eastAsia="Times New Roman" w:hAnsi="Times New Roman" w:cs="Times New Roman"/>
          <w:color w:val="000000" w:themeColor="text1"/>
          <w:sz w:val="24"/>
          <w:szCs w:val="24"/>
        </w:rPr>
        <w:t xml:space="preserve">The </w:t>
      </w:r>
      <w:r w:rsidRPr="00E53672">
        <w:rPr>
          <w:rFonts w:ascii="Times New Roman" w:eastAsia="Times New Roman" w:hAnsi="Times New Roman" w:cs="Times New Roman"/>
          <w:color w:val="000000" w:themeColor="text1"/>
          <w:sz w:val="24"/>
          <w:szCs w:val="24"/>
        </w:rPr>
        <w:t xml:space="preserve">PCA scores provided a low-dimensional embedding of the stimuli, which was </w:t>
      </w:r>
      <w:r w:rsidR="00E53672" w:rsidRPr="00E53672">
        <w:rPr>
          <w:rFonts w:ascii="Times New Roman" w:eastAsia="Times New Roman" w:hAnsi="Times New Roman" w:cs="Times New Roman"/>
          <w:color w:val="000000" w:themeColor="text1"/>
          <w:sz w:val="24"/>
          <w:szCs w:val="24"/>
        </w:rPr>
        <w:t>analysed</w:t>
      </w:r>
      <w:r w:rsidRPr="00E53672">
        <w:rPr>
          <w:rFonts w:ascii="Times New Roman" w:eastAsia="Times New Roman" w:hAnsi="Times New Roman" w:cs="Times New Roman"/>
          <w:color w:val="000000" w:themeColor="text1"/>
          <w:sz w:val="24"/>
          <w:szCs w:val="24"/>
        </w:rPr>
        <w:t xml:space="preserve"> using a series of one-way ANOVAs </w:t>
      </w:r>
      <w:r w:rsidR="00E53672" w:rsidRPr="00E53672">
        <w:rPr>
          <w:rFonts w:ascii="Times New Roman" w:eastAsia="Times New Roman" w:hAnsi="Times New Roman" w:cs="Times New Roman"/>
          <w:color w:val="000000" w:themeColor="text1"/>
          <w:sz w:val="24"/>
          <w:szCs w:val="24"/>
        </w:rPr>
        <w:t xml:space="preserve">conducted </w:t>
      </w:r>
      <w:r w:rsidRPr="00E53672">
        <w:rPr>
          <w:rFonts w:ascii="Times New Roman" w:eastAsia="Times New Roman" w:hAnsi="Times New Roman" w:cs="Times New Roman"/>
          <w:color w:val="000000" w:themeColor="text1"/>
          <w:sz w:val="24"/>
          <w:szCs w:val="24"/>
        </w:rPr>
        <w:t>on the first ten principal components (PC1–PC10), with image category (</w:t>
      </w:r>
      <w:r w:rsidRPr="00E53672">
        <w:rPr>
          <w:rFonts w:ascii="Times New Roman" w:eastAsia="Times New Roman" w:hAnsi="Times New Roman" w:cs="Times New Roman"/>
          <w:i/>
          <w:iCs/>
          <w:color w:val="000000" w:themeColor="text1"/>
          <w:sz w:val="24"/>
          <w:szCs w:val="24"/>
        </w:rPr>
        <w:t>Faces, Illusory Faces, Butterflies, Standard Objects</w:t>
      </w:r>
      <w:r w:rsidRPr="00E53672">
        <w:rPr>
          <w:rFonts w:ascii="Times New Roman" w:eastAsia="Times New Roman" w:hAnsi="Times New Roman" w:cs="Times New Roman"/>
          <w:color w:val="000000" w:themeColor="text1"/>
          <w:sz w:val="24"/>
          <w:szCs w:val="24"/>
        </w:rPr>
        <w:t>) as the between-subjects factor.</w:t>
      </w:r>
    </w:p>
    <w:p w14:paraId="5B3C944F" w14:textId="4DFE6BD1" w:rsidR="00BC4E9C" w:rsidRDefault="00E53672" w:rsidP="00E53672">
      <w:pPr>
        <w:spacing w:line="360" w:lineRule="auto"/>
        <w:rPr>
          <w:rFonts w:ascii="Times New Roman" w:eastAsia="Times New Roman" w:hAnsi="Times New Roman" w:cs="Times New Roman"/>
          <w:color w:val="000000" w:themeColor="text1"/>
        </w:rPr>
      </w:pPr>
      <w:r w:rsidRPr="00E53672">
        <w:rPr>
          <w:rFonts w:ascii="Times New Roman" w:eastAsia="Times New Roman" w:hAnsi="Times New Roman" w:cs="Times New Roman"/>
          <w:color w:val="000000" w:themeColor="text1"/>
        </w:rPr>
        <w:t xml:space="preserve">Table 2 summarizes the results of the analysis. </w:t>
      </w:r>
      <w:r w:rsidR="00000000" w:rsidRPr="00E53672">
        <w:rPr>
          <w:rFonts w:ascii="Times New Roman" w:eastAsia="Times New Roman" w:hAnsi="Times New Roman" w:cs="Times New Roman"/>
          <w:color w:val="000000" w:themeColor="text1"/>
        </w:rPr>
        <w:t xml:space="preserve">Most components (PC1, PC4–PC7, PC9–PC10) showed no significant main effect of category (all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color w:val="000000" w:themeColor="text1"/>
        </w:rPr>
        <w:t xml:space="preserve"> &gt; .05)</w:t>
      </w:r>
      <w:r>
        <w:rPr>
          <w:rFonts w:ascii="Times New Roman" w:eastAsia="Times New Roman" w:hAnsi="Times New Roman" w:cs="Times New Roman"/>
          <w:color w:val="000000" w:themeColor="text1"/>
        </w:rPr>
        <w:t xml:space="preserve">, </w:t>
      </w:r>
      <w:r w:rsidRPr="00E53672">
        <w:rPr>
          <w:rFonts w:ascii="Times New Roman" w:eastAsia="Times New Roman" w:hAnsi="Times New Roman" w:cs="Times New Roman"/>
          <w:color w:val="000000" w:themeColor="text1"/>
        </w:rPr>
        <w:t xml:space="preserve">with significant effects observed only for </w:t>
      </w:r>
      <w:r w:rsidR="00000000" w:rsidRPr="00E53672">
        <w:rPr>
          <w:rFonts w:ascii="Times New Roman" w:eastAsia="Times New Roman" w:hAnsi="Times New Roman" w:cs="Times New Roman"/>
          <w:color w:val="000000" w:themeColor="text1"/>
        </w:rPr>
        <w:t>PC2, PC3, and PC8.</w:t>
      </w:r>
      <w:r w:rsidRPr="00E53672">
        <w:rPr>
          <w:rFonts w:ascii="Times New Roman" w:eastAsia="Times New Roman" w:hAnsi="Times New Roman" w:cs="Times New Roman"/>
          <w:color w:val="000000" w:themeColor="text1"/>
        </w:rPr>
        <w:t xml:space="preserve"> Specifically, f</w:t>
      </w:r>
      <w:r w:rsidR="00000000" w:rsidRPr="00E53672">
        <w:rPr>
          <w:rFonts w:ascii="Times New Roman" w:eastAsia="Times New Roman" w:hAnsi="Times New Roman" w:cs="Times New Roman"/>
          <w:color w:val="000000" w:themeColor="text1"/>
        </w:rPr>
        <w:t>or PC2 (</w:t>
      </w:r>
      <w:proofErr w:type="gramStart"/>
      <w:r w:rsidR="00000000" w:rsidRPr="00E53672">
        <w:rPr>
          <w:rFonts w:ascii="Times New Roman" w:eastAsia="Times New Roman" w:hAnsi="Times New Roman" w:cs="Times New Roman"/>
          <w:i/>
          <w:iCs/>
          <w:color w:val="000000" w:themeColor="text1"/>
        </w:rPr>
        <w:t>F</w:t>
      </w:r>
      <w:r w:rsidR="00000000" w:rsidRPr="00E53672">
        <w:rPr>
          <w:rFonts w:ascii="Times New Roman" w:eastAsia="Times New Roman" w:hAnsi="Times New Roman" w:cs="Times New Roman"/>
          <w:color w:val="000000" w:themeColor="text1"/>
        </w:rPr>
        <w:t>(</w:t>
      </w:r>
      <w:proofErr w:type="gramEnd"/>
      <w:r w:rsidR="00000000" w:rsidRPr="00E53672">
        <w:rPr>
          <w:rFonts w:ascii="Times New Roman" w:eastAsia="Times New Roman" w:hAnsi="Times New Roman" w:cs="Times New Roman"/>
          <w:color w:val="000000" w:themeColor="text1"/>
        </w:rPr>
        <w:t xml:space="preserve">3,59) = 2.92,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color w:val="000000" w:themeColor="text1"/>
        </w:rPr>
        <w:t xml:space="preserve"> = .041, η² = .13), Bonferroni-corrected post hoc tests revealed that </w:t>
      </w:r>
      <w:r w:rsidR="00D43C87" w:rsidRPr="00E53672">
        <w:rPr>
          <w:rFonts w:ascii="Times New Roman" w:eastAsia="Times New Roman" w:hAnsi="Times New Roman" w:cs="Times New Roman"/>
          <w:color w:val="000000" w:themeColor="text1"/>
        </w:rPr>
        <w:t>b</w:t>
      </w:r>
      <w:r w:rsidR="00000000" w:rsidRPr="00E53672">
        <w:rPr>
          <w:rFonts w:ascii="Times New Roman" w:eastAsia="Times New Roman" w:hAnsi="Times New Roman" w:cs="Times New Roman"/>
          <w:color w:val="000000" w:themeColor="text1"/>
        </w:rPr>
        <w:t>utterfly images scored significantly higher than faces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color w:val="000000" w:themeColor="text1"/>
        </w:rPr>
        <w:t xml:space="preserve"> = .035), while all other pairwise comparisons were non-significant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color w:val="000000" w:themeColor="text1"/>
        </w:rPr>
        <w:t xml:space="preserve"> &gt; .30).</w:t>
      </w:r>
      <w:r w:rsidRPr="00E53672">
        <w:rPr>
          <w:rFonts w:ascii="Times New Roman" w:eastAsia="Times New Roman" w:hAnsi="Times New Roman" w:cs="Times New Roman"/>
          <w:color w:val="000000" w:themeColor="text1"/>
        </w:rPr>
        <w:t xml:space="preserve"> </w:t>
      </w:r>
      <w:r w:rsidR="00000000" w:rsidRPr="00E53672">
        <w:rPr>
          <w:rFonts w:ascii="Times New Roman" w:eastAsia="Times New Roman" w:hAnsi="Times New Roman" w:cs="Times New Roman"/>
          <w:color w:val="000000" w:themeColor="text1"/>
        </w:rPr>
        <w:t>For PC3 (</w:t>
      </w:r>
      <w:proofErr w:type="gramStart"/>
      <w:r w:rsidR="00000000" w:rsidRPr="00E53672">
        <w:rPr>
          <w:rFonts w:ascii="Times New Roman" w:eastAsia="Times New Roman" w:hAnsi="Times New Roman" w:cs="Times New Roman"/>
          <w:i/>
          <w:iCs/>
          <w:color w:val="000000" w:themeColor="text1"/>
        </w:rPr>
        <w:t>F</w:t>
      </w:r>
      <w:r w:rsidR="00000000" w:rsidRPr="00E53672">
        <w:rPr>
          <w:rFonts w:ascii="Times New Roman" w:eastAsia="Times New Roman" w:hAnsi="Times New Roman" w:cs="Times New Roman"/>
          <w:color w:val="000000" w:themeColor="text1"/>
        </w:rPr>
        <w:t>(</w:t>
      </w:r>
      <w:proofErr w:type="gramEnd"/>
      <w:r w:rsidR="00000000" w:rsidRPr="00E53672">
        <w:rPr>
          <w:rFonts w:ascii="Times New Roman" w:eastAsia="Times New Roman" w:hAnsi="Times New Roman" w:cs="Times New Roman"/>
          <w:color w:val="000000" w:themeColor="text1"/>
        </w:rPr>
        <w:t xml:space="preserve">3,59) = 9.29,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color w:val="000000" w:themeColor="text1"/>
        </w:rPr>
        <w:t xml:space="preserve"> &lt; .001, η² = .32), </w:t>
      </w:r>
      <w:r w:rsidR="00D43C87" w:rsidRPr="00E53672">
        <w:rPr>
          <w:rFonts w:ascii="Times New Roman" w:eastAsia="Times New Roman" w:hAnsi="Times New Roman" w:cs="Times New Roman"/>
          <w:color w:val="000000" w:themeColor="text1"/>
        </w:rPr>
        <w:t>real f</w:t>
      </w:r>
      <w:r w:rsidR="00000000" w:rsidRPr="00E53672">
        <w:rPr>
          <w:rFonts w:ascii="Times New Roman" w:eastAsia="Times New Roman" w:hAnsi="Times New Roman" w:cs="Times New Roman"/>
          <w:color w:val="000000" w:themeColor="text1"/>
        </w:rPr>
        <w:t>aces</w:t>
      </w:r>
      <w:r w:rsidR="00D43C87" w:rsidRPr="00E53672">
        <w:rPr>
          <w:rFonts w:ascii="Times New Roman" w:eastAsia="Times New Roman" w:hAnsi="Times New Roman" w:cs="Times New Roman"/>
          <w:color w:val="000000" w:themeColor="text1"/>
        </w:rPr>
        <w:t xml:space="preserve"> </w:t>
      </w:r>
      <w:r w:rsidR="00000000" w:rsidRPr="00E53672">
        <w:rPr>
          <w:rFonts w:ascii="Times New Roman" w:eastAsia="Times New Roman" w:hAnsi="Times New Roman" w:cs="Times New Roman"/>
          <w:color w:val="000000" w:themeColor="text1"/>
        </w:rPr>
        <w:t xml:space="preserve">scored significantly higher than all other categories (all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i/>
          <w:iCs/>
          <w:color w:val="000000" w:themeColor="text1"/>
          <w:vertAlign w:val="subscript"/>
        </w:rPr>
        <w:t>bonf</w:t>
      </w:r>
      <w:r w:rsidR="00000000" w:rsidRPr="00E53672">
        <w:rPr>
          <w:rFonts w:ascii="Times New Roman" w:eastAsia="Gungsuh" w:hAnsi="Times New Roman" w:cs="Times New Roman"/>
          <w:color w:val="000000" w:themeColor="text1"/>
        </w:rPr>
        <w:t xml:space="preserve"> ≤ .001), confirming that this component captures local structural features characteristic of facial configurations.</w:t>
      </w:r>
      <w:r w:rsidRPr="00E53672">
        <w:rPr>
          <w:rFonts w:ascii="Times New Roman" w:eastAsia="Gungsuh" w:hAnsi="Times New Roman" w:cs="Times New Roman"/>
          <w:color w:val="000000" w:themeColor="text1"/>
        </w:rPr>
        <w:t xml:space="preserve"> Finally, f</w:t>
      </w:r>
      <w:r w:rsidR="00000000" w:rsidRPr="00E53672">
        <w:rPr>
          <w:rFonts w:ascii="Times New Roman" w:eastAsia="Gungsuh" w:hAnsi="Times New Roman" w:cs="Times New Roman"/>
          <w:color w:val="000000" w:themeColor="text1"/>
        </w:rPr>
        <w:t>or PC8 (</w:t>
      </w:r>
      <w:r w:rsidR="00000000" w:rsidRPr="00E53672">
        <w:rPr>
          <w:rFonts w:ascii="Times New Roman" w:eastAsia="Times New Roman" w:hAnsi="Times New Roman" w:cs="Times New Roman"/>
          <w:i/>
          <w:iCs/>
          <w:color w:val="000000" w:themeColor="text1"/>
        </w:rPr>
        <w:t>F</w:t>
      </w:r>
      <w:r w:rsidR="00000000" w:rsidRPr="00E53672">
        <w:rPr>
          <w:rFonts w:ascii="Times New Roman" w:eastAsia="Times New Roman" w:hAnsi="Times New Roman" w:cs="Times New Roman"/>
          <w:color w:val="000000" w:themeColor="text1"/>
        </w:rPr>
        <w:t xml:space="preserve">(3,59) = 3.82, </w:t>
      </w:r>
      <w:r w:rsidR="00000000" w:rsidRPr="00E53672">
        <w:rPr>
          <w:rFonts w:ascii="Times New Roman" w:eastAsia="Times New Roman" w:hAnsi="Times New Roman" w:cs="Times New Roman"/>
          <w:i/>
          <w:iCs/>
          <w:color w:val="000000" w:themeColor="text1"/>
        </w:rPr>
        <w:t>p</w:t>
      </w:r>
      <w:r w:rsidR="00000000" w:rsidRPr="00E53672">
        <w:rPr>
          <w:rFonts w:ascii="Times New Roman" w:eastAsia="Times New Roman" w:hAnsi="Times New Roman" w:cs="Times New Roman"/>
          <w:color w:val="000000" w:themeColor="text1"/>
        </w:rPr>
        <w:t xml:space="preserve"> = .014, η² = .16), post hoc comparisons indicated a significant difference between Faces and Butterflies (</w:t>
      </w:r>
      <w:r w:rsidR="00000000" w:rsidRPr="00E53672">
        <w:rPr>
          <w:rFonts w:ascii="Times New Roman" w:eastAsia="Times New Roman" w:hAnsi="Times New Roman" w:cs="Times New Roman"/>
          <w:i/>
          <w:iCs/>
          <w:color w:val="000000" w:themeColor="text1"/>
        </w:rPr>
        <w:t>p</w:t>
      </w:r>
      <w:r w:rsidRPr="00E53672">
        <w:rPr>
          <w:rFonts w:ascii="Times New Roman" w:eastAsia="Times New Roman" w:hAnsi="Times New Roman" w:cs="Times New Roman"/>
          <w:i/>
          <w:iCs/>
          <w:color w:val="000000" w:themeColor="text1"/>
          <w:vertAlign w:val="subscript"/>
        </w:rPr>
        <w:t>bonf</w:t>
      </w:r>
      <w:r w:rsidR="00000000" w:rsidRPr="00E53672">
        <w:rPr>
          <w:rFonts w:ascii="Times New Roman" w:eastAsia="Times New Roman" w:hAnsi="Times New Roman" w:cs="Times New Roman"/>
          <w:color w:val="000000" w:themeColor="text1"/>
        </w:rPr>
        <w:t>= .046), while other contrasts were non-significant.</w:t>
      </w:r>
      <w:r w:rsidR="00000000" w:rsidRPr="00E53672">
        <w:rPr>
          <w:rFonts w:ascii="Times New Roman" w:eastAsia="Times New Roman" w:hAnsi="Times New Roman" w:cs="Times New Roman"/>
          <w:color w:val="000000" w:themeColor="text1"/>
        </w:rPr>
        <w:br/>
        <w:t xml:space="preserve">Overall, these </w:t>
      </w:r>
      <w:r w:rsidRPr="00E53672">
        <w:rPr>
          <w:rFonts w:ascii="Times New Roman" w:eastAsia="Times New Roman" w:hAnsi="Times New Roman" w:cs="Times New Roman"/>
          <w:color w:val="000000" w:themeColor="text1"/>
        </w:rPr>
        <w:t xml:space="preserve">findings </w:t>
      </w:r>
      <w:r w:rsidR="00000000" w:rsidRPr="00E53672">
        <w:rPr>
          <w:rFonts w:ascii="Times New Roman" w:eastAsia="Times New Roman" w:hAnsi="Times New Roman" w:cs="Times New Roman"/>
          <w:color w:val="000000" w:themeColor="text1"/>
        </w:rPr>
        <w:t>suggest that only a subset of HOG-derived components—particularly PC3, and to a lesser extent PC2 and PC8—reliably d</w:t>
      </w:r>
      <w:r w:rsidRPr="00E53672">
        <w:rPr>
          <w:rFonts w:ascii="Times New Roman" w:eastAsia="Times New Roman" w:hAnsi="Times New Roman" w:cs="Times New Roman"/>
          <w:color w:val="000000" w:themeColor="text1"/>
        </w:rPr>
        <w:t>ifferentiate</w:t>
      </w:r>
      <w:r w:rsidR="00000000" w:rsidRPr="00E53672">
        <w:rPr>
          <w:rFonts w:ascii="Times New Roman" w:eastAsia="Times New Roman" w:hAnsi="Times New Roman" w:cs="Times New Roman"/>
          <w:color w:val="000000" w:themeColor="text1"/>
        </w:rPr>
        <w:t xml:space="preserve"> between categories, primarily </w:t>
      </w:r>
      <w:r w:rsidRPr="00E53672">
        <w:rPr>
          <w:rFonts w:ascii="Times New Roman" w:eastAsia="Times New Roman" w:hAnsi="Times New Roman" w:cs="Times New Roman"/>
          <w:color w:val="000000" w:themeColor="text1"/>
        </w:rPr>
        <w:t>distinguishing</w:t>
      </w:r>
      <w:r w:rsidR="00000000" w:rsidRPr="00E53672">
        <w:rPr>
          <w:rFonts w:ascii="Times New Roman" w:eastAsia="Times New Roman" w:hAnsi="Times New Roman" w:cs="Times New Roman"/>
          <w:color w:val="000000" w:themeColor="text1"/>
        </w:rPr>
        <w:t xml:space="preserve"> faces from non-face stimuli based on </w:t>
      </w:r>
      <w:r w:rsidRPr="00E53672">
        <w:rPr>
          <w:rFonts w:ascii="Times New Roman" w:eastAsia="Times New Roman" w:hAnsi="Times New Roman" w:cs="Times New Roman"/>
          <w:color w:val="000000" w:themeColor="text1"/>
        </w:rPr>
        <w:t xml:space="preserve">variations </w:t>
      </w:r>
      <w:r w:rsidR="00000000" w:rsidRPr="00E53672">
        <w:rPr>
          <w:rFonts w:ascii="Times New Roman" w:eastAsia="Times New Roman" w:hAnsi="Times New Roman" w:cs="Times New Roman"/>
          <w:color w:val="000000" w:themeColor="text1"/>
        </w:rPr>
        <w:t>in local edge and texture organization.</w:t>
      </w:r>
      <w:bookmarkStart w:id="1" w:name="_nf1u0k6qlkk3" w:colFirst="0" w:colLast="0"/>
      <w:bookmarkEnd w:id="1"/>
    </w:p>
    <w:p w14:paraId="4A0C42B1" w14:textId="77777777" w:rsidR="00E53672" w:rsidRPr="00E53672" w:rsidRDefault="00E53672" w:rsidP="00E53672">
      <w:pPr>
        <w:spacing w:line="360" w:lineRule="auto"/>
        <w:rPr>
          <w:rFonts w:ascii="Times New Roman" w:eastAsia="Times New Roman" w:hAnsi="Times New Roman" w:cs="Times New Roman"/>
          <w:color w:val="000000" w:themeColor="text1"/>
        </w:rPr>
      </w:pPr>
    </w:p>
    <w:tbl>
      <w:tblPr>
        <w:tblStyle w:val="a0"/>
        <w:tblW w:w="8325" w:type="dxa"/>
        <w:tblInd w:w="0" w:type="dxa"/>
        <w:tblBorders>
          <w:bottom w:val="single" w:sz="4" w:space="0" w:color="000000"/>
          <w:insideH w:val="single" w:sz="4" w:space="0" w:color="000000"/>
          <w:insideV w:val="single" w:sz="4" w:space="0" w:color="000000"/>
        </w:tblBorders>
        <w:tblLayout w:type="fixed"/>
        <w:tblLook w:val="0600" w:firstRow="0" w:lastRow="0" w:firstColumn="0" w:lastColumn="0" w:noHBand="1" w:noVBand="1"/>
      </w:tblPr>
      <w:tblGrid>
        <w:gridCol w:w="2520"/>
        <w:gridCol w:w="1665"/>
        <w:gridCol w:w="1755"/>
        <w:gridCol w:w="2385"/>
      </w:tblGrid>
      <w:tr w:rsidR="00BC4E9C" w:rsidRPr="00B86784" w14:paraId="5DE98106" w14:textId="77777777" w:rsidTr="00D43C87">
        <w:trPr>
          <w:trHeight w:val="340"/>
        </w:trPr>
        <w:tc>
          <w:tcPr>
            <w:tcW w:w="2520" w:type="dxa"/>
            <w:tcBorders>
              <w:top w:val="nil"/>
              <w:right w:val="nil"/>
            </w:tcBorders>
            <w:tcMar>
              <w:top w:w="100" w:type="dxa"/>
              <w:left w:w="100" w:type="dxa"/>
              <w:bottom w:w="100" w:type="dxa"/>
              <w:right w:w="100" w:type="dxa"/>
            </w:tcMar>
          </w:tcPr>
          <w:p w14:paraId="3E12911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Component</w:t>
            </w:r>
          </w:p>
        </w:tc>
        <w:tc>
          <w:tcPr>
            <w:tcW w:w="1665" w:type="dxa"/>
            <w:tcBorders>
              <w:top w:val="nil"/>
              <w:left w:val="nil"/>
              <w:right w:val="nil"/>
            </w:tcBorders>
            <w:tcMar>
              <w:top w:w="100" w:type="dxa"/>
              <w:left w:w="100" w:type="dxa"/>
              <w:bottom w:w="100" w:type="dxa"/>
              <w:right w:w="100" w:type="dxa"/>
            </w:tcMar>
          </w:tcPr>
          <w:p w14:paraId="6954D288"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F</w:t>
            </w:r>
          </w:p>
        </w:tc>
        <w:tc>
          <w:tcPr>
            <w:tcW w:w="1755" w:type="dxa"/>
            <w:tcBorders>
              <w:top w:val="nil"/>
              <w:left w:val="nil"/>
              <w:right w:val="nil"/>
            </w:tcBorders>
            <w:tcMar>
              <w:top w:w="100" w:type="dxa"/>
              <w:left w:w="100" w:type="dxa"/>
              <w:bottom w:w="100" w:type="dxa"/>
              <w:right w:w="100" w:type="dxa"/>
            </w:tcMar>
          </w:tcPr>
          <w:p w14:paraId="761D8791"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p-value</w:t>
            </w:r>
          </w:p>
        </w:tc>
        <w:tc>
          <w:tcPr>
            <w:tcW w:w="2385" w:type="dxa"/>
            <w:tcBorders>
              <w:left w:val="nil"/>
            </w:tcBorders>
            <w:tcMar>
              <w:top w:w="100" w:type="dxa"/>
              <w:left w:w="100" w:type="dxa"/>
              <w:bottom w:w="100" w:type="dxa"/>
              <w:right w:w="100" w:type="dxa"/>
            </w:tcMar>
          </w:tcPr>
          <w:p w14:paraId="65E6AF8C"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η² (partial)</w:t>
            </w:r>
          </w:p>
        </w:tc>
      </w:tr>
      <w:tr w:rsidR="00BC4E9C" w:rsidRPr="00B86784" w14:paraId="3C46C019" w14:textId="77777777" w:rsidTr="00D43C87">
        <w:trPr>
          <w:trHeight w:val="340"/>
        </w:trPr>
        <w:tc>
          <w:tcPr>
            <w:tcW w:w="2520" w:type="dxa"/>
            <w:tcBorders>
              <w:top w:val="single" w:sz="4" w:space="0" w:color="000000"/>
              <w:bottom w:val="single" w:sz="4" w:space="0" w:color="000000"/>
              <w:right w:val="nil"/>
            </w:tcBorders>
            <w:tcMar>
              <w:top w:w="100" w:type="dxa"/>
              <w:left w:w="100" w:type="dxa"/>
              <w:bottom w:w="100" w:type="dxa"/>
              <w:right w:w="100" w:type="dxa"/>
            </w:tcMar>
          </w:tcPr>
          <w:p w14:paraId="6207A3FC"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PC1</w:t>
            </w:r>
          </w:p>
        </w:tc>
        <w:tc>
          <w:tcPr>
            <w:tcW w:w="1665" w:type="dxa"/>
            <w:tcBorders>
              <w:top w:val="single" w:sz="4" w:space="0" w:color="000000"/>
              <w:left w:val="nil"/>
              <w:bottom w:val="single" w:sz="4" w:space="0" w:color="000000"/>
              <w:right w:val="nil"/>
            </w:tcBorders>
            <w:tcMar>
              <w:top w:w="100" w:type="dxa"/>
              <w:left w:w="100" w:type="dxa"/>
              <w:bottom w:w="100" w:type="dxa"/>
              <w:right w:w="100" w:type="dxa"/>
            </w:tcMar>
          </w:tcPr>
          <w:p w14:paraId="5A2AEE7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0.90</w:t>
            </w:r>
          </w:p>
        </w:tc>
        <w:tc>
          <w:tcPr>
            <w:tcW w:w="1755" w:type="dxa"/>
            <w:tcBorders>
              <w:top w:val="single" w:sz="4" w:space="0" w:color="000000"/>
              <w:left w:val="nil"/>
              <w:bottom w:val="single" w:sz="4" w:space="0" w:color="000000"/>
              <w:right w:val="nil"/>
            </w:tcBorders>
            <w:tcMar>
              <w:top w:w="100" w:type="dxa"/>
              <w:left w:w="100" w:type="dxa"/>
              <w:bottom w:w="100" w:type="dxa"/>
              <w:right w:w="100" w:type="dxa"/>
            </w:tcMar>
          </w:tcPr>
          <w:p w14:paraId="3C0AFEA2"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.447</w:t>
            </w:r>
          </w:p>
        </w:tc>
        <w:tc>
          <w:tcPr>
            <w:tcW w:w="2385" w:type="dxa"/>
            <w:tcBorders>
              <w:left w:val="nil"/>
              <w:bottom w:val="single" w:sz="4" w:space="0" w:color="000000"/>
            </w:tcBorders>
            <w:tcMar>
              <w:top w:w="100" w:type="dxa"/>
              <w:left w:w="100" w:type="dxa"/>
              <w:bottom w:w="100" w:type="dxa"/>
              <w:right w:w="100" w:type="dxa"/>
            </w:tcMar>
          </w:tcPr>
          <w:p w14:paraId="0CD7578F"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.04</w:t>
            </w:r>
          </w:p>
        </w:tc>
      </w:tr>
      <w:tr w:rsidR="00BC4E9C" w:rsidRPr="00B86784" w14:paraId="399A7C84" w14:textId="77777777" w:rsidTr="00D43C87">
        <w:trPr>
          <w:trHeight w:val="340"/>
        </w:trPr>
        <w:tc>
          <w:tcPr>
            <w:tcW w:w="2520" w:type="dxa"/>
            <w:tcBorders>
              <w:top w:val="single" w:sz="4" w:space="0" w:color="000000"/>
              <w:right w:val="nil"/>
            </w:tcBorders>
            <w:tcMar>
              <w:top w:w="100" w:type="dxa"/>
              <w:left w:w="100" w:type="dxa"/>
              <w:bottom w:w="100" w:type="dxa"/>
              <w:right w:w="100" w:type="dxa"/>
            </w:tcMar>
          </w:tcPr>
          <w:p w14:paraId="01444CF0"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lastRenderedPageBreak/>
              <w:t>PC2</w:t>
            </w:r>
          </w:p>
        </w:tc>
        <w:tc>
          <w:tcPr>
            <w:tcW w:w="1665" w:type="dxa"/>
            <w:tcBorders>
              <w:top w:val="single" w:sz="4" w:space="0" w:color="000000"/>
              <w:left w:val="nil"/>
              <w:right w:val="nil"/>
            </w:tcBorders>
            <w:tcMar>
              <w:top w:w="100" w:type="dxa"/>
              <w:left w:w="100" w:type="dxa"/>
              <w:bottom w:w="100" w:type="dxa"/>
              <w:right w:w="100" w:type="dxa"/>
            </w:tcMar>
          </w:tcPr>
          <w:p w14:paraId="34483C19"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2.92</w:t>
            </w:r>
          </w:p>
        </w:tc>
        <w:tc>
          <w:tcPr>
            <w:tcW w:w="1755" w:type="dxa"/>
            <w:tcBorders>
              <w:top w:val="single" w:sz="4" w:space="0" w:color="000000"/>
              <w:left w:val="nil"/>
              <w:right w:val="nil"/>
            </w:tcBorders>
            <w:tcMar>
              <w:top w:w="100" w:type="dxa"/>
              <w:left w:w="100" w:type="dxa"/>
              <w:bottom w:w="100" w:type="dxa"/>
              <w:right w:w="100" w:type="dxa"/>
            </w:tcMar>
          </w:tcPr>
          <w:p w14:paraId="52366BAA"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.041</w:t>
            </w:r>
          </w:p>
        </w:tc>
        <w:tc>
          <w:tcPr>
            <w:tcW w:w="2385" w:type="dxa"/>
            <w:tcBorders>
              <w:top w:val="single" w:sz="4" w:space="0" w:color="000000"/>
              <w:left w:val="nil"/>
              <w:right w:val="nil"/>
            </w:tcBorders>
            <w:tcMar>
              <w:top w:w="100" w:type="dxa"/>
              <w:left w:w="100" w:type="dxa"/>
              <w:bottom w:w="100" w:type="dxa"/>
              <w:right w:w="100" w:type="dxa"/>
            </w:tcMar>
          </w:tcPr>
          <w:p w14:paraId="0CCD434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.13</w:t>
            </w:r>
          </w:p>
        </w:tc>
      </w:tr>
      <w:tr w:rsidR="00BC4E9C" w:rsidRPr="00B86784" w14:paraId="6678D6E5" w14:textId="77777777" w:rsidTr="00D43C87">
        <w:trPr>
          <w:trHeight w:val="340"/>
        </w:trPr>
        <w:tc>
          <w:tcPr>
            <w:tcW w:w="2520" w:type="dxa"/>
            <w:tcBorders>
              <w:top w:val="single" w:sz="4" w:space="0" w:color="000000"/>
              <w:right w:val="nil"/>
            </w:tcBorders>
            <w:tcMar>
              <w:top w:w="100" w:type="dxa"/>
              <w:left w:w="100" w:type="dxa"/>
              <w:bottom w:w="100" w:type="dxa"/>
              <w:right w:w="100" w:type="dxa"/>
            </w:tcMar>
          </w:tcPr>
          <w:p w14:paraId="76A7B49C"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PC3</w:t>
            </w:r>
          </w:p>
        </w:tc>
        <w:tc>
          <w:tcPr>
            <w:tcW w:w="1665" w:type="dxa"/>
            <w:tcBorders>
              <w:top w:val="single" w:sz="4" w:space="0" w:color="000000"/>
              <w:left w:val="nil"/>
              <w:right w:val="nil"/>
            </w:tcBorders>
            <w:tcMar>
              <w:top w:w="100" w:type="dxa"/>
              <w:left w:w="100" w:type="dxa"/>
              <w:bottom w:w="100" w:type="dxa"/>
              <w:right w:w="100" w:type="dxa"/>
            </w:tcMar>
          </w:tcPr>
          <w:p w14:paraId="1AC8AAA7"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9.29</w:t>
            </w:r>
          </w:p>
        </w:tc>
        <w:tc>
          <w:tcPr>
            <w:tcW w:w="1755" w:type="dxa"/>
            <w:tcBorders>
              <w:top w:val="single" w:sz="4" w:space="0" w:color="000000"/>
              <w:left w:val="nil"/>
              <w:right w:val="nil"/>
            </w:tcBorders>
            <w:tcMar>
              <w:top w:w="100" w:type="dxa"/>
              <w:left w:w="100" w:type="dxa"/>
              <w:bottom w:w="100" w:type="dxa"/>
              <w:right w:w="100" w:type="dxa"/>
            </w:tcMar>
          </w:tcPr>
          <w:p w14:paraId="1F478463"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&lt; .001</w:t>
            </w:r>
          </w:p>
        </w:tc>
        <w:tc>
          <w:tcPr>
            <w:tcW w:w="2385" w:type="dxa"/>
            <w:tcBorders>
              <w:top w:val="single" w:sz="4" w:space="0" w:color="000000"/>
              <w:left w:val="nil"/>
              <w:right w:val="nil"/>
            </w:tcBorders>
            <w:tcMar>
              <w:top w:w="100" w:type="dxa"/>
              <w:left w:w="100" w:type="dxa"/>
              <w:bottom w:w="100" w:type="dxa"/>
              <w:right w:w="100" w:type="dxa"/>
            </w:tcMar>
          </w:tcPr>
          <w:p w14:paraId="15AE9AE4"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.32</w:t>
            </w:r>
          </w:p>
        </w:tc>
      </w:tr>
      <w:tr w:rsidR="00BC4E9C" w:rsidRPr="00B86784" w14:paraId="3A5914FC" w14:textId="77777777" w:rsidTr="00D43C87">
        <w:trPr>
          <w:trHeight w:val="340"/>
        </w:trPr>
        <w:tc>
          <w:tcPr>
            <w:tcW w:w="2520" w:type="dxa"/>
            <w:tcBorders>
              <w:top w:val="single" w:sz="4" w:space="0" w:color="000000"/>
              <w:right w:val="nil"/>
            </w:tcBorders>
            <w:tcMar>
              <w:top w:w="100" w:type="dxa"/>
              <w:left w:w="100" w:type="dxa"/>
              <w:bottom w:w="100" w:type="dxa"/>
              <w:right w:w="100" w:type="dxa"/>
            </w:tcMar>
          </w:tcPr>
          <w:p w14:paraId="44D906A1"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PC4</w:t>
            </w:r>
          </w:p>
        </w:tc>
        <w:tc>
          <w:tcPr>
            <w:tcW w:w="1665" w:type="dxa"/>
            <w:tcBorders>
              <w:top w:val="single" w:sz="4" w:space="0" w:color="000000"/>
              <w:left w:val="nil"/>
              <w:right w:val="nil"/>
            </w:tcBorders>
            <w:tcMar>
              <w:top w:w="100" w:type="dxa"/>
              <w:left w:w="100" w:type="dxa"/>
              <w:bottom w:w="100" w:type="dxa"/>
              <w:right w:w="100" w:type="dxa"/>
            </w:tcMar>
          </w:tcPr>
          <w:p w14:paraId="54E0167E"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2.09</w:t>
            </w:r>
          </w:p>
        </w:tc>
        <w:tc>
          <w:tcPr>
            <w:tcW w:w="1755" w:type="dxa"/>
            <w:tcBorders>
              <w:top w:val="single" w:sz="4" w:space="0" w:color="000000"/>
              <w:left w:val="nil"/>
              <w:right w:val="nil"/>
            </w:tcBorders>
            <w:tcMar>
              <w:top w:w="100" w:type="dxa"/>
              <w:left w:w="100" w:type="dxa"/>
              <w:bottom w:w="100" w:type="dxa"/>
              <w:right w:w="100" w:type="dxa"/>
            </w:tcMar>
          </w:tcPr>
          <w:p w14:paraId="33CBCEF8"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.112</w:t>
            </w:r>
          </w:p>
        </w:tc>
        <w:tc>
          <w:tcPr>
            <w:tcW w:w="2385" w:type="dxa"/>
            <w:tcBorders>
              <w:top w:val="single" w:sz="4" w:space="0" w:color="000000"/>
              <w:left w:val="nil"/>
              <w:right w:val="nil"/>
            </w:tcBorders>
            <w:tcMar>
              <w:top w:w="100" w:type="dxa"/>
              <w:left w:w="100" w:type="dxa"/>
              <w:bottom w:w="100" w:type="dxa"/>
              <w:right w:w="100" w:type="dxa"/>
            </w:tcMar>
          </w:tcPr>
          <w:p w14:paraId="2CCFC8DA"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.10</w:t>
            </w:r>
          </w:p>
        </w:tc>
      </w:tr>
      <w:tr w:rsidR="00BC4E9C" w:rsidRPr="00B86784" w14:paraId="7BE43D3D" w14:textId="77777777" w:rsidTr="00D43C87">
        <w:trPr>
          <w:trHeight w:val="340"/>
        </w:trPr>
        <w:tc>
          <w:tcPr>
            <w:tcW w:w="2520" w:type="dxa"/>
            <w:tcBorders>
              <w:top w:val="single" w:sz="4" w:space="0" w:color="000000"/>
              <w:right w:val="nil"/>
            </w:tcBorders>
            <w:tcMar>
              <w:top w:w="100" w:type="dxa"/>
              <w:left w:w="100" w:type="dxa"/>
              <w:bottom w:w="100" w:type="dxa"/>
              <w:right w:w="100" w:type="dxa"/>
            </w:tcMar>
          </w:tcPr>
          <w:p w14:paraId="0686CD75"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PC5</w:t>
            </w:r>
          </w:p>
        </w:tc>
        <w:tc>
          <w:tcPr>
            <w:tcW w:w="1665" w:type="dxa"/>
            <w:tcBorders>
              <w:top w:val="single" w:sz="4" w:space="0" w:color="000000"/>
              <w:left w:val="nil"/>
              <w:right w:val="nil"/>
            </w:tcBorders>
            <w:tcMar>
              <w:top w:w="100" w:type="dxa"/>
              <w:left w:w="100" w:type="dxa"/>
              <w:bottom w:w="100" w:type="dxa"/>
              <w:right w:w="100" w:type="dxa"/>
            </w:tcMar>
          </w:tcPr>
          <w:p w14:paraId="7C84C709"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0.28</w:t>
            </w:r>
          </w:p>
        </w:tc>
        <w:tc>
          <w:tcPr>
            <w:tcW w:w="1755" w:type="dxa"/>
            <w:tcBorders>
              <w:top w:val="single" w:sz="4" w:space="0" w:color="000000"/>
              <w:left w:val="nil"/>
              <w:right w:val="nil"/>
            </w:tcBorders>
            <w:tcMar>
              <w:top w:w="100" w:type="dxa"/>
              <w:left w:w="100" w:type="dxa"/>
              <w:bottom w:w="100" w:type="dxa"/>
              <w:right w:w="100" w:type="dxa"/>
            </w:tcMar>
          </w:tcPr>
          <w:p w14:paraId="0CD493B1"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.841</w:t>
            </w:r>
          </w:p>
        </w:tc>
        <w:tc>
          <w:tcPr>
            <w:tcW w:w="2385" w:type="dxa"/>
            <w:tcBorders>
              <w:top w:val="single" w:sz="4" w:space="0" w:color="000000"/>
              <w:left w:val="nil"/>
              <w:right w:val="nil"/>
            </w:tcBorders>
            <w:tcMar>
              <w:top w:w="100" w:type="dxa"/>
              <w:left w:w="100" w:type="dxa"/>
              <w:bottom w:w="100" w:type="dxa"/>
              <w:right w:w="100" w:type="dxa"/>
            </w:tcMar>
          </w:tcPr>
          <w:p w14:paraId="5232A4AC"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.01</w:t>
            </w:r>
          </w:p>
        </w:tc>
      </w:tr>
      <w:tr w:rsidR="00BC4E9C" w:rsidRPr="00B86784" w14:paraId="629344CE" w14:textId="77777777" w:rsidTr="00D43C87">
        <w:trPr>
          <w:trHeight w:val="340"/>
        </w:trPr>
        <w:tc>
          <w:tcPr>
            <w:tcW w:w="2520" w:type="dxa"/>
            <w:tcBorders>
              <w:top w:val="single" w:sz="4" w:space="0" w:color="000000"/>
              <w:right w:val="nil"/>
            </w:tcBorders>
            <w:tcMar>
              <w:top w:w="100" w:type="dxa"/>
              <w:left w:w="100" w:type="dxa"/>
              <w:bottom w:w="100" w:type="dxa"/>
              <w:right w:w="100" w:type="dxa"/>
            </w:tcMar>
          </w:tcPr>
          <w:p w14:paraId="7E0E366E"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PC6</w:t>
            </w:r>
          </w:p>
        </w:tc>
        <w:tc>
          <w:tcPr>
            <w:tcW w:w="1665" w:type="dxa"/>
            <w:tcBorders>
              <w:top w:val="single" w:sz="4" w:space="0" w:color="000000"/>
              <w:left w:val="nil"/>
              <w:right w:val="nil"/>
            </w:tcBorders>
            <w:tcMar>
              <w:top w:w="100" w:type="dxa"/>
              <w:left w:w="100" w:type="dxa"/>
              <w:bottom w:w="100" w:type="dxa"/>
              <w:right w:w="100" w:type="dxa"/>
            </w:tcMar>
          </w:tcPr>
          <w:p w14:paraId="024B221C"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2.27</w:t>
            </w:r>
          </w:p>
        </w:tc>
        <w:tc>
          <w:tcPr>
            <w:tcW w:w="1755" w:type="dxa"/>
            <w:tcBorders>
              <w:top w:val="single" w:sz="4" w:space="0" w:color="000000"/>
              <w:left w:val="nil"/>
              <w:right w:val="nil"/>
            </w:tcBorders>
            <w:tcMar>
              <w:top w:w="100" w:type="dxa"/>
              <w:left w:w="100" w:type="dxa"/>
              <w:bottom w:w="100" w:type="dxa"/>
              <w:right w:w="100" w:type="dxa"/>
            </w:tcMar>
          </w:tcPr>
          <w:p w14:paraId="1768414D"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.090</w:t>
            </w:r>
          </w:p>
        </w:tc>
        <w:tc>
          <w:tcPr>
            <w:tcW w:w="2385" w:type="dxa"/>
            <w:tcBorders>
              <w:top w:val="single" w:sz="4" w:space="0" w:color="000000"/>
              <w:left w:val="nil"/>
              <w:right w:val="nil"/>
            </w:tcBorders>
            <w:tcMar>
              <w:top w:w="100" w:type="dxa"/>
              <w:left w:w="100" w:type="dxa"/>
              <w:bottom w:w="100" w:type="dxa"/>
              <w:right w:w="100" w:type="dxa"/>
            </w:tcMar>
          </w:tcPr>
          <w:p w14:paraId="159DD223"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.10</w:t>
            </w:r>
          </w:p>
        </w:tc>
      </w:tr>
      <w:tr w:rsidR="00BC4E9C" w:rsidRPr="00B86784" w14:paraId="201CB89C" w14:textId="77777777" w:rsidTr="00D43C87">
        <w:trPr>
          <w:trHeight w:val="340"/>
        </w:trPr>
        <w:tc>
          <w:tcPr>
            <w:tcW w:w="2520" w:type="dxa"/>
            <w:tcBorders>
              <w:top w:val="single" w:sz="4" w:space="0" w:color="000000"/>
              <w:right w:val="nil"/>
            </w:tcBorders>
            <w:tcMar>
              <w:top w:w="100" w:type="dxa"/>
              <w:left w:w="100" w:type="dxa"/>
              <w:bottom w:w="100" w:type="dxa"/>
              <w:right w:w="100" w:type="dxa"/>
            </w:tcMar>
          </w:tcPr>
          <w:p w14:paraId="46C3869A"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PC7</w:t>
            </w:r>
          </w:p>
        </w:tc>
        <w:tc>
          <w:tcPr>
            <w:tcW w:w="1665" w:type="dxa"/>
            <w:tcBorders>
              <w:top w:val="single" w:sz="4" w:space="0" w:color="000000"/>
              <w:left w:val="nil"/>
              <w:right w:val="nil"/>
            </w:tcBorders>
            <w:tcMar>
              <w:top w:w="100" w:type="dxa"/>
              <w:left w:w="100" w:type="dxa"/>
              <w:bottom w:w="100" w:type="dxa"/>
              <w:right w:w="100" w:type="dxa"/>
            </w:tcMar>
          </w:tcPr>
          <w:p w14:paraId="560F8DC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1.51</w:t>
            </w:r>
          </w:p>
        </w:tc>
        <w:tc>
          <w:tcPr>
            <w:tcW w:w="1755" w:type="dxa"/>
            <w:tcBorders>
              <w:top w:val="single" w:sz="4" w:space="0" w:color="000000"/>
              <w:left w:val="nil"/>
              <w:right w:val="nil"/>
            </w:tcBorders>
            <w:tcMar>
              <w:top w:w="100" w:type="dxa"/>
              <w:left w:w="100" w:type="dxa"/>
              <w:bottom w:w="100" w:type="dxa"/>
              <w:right w:w="100" w:type="dxa"/>
            </w:tcMar>
          </w:tcPr>
          <w:p w14:paraId="2DBEB7E0"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.223</w:t>
            </w:r>
          </w:p>
        </w:tc>
        <w:tc>
          <w:tcPr>
            <w:tcW w:w="2385" w:type="dxa"/>
            <w:tcBorders>
              <w:top w:val="single" w:sz="4" w:space="0" w:color="000000"/>
              <w:left w:val="nil"/>
              <w:right w:val="nil"/>
            </w:tcBorders>
            <w:tcMar>
              <w:top w:w="100" w:type="dxa"/>
              <w:left w:w="100" w:type="dxa"/>
              <w:bottom w:w="100" w:type="dxa"/>
              <w:right w:w="100" w:type="dxa"/>
            </w:tcMar>
          </w:tcPr>
          <w:p w14:paraId="08A0E924"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.07</w:t>
            </w:r>
          </w:p>
        </w:tc>
      </w:tr>
      <w:tr w:rsidR="00BC4E9C" w:rsidRPr="00B86784" w14:paraId="6D5279B7" w14:textId="77777777" w:rsidTr="00E53672">
        <w:trPr>
          <w:trHeight w:val="340"/>
        </w:trPr>
        <w:tc>
          <w:tcPr>
            <w:tcW w:w="2520" w:type="dxa"/>
            <w:tcBorders>
              <w:top w:val="single" w:sz="4" w:space="0" w:color="000000"/>
              <w:bottom w:val="single" w:sz="4" w:space="0" w:color="000000"/>
              <w:right w:val="nil"/>
            </w:tcBorders>
            <w:tcMar>
              <w:top w:w="100" w:type="dxa"/>
              <w:left w:w="100" w:type="dxa"/>
              <w:bottom w:w="100" w:type="dxa"/>
              <w:right w:w="100" w:type="dxa"/>
            </w:tcMar>
          </w:tcPr>
          <w:p w14:paraId="08E30ACC"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PC8</w:t>
            </w:r>
          </w:p>
        </w:tc>
        <w:tc>
          <w:tcPr>
            <w:tcW w:w="1665" w:type="dxa"/>
            <w:tcBorders>
              <w:top w:val="single" w:sz="4" w:space="0" w:color="000000"/>
              <w:left w:val="nil"/>
              <w:bottom w:val="single" w:sz="4" w:space="0" w:color="000000"/>
              <w:right w:val="nil"/>
            </w:tcBorders>
            <w:tcMar>
              <w:top w:w="100" w:type="dxa"/>
              <w:left w:w="100" w:type="dxa"/>
              <w:bottom w:w="100" w:type="dxa"/>
              <w:right w:w="100" w:type="dxa"/>
            </w:tcMar>
          </w:tcPr>
          <w:p w14:paraId="0921EA9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3.82</w:t>
            </w:r>
          </w:p>
        </w:tc>
        <w:tc>
          <w:tcPr>
            <w:tcW w:w="1755" w:type="dxa"/>
            <w:tcBorders>
              <w:top w:val="single" w:sz="4" w:space="0" w:color="000000"/>
              <w:left w:val="nil"/>
              <w:bottom w:val="single" w:sz="4" w:space="0" w:color="000000"/>
              <w:right w:val="nil"/>
            </w:tcBorders>
            <w:tcMar>
              <w:top w:w="100" w:type="dxa"/>
              <w:left w:w="100" w:type="dxa"/>
              <w:bottom w:w="100" w:type="dxa"/>
              <w:right w:w="100" w:type="dxa"/>
            </w:tcMar>
          </w:tcPr>
          <w:p w14:paraId="753131FD"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.014</w:t>
            </w:r>
          </w:p>
        </w:tc>
        <w:tc>
          <w:tcPr>
            <w:tcW w:w="2385" w:type="dxa"/>
            <w:tcBorders>
              <w:top w:val="single" w:sz="4" w:space="0" w:color="000000"/>
              <w:left w:val="nil"/>
              <w:right w:val="nil"/>
            </w:tcBorders>
            <w:tcMar>
              <w:top w:w="100" w:type="dxa"/>
              <w:left w:w="100" w:type="dxa"/>
              <w:bottom w:w="100" w:type="dxa"/>
              <w:right w:w="100" w:type="dxa"/>
            </w:tcMar>
          </w:tcPr>
          <w:p w14:paraId="7B57AB45"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b/>
                <w:bCs/>
              </w:rPr>
              <w:t>.16</w:t>
            </w:r>
          </w:p>
        </w:tc>
      </w:tr>
      <w:tr w:rsidR="00BC4E9C" w:rsidRPr="00B86784" w14:paraId="15C14C28" w14:textId="77777777" w:rsidTr="00E53672">
        <w:trPr>
          <w:trHeight w:val="340"/>
        </w:trPr>
        <w:tc>
          <w:tcPr>
            <w:tcW w:w="2520" w:type="dxa"/>
            <w:tcBorders>
              <w:top w:val="single" w:sz="4" w:space="0" w:color="000000"/>
              <w:bottom w:val="single" w:sz="4" w:space="0" w:color="auto"/>
              <w:right w:val="nil"/>
            </w:tcBorders>
            <w:tcMar>
              <w:top w:w="100" w:type="dxa"/>
              <w:left w:w="100" w:type="dxa"/>
              <w:bottom w:w="100" w:type="dxa"/>
              <w:right w:w="100" w:type="dxa"/>
            </w:tcMar>
          </w:tcPr>
          <w:p w14:paraId="101440DE"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PC9</w:t>
            </w:r>
          </w:p>
        </w:tc>
        <w:tc>
          <w:tcPr>
            <w:tcW w:w="1665" w:type="dxa"/>
            <w:tcBorders>
              <w:top w:val="single" w:sz="4" w:space="0" w:color="000000"/>
              <w:left w:val="nil"/>
              <w:bottom w:val="single" w:sz="4" w:space="0" w:color="auto"/>
              <w:right w:val="nil"/>
            </w:tcBorders>
            <w:tcMar>
              <w:top w:w="100" w:type="dxa"/>
              <w:left w:w="100" w:type="dxa"/>
              <w:bottom w:w="100" w:type="dxa"/>
              <w:right w:w="100" w:type="dxa"/>
            </w:tcMar>
          </w:tcPr>
          <w:p w14:paraId="740940F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0.95</w:t>
            </w:r>
          </w:p>
        </w:tc>
        <w:tc>
          <w:tcPr>
            <w:tcW w:w="1755" w:type="dxa"/>
            <w:tcBorders>
              <w:top w:val="single" w:sz="4" w:space="0" w:color="000000"/>
              <w:left w:val="nil"/>
              <w:bottom w:val="single" w:sz="4" w:space="0" w:color="auto"/>
              <w:right w:val="nil"/>
            </w:tcBorders>
            <w:tcMar>
              <w:top w:w="100" w:type="dxa"/>
              <w:left w:w="100" w:type="dxa"/>
              <w:bottom w:w="100" w:type="dxa"/>
              <w:right w:w="100" w:type="dxa"/>
            </w:tcMar>
          </w:tcPr>
          <w:p w14:paraId="220E260A"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.421</w:t>
            </w:r>
          </w:p>
        </w:tc>
        <w:tc>
          <w:tcPr>
            <w:tcW w:w="2385" w:type="dxa"/>
            <w:tcBorders>
              <w:top w:val="single" w:sz="4" w:space="0" w:color="000000"/>
              <w:left w:val="nil"/>
              <w:right w:val="nil"/>
            </w:tcBorders>
            <w:tcMar>
              <w:top w:w="100" w:type="dxa"/>
              <w:left w:w="100" w:type="dxa"/>
              <w:bottom w:w="100" w:type="dxa"/>
              <w:right w:w="100" w:type="dxa"/>
            </w:tcMar>
          </w:tcPr>
          <w:p w14:paraId="13D60D1A"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.05</w:t>
            </w:r>
          </w:p>
        </w:tc>
      </w:tr>
      <w:tr w:rsidR="00BC4E9C" w:rsidRPr="00B86784" w14:paraId="4D23FCB1" w14:textId="77777777" w:rsidTr="00E53672">
        <w:trPr>
          <w:trHeight w:val="340"/>
        </w:trPr>
        <w:tc>
          <w:tcPr>
            <w:tcW w:w="2520" w:type="dxa"/>
            <w:tcBorders>
              <w:top w:val="single" w:sz="4" w:space="0" w:color="auto"/>
              <w:bottom w:val="single" w:sz="4" w:space="0" w:color="auto"/>
              <w:right w:val="nil"/>
            </w:tcBorders>
            <w:tcMar>
              <w:top w:w="100" w:type="dxa"/>
              <w:left w:w="100" w:type="dxa"/>
              <w:bottom w:w="100" w:type="dxa"/>
              <w:right w:w="100" w:type="dxa"/>
            </w:tcMar>
          </w:tcPr>
          <w:p w14:paraId="3393465E"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PC10</w:t>
            </w:r>
          </w:p>
        </w:tc>
        <w:tc>
          <w:tcPr>
            <w:tcW w:w="1665" w:type="dxa"/>
            <w:tcBorders>
              <w:top w:val="single" w:sz="4" w:space="0" w:color="auto"/>
              <w:left w:val="nil"/>
              <w:bottom w:val="single" w:sz="4" w:space="0" w:color="auto"/>
              <w:right w:val="nil"/>
            </w:tcBorders>
            <w:tcMar>
              <w:top w:w="100" w:type="dxa"/>
              <w:left w:w="100" w:type="dxa"/>
              <w:bottom w:w="100" w:type="dxa"/>
              <w:right w:w="100" w:type="dxa"/>
            </w:tcMar>
          </w:tcPr>
          <w:p w14:paraId="33FF4197"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0.82</w:t>
            </w:r>
          </w:p>
        </w:tc>
        <w:tc>
          <w:tcPr>
            <w:tcW w:w="1755" w:type="dxa"/>
            <w:tcBorders>
              <w:top w:val="single" w:sz="4" w:space="0" w:color="auto"/>
              <w:left w:val="nil"/>
              <w:bottom w:val="single" w:sz="4" w:space="0" w:color="auto"/>
              <w:right w:val="nil"/>
            </w:tcBorders>
            <w:tcMar>
              <w:top w:w="100" w:type="dxa"/>
              <w:left w:w="100" w:type="dxa"/>
              <w:bottom w:w="100" w:type="dxa"/>
              <w:right w:w="100" w:type="dxa"/>
            </w:tcMar>
          </w:tcPr>
          <w:p w14:paraId="62841598"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.490</w:t>
            </w:r>
          </w:p>
        </w:tc>
        <w:tc>
          <w:tcPr>
            <w:tcW w:w="2385" w:type="dxa"/>
            <w:tcBorders>
              <w:left w:val="nil"/>
            </w:tcBorders>
            <w:tcMar>
              <w:top w:w="100" w:type="dxa"/>
              <w:left w:w="100" w:type="dxa"/>
              <w:bottom w:w="100" w:type="dxa"/>
              <w:right w:w="100" w:type="dxa"/>
            </w:tcMar>
          </w:tcPr>
          <w:p w14:paraId="003D5CF6" w14:textId="77777777" w:rsidR="00BC4E9C" w:rsidRPr="00B86784" w:rsidRDefault="00000000" w:rsidP="00E53672">
            <w:pPr>
              <w:spacing w:line="360" w:lineRule="auto"/>
              <w:jc w:val="center"/>
              <w:rPr>
                <w:rFonts w:ascii="Times New Roman" w:eastAsia="Times New Roman" w:hAnsi="Times New Roman" w:cs="Times New Roman"/>
              </w:rPr>
            </w:pPr>
            <w:r w:rsidRPr="00B86784">
              <w:rPr>
                <w:rFonts w:ascii="Times New Roman" w:eastAsia="Times New Roman" w:hAnsi="Times New Roman" w:cs="Times New Roman"/>
              </w:rPr>
              <w:t>.04</w:t>
            </w:r>
          </w:p>
        </w:tc>
      </w:tr>
    </w:tbl>
    <w:p w14:paraId="770132A8" w14:textId="1CD0D5CD" w:rsidR="00BC4E9C" w:rsidRPr="00B86784" w:rsidRDefault="00000000" w:rsidP="00E53672">
      <w:pPr>
        <w:pStyle w:val="Titolo3"/>
        <w:keepNext w:val="0"/>
        <w:keepLines w:val="0"/>
        <w:spacing w:before="280"/>
        <w:jc w:val="center"/>
        <w:rPr>
          <w:rFonts w:ascii="Times New Roman" w:eastAsia="Times New Roman" w:hAnsi="Times New Roman" w:cs="Times New Roman"/>
          <w:color w:val="000000"/>
          <w:sz w:val="22"/>
          <w:szCs w:val="22"/>
        </w:rPr>
      </w:pPr>
      <w:bookmarkStart w:id="2" w:name="_oux3qgg2wo9x" w:colFirst="0" w:colLast="0"/>
      <w:bookmarkEnd w:id="2"/>
      <w:r w:rsidRPr="00B86784">
        <w:rPr>
          <w:rFonts w:ascii="Times New Roman" w:eastAsia="Times New Roman" w:hAnsi="Times New Roman" w:cs="Times New Roman"/>
          <w:color w:val="000000"/>
          <w:sz w:val="22"/>
          <w:szCs w:val="22"/>
        </w:rPr>
        <w:t>Table 2. One-way ANOVAs on HOG PCA components (factor: Image Category)</w:t>
      </w:r>
    </w:p>
    <w:p w14:paraId="37775E96" w14:textId="77777777" w:rsidR="00BC4E9C" w:rsidRPr="00B86784" w:rsidRDefault="00BC4E9C" w:rsidP="00E53672">
      <w:pPr>
        <w:spacing w:line="360" w:lineRule="auto"/>
        <w:rPr>
          <w:rFonts w:ascii="Times New Roman" w:eastAsia="Times New Roman" w:hAnsi="Times New Roman" w:cs="Times New Roman"/>
        </w:rPr>
      </w:pPr>
    </w:p>
    <w:p w14:paraId="79747216" w14:textId="77777777" w:rsidR="00BC4E9C" w:rsidRPr="00B86784" w:rsidRDefault="00BC4E9C" w:rsidP="00E53672">
      <w:pPr>
        <w:spacing w:line="360" w:lineRule="auto"/>
        <w:rPr>
          <w:rFonts w:ascii="Times New Roman" w:eastAsia="Times New Roman" w:hAnsi="Times New Roman" w:cs="Times New Roman"/>
        </w:rPr>
      </w:pPr>
    </w:p>
    <w:p w14:paraId="54F26FA3" w14:textId="5B4C8E25" w:rsidR="00E53672" w:rsidRDefault="00000000" w:rsidP="00E53672">
      <w:pPr>
        <w:rPr>
          <w:rFonts w:ascii="Times New Roman" w:eastAsia="Times New Roman" w:hAnsi="Times New Roman" w:cs="Times New Roman"/>
          <w:b/>
          <w:bCs/>
          <w:color w:val="000000"/>
        </w:rPr>
      </w:pPr>
      <w:r w:rsidRPr="00E53672">
        <w:rPr>
          <w:rFonts w:ascii="Times New Roman" w:eastAsia="Times New Roman" w:hAnsi="Times New Roman" w:cs="Times New Roman"/>
          <w:b/>
          <w:bCs/>
          <w:color w:val="000000"/>
        </w:rPr>
        <w:t>References</w:t>
      </w:r>
    </w:p>
    <w:p w14:paraId="03D38B93" w14:textId="77777777" w:rsidR="00E53672" w:rsidRPr="00E53672" w:rsidRDefault="00E53672" w:rsidP="00E53672">
      <w:pPr>
        <w:rPr>
          <w:rFonts w:ascii="Times New Roman" w:eastAsia="Times New Roman" w:hAnsi="Times New Roman" w:cs="Times New Roman"/>
          <w:b/>
          <w:bCs/>
          <w:color w:val="000000"/>
        </w:rPr>
      </w:pPr>
    </w:p>
    <w:p w14:paraId="1A4A90F6" w14:textId="025B096C" w:rsidR="00BC4E9C" w:rsidRDefault="00000000" w:rsidP="00E53672">
      <w:pPr>
        <w:ind w:left="720" w:hanging="720"/>
        <w:rPr>
          <w:rFonts w:ascii="Times New Roman" w:eastAsia="Times New Roman" w:hAnsi="Times New Roman" w:cs="Times New Roman"/>
          <w:color w:val="000000"/>
        </w:rPr>
      </w:pPr>
      <w:r w:rsidRPr="00E53672">
        <w:rPr>
          <w:rFonts w:ascii="Times New Roman" w:eastAsia="Times New Roman" w:hAnsi="Times New Roman" w:cs="Times New Roman"/>
          <w:color w:val="000000"/>
        </w:rPr>
        <w:t>Oliva, A., Torralba, A. (2001). Modeling the Shape of the Scene: A Holistic Representation of the Spatial Envelope. </w:t>
      </w:r>
      <w:r w:rsidRPr="00E53672">
        <w:rPr>
          <w:rFonts w:ascii="Times New Roman" w:eastAsia="Times New Roman" w:hAnsi="Times New Roman" w:cs="Times New Roman"/>
          <w:i/>
          <w:iCs/>
          <w:color w:val="000000"/>
        </w:rPr>
        <w:t>International Journal of Computer Vision,</w:t>
      </w:r>
      <w:r w:rsidRPr="00E53672">
        <w:rPr>
          <w:rFonts w:ascii="Times New Roman" w:eastAsia="Times New Roman" w:hAnsi="Times New Roman" w:cs="Times New Roman"/>
          <w:color w:val="000000"/>
        </w:rPr>
        <w:t> 42, 145–175. Doi: 10.1023/A:1011139631724</w:t>
      </w:r>
    </w:p>
    <w:p w14:paraId="6FF6EBC2" w14:textId="77777777" w:rsidR="00E53672" w:rsidRPr="00E53672" w:rsidRDefault="00E53672" w:rsidP="00E53672">
      <w:pPr>
        <w:ind w:left="720" w:hanging="720"/>
        <w:rPr>
          <w:rFonts w:ascii="Times New Roman" w:eastAsia="Times New Roman" w:hAnsi="Times New Roman" w:cs="Times New Roman"/>
          <w:color w:val="000000"/>
        </w:rPr>
      </w:pPr>
    </w:p>
    <w:p w14:paraId="39A7ED82" w14:textId="798527DB" w:rsidR="00BC4E9C" w:rsidRDefault="00000000" w:rsidP="00E53672">
      <w:pPr>
        <w:ind w:left="720" w:hanging="720"/>
        <w:rPr>
          <w:rFonts w:ascii="Times New Roman" w:eastAsia="Times New Roman" w:hAnsi="Times New Roman" w:cs="Times New Roman"/>
        </w:rPr>
      </w:pPr>
      <w:r w:rsidRPr="00E53672">
        <w:rPr>
          <w:rFonts w:ascii="Times New Roman" w:eastAsia="Times New Roman" w:hAnsi="Times New Roman" w:cs="Times New Roman"/>
        </w:rPr>
        <w:t xml:space="preserve">Dalal, N., &amp; Triggs, B. (2005). </w:t>
      </w:r>
      <w:r w:rsidRPr="00E53672">
        <w:rPr>
          <w:rFonts w:ascii="Times New Roman" w:eastAsia="Times New Roman" w:hAnsi="Times New Roman" w:cs="Times New Roman"/>
          <w:i/>
          <w:iCs/>
        </w:rPr>
        <w:t>Histograms of oriented gradients for human detection.</w:t>
      </w:r>
      <w:r w:rsidRPr="00E53672">
        <w:rPr>
          <w:rFonts w:ascii="Times New Roman" w:eastAsia="Times New Roman" w:hAnsi="Times New Roman" w:cs="Times New Roman"/>
        </w:rPr>
        <w:t xml:space="preserve"> In Proceedings of the IEEE Computer Society Conference on Computer Vision and Pattern Recognition (CVPR) (Vol. 1, pp. 886–893). IEEE.</w:t>
      </w:r>
    </w:p>
    <w:p w14:paraId="6EBA5093" w14:textId="77777777" w:rsidR="00E53672" w:rsidRPr="00E53672" w:rsidRDefault="00E53672" w:rsidP="00E53672">
      <w:pPr>
        <w:ind w:left="720" w:hanging="720"/>
        <w:rPr>
          <w:rFonts w:ascii="Times New Roman" w:eastAsia="Times New Roman" w:hAnsi="Times New Roman" w:cs="Times New Roman"/>
        </w:rPr>
      </w:pPr>
    </w:p>
    <w:p w14:paraId="7A4F5A48" w14:textId="04570289" w:rsidR="00BC4E9C" w:rsidRDefault="00000000" w:rsidP="00E53672">
      <w:pPr>
        <w:ind w:left="720" w:hanging="720"/>
        <w:rPr>
          <w:rFonts w:ascii="Times New Roman" w:eastAsia="Times New Roman" w:hAnsi="Times New Roman" w:cs="Times New Roman"/>
        </w:rPr>
      </w:pPr>
      <w:r w:rsidRPr="00E53672">
        <w:rPr>
          <w:rFonts w:ascii="Times New Roman" w:eastAsia="Times New Roman" w:hAnsi="Times New Roman" w:cs="Times New Roman"/>
        </w:rPr>
        <w:t xml:space="preserve">Felzenszwalb, P. F., Girshick, R. B., McAllester, D., &amp; Ramanan, D. (2010). </w:t>
      </w:r>
      <w:r w:rsidRPr="00E53672">
        <w:rPr>
          <w:rFonts w:ascii="Times New Roman" w:eastAsia="Times New Roman" w:hAnsi="Times New Roman" w:cs="Times New Roman"/>
          <w:i/>
          <w:iCs/>
        </w:rPr>
        <w:t>Object detection with discriminatively trained part-based models.</w:t>
      </w:r>
      <w:r w:rsidRPr="00E53672">
        <w:rPr>
          <w:rFonts w:ascii="Times New Roman" w:eastAsia="Times New Roman" w:hAnsi="Times New Roman" w:cs="Times New Roman"/>
        </w:rPr>
        <w:t xml:space="preserve"> IEEE Transactions on Pattern Analysis and Machine Intelligence, 32(9), 1627–1645.</w:t>
      </w:r>
    </w:p>
    <w:p w14:paraId="2551C3F1" w14:textId="77777777" w:rsidR="00E53672" w:rsidRPr="00E53672" w:rsidRDefault="00E53672" w:rsidP="00E53672">
      <w:pPr>
        <w:ind w:left="720" w:hanging="720"/>
        <w:rPr>
          <w:rFonts w:ascii="Times New Roman" w:eastAsia="Times New Roman" w:hAnsi="Times New Roman" w:cs="Times New Roman"/>
        </w:rPr>
      </w:pPr>
    </w:p>
    <w:p w14:paraId="514775FD" w14:textId="77777777" w:rsidR="00BC4E9C" w:rsidRPr="00E53672" w:rsidRDefault="00000000" w:rsidP="00E53672">
      <w:pPr>
        <w:ind w:left="720" w:hanging="720"/>
        <w:rPr>
          <w:rFonts w:ascii="Times New Roman" w:eastAsia="Times New Roman" w:hAnsi="Times New Roman" w:cs="Times New Roman"/>
        </w:rPr>
      </w:pPr>
      <w:r w:rsidRPr="00E53672">
        <w:rPr>
          <w:rFonts w:ascii="Times New Roman" w:eastAsia="Times New Roman" w:hAnsi="Times New Roman" w:cs="Times New Roman"/>
        </w:rPr>
        <w:t xml:space="preserve">Jolliffe, I. T., &amp; Cadima, J. (2016). </w:t>
      </w:r>
      <w:r w:rsidRPr="00E53672">
        <w:rPr>
          <w:rFonts w:ascii="Times New Roman" w:eastAsia="Times New Roman" w:hAnsi="Times New Roman" w:cs="Times New Roman"/>
          <w:i/>
          <w:iCs/>
        </w:rPr>
        <w:t>Principal component analysis: a review and recent developments.</w:t>
      </w:r>
      <w:r w:rsidRPr="00E53672">
        <w:rPr>
          <w:rFonts w:ascii="Times New Roman" w:eastAsia="Times New Roman" w:hAnsi="Times New Roman" w:cs="Times New Roman"/>
        </w:rPr>
        <w:t xml:space="preserve"> Philosophical Transactions of the Royal Society A, 374(2065), 20150202.</w:t>
      </w:r>
    </w:p>
    <w:p w14:paraId="3D865216" w14:textId="77777777" w:rsidR="00BC4E9C" w:rsidRPr="00E53672" w:rsidRDefault="00BC4E9C" w:rsidP="00E53672">
      <w:pPr>
        <w:spacing w:line="360" w:lineRule="auto"/>
        <w:ind w:left="720" w:hanging="720"/>
        <w:jc w:val="both"/>
        <w:rPr>
          <w:rFonts w:ascii="Times New Roman" w:eastAsia="Times New Roman" w:hAnsi="Times New Roman" w:cs="Times New Roman"/>
        </w:rPr>
      </w:pPr>
    </w:p>
    <w:p w14:paraId="6507F466" w14:textId="77777777" w:rsidR="00BC4E9C" w:rsidRPr="00E53672" w:rsidRDefault="00BC4E9C" w:rsidP="00E53672">
      <w:pPr>
        <w:spacing w:line="360" w:lineRule="auto"/>
        <w:ind w:left="720" w:hanging="720"/>
        <w:jc w:val="both"/>
        <w:rPr>
          <w:rFonts w:ascii="Times New Roman" w:eastAsia="Times New Roman" w:hAnsi="Times New Roman" w:cs="Times New Roman"/>
          <w:color w:val="000000"/>
        </w:rPr>
      </w:pPr>
    </w:p>
    <w:p w14:paraId="7D37E829" w14:textId="77777777" w:rsidR="00BC4E9C" w:rsidRPr="00E53672" w:rsidRDefault="00BC4E9C" w:rsidP="00E53672">
      <w:pPr>
        <w:spacing w:line="360" w:lineRule="auto"/>
        <w:ind w:left="720" w:hanging="720"/>
        <w:jc w:val="both"/>
        <w:rPr>
          <w:rFonts w:ascii="Times New Roman" w:eastAsia="Times New Roman" w:hAnsi="Times New Roman" w:cs="Times New Roman"/>
          <w:color w:val="000000"/>
        </w:rPr>
      </w:pPr>
    </w:p>
    <w:sectPr w:rsidR="00BC4E9C" w:rsidRPr="00E53672">
      <w:footerReference w:type="even" r:id="rId8"/>
      <w:footerReference w:type="default" r:id="rId9"/>
      <w:pgSz w:w="11910" w:h="16840"/>
      <w:pgMar w:top="1418" w:right="1134" w:bottom="1134" w:left="1134" w:header="0" w:footer="4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0F706" w14:textId="77777777" w:rsidR="00741F40" w:rsidRDefault="00741F40">
      <w:r>
        <w:separator/>
      </w:r>
    </w:p>
  </w:endnote>
  <w:endnote w:type="continuationSeparator" w:id="0">
    <w:p w14:paraId="3616712C" w14:textId="77777777" w:rsidR="00741F40" w:rsidRDefault="00741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E1E10D1-D130-6B43-944E-DBE9DBF4A8D7}"/>
    <w:embedBold r:id="rId2" w:fontKey="{9BD3110D-EEFB-474F-A09E-634253C0140C}"/>
    <w:embedItalic r:id="rId3" w:fontKey="{BE2D93B5-08E8-8C43-8788-5152F651260F}"/>
  </w:font>
  <w:font w:name="Aptos">
    <w:panose1 w:val="020B0004020202020204"/>
    <w:charset w:val="00"/>
    <w:family w:val="swiss"/>
    <w:pitch w:val="variable"/>
    <w:sig w:usb0="20000287" w:usb1="00000003" w:usb2="00000000" w:usb3="00000000" w:csb0="0000019F" w:csb1="00000000"/>
    <w:embedRegular r:id="rId4" w:fontKey="{AD9FD7E9-99A4-5149-AA47-C324ABF8C4C4}"/>
    <w:embedBold r:id="rId5" w:fontKey="{41EB24A7-48BF-C649-8AA8-AB1FF8141A3B}"/>
    <w:embedItalic r:id="rId6" w:fontKey="{F6827F5E-6CC6-B645-A497-2B8D5C571392}"/>
  </w:font>
  <w:font w:name="Play">
    <w:panose1 w:val="020B0604020202020204"/>
    <w:charset w:val="00"/>
    <w:family w:val="auto"/>
    <w:pitch w:val="default"/>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embedRegular r:id="rId8" w:fontKey="{B3066394-26CB-AD44-9423-C0D67D874DD7}"/>
  </w:font>
  <w:font w:name="Cambria">
    <w:panose1 w:val="02040503050406030204"/>
    <w:charset w:val="00"/>
    <w:family w:val="roman"/>
    <w:pitch w:val="variable"/>
    <w:sig w:usb0="E00006FF" w:usb1="420024FF" w:usb2="02000000" w:usb3="00000000" w:csb0="0000019F" w:csb1="00000000"/>
    <w:embedRegular r:id="rId9" w:fontKey="{8C28C595-BF8A-CD42-B963-B7FD4AC2D4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2257" w14:textId="77777777" w:rsidR="00BC4E9C" w:rsidRDefault="00000000">
    <w:pPr>
      <w:pBdr>
        <w:top w:val="nil"/>
        <w:left w:val="nil"/>
        <w:bottom w:val="nil"/>
        <w:right w:val="nil"/>
        <w:between w:val="nil"/>
      </w:pBdr>
      <w:tabs>
        <w:tab w:val="center" w:pos="4819"/>
        <w:tab w:val="right" w:pos="9638"/>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97C6037" w14:textId="77777777" w:rsidR="00BC4E9C" w:rsidRDefault="00BC4E9C">
    <w:pPr>
      <w:pBdr>
        <w:top w:val="nil"/>
        <w:left w:val="nil"/>
        <w:bottom w:val="nil"/>
        <w:right w:val="nil"/>
        <w:between w:val="nil"/>
      </w:pBdr>
      <w:tabs>
        <w:tab w:val="center" w:pos="4819"/>
        <w:tab w:val="right" w:pos="9638"/>
      </w:tabs>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EC286" w14:textId="77777777" w:rsidR="00BC4E9C" w:rsidRDefault="00000000">
    <w:pPr>
      <w:pBdr>
        <w:top w:val="nil"/>
        <w:left w:val="nil"/>
        <w:bottom w:val="nil"/>
        <w:right w:val="nil"/>
        <w:between w:val="nil"/>
      </w:pBdr>
      <w:tabs>
        <w:tab w:val="center" w:pos="4819"/>
        <w:tab w:val="right" w:pos="9638"/>
      </w:tabs>
      <w:rPr>
        <w:color w:val="000000"/>
      </w:rPr>
    </w:pPr>
    <w:r>
      <w:rPr>
        <w:color w:val="000000"/>
      </w:rPr>
      <w:fldChar w:fldCharType="begin"/>
    </w:r>
    <w:r>
      <w:rPr>
        <w:color w:val="000000"/>
      </w:rPr>
      <w:instrText>PAGE</w:instrText>
    </w:r>
    <w:r>
      <w:rPr>
        <w:color w:val="000000"/>
      </w:rPr>
      <w:fldChar w:fldCharType="separate"/>
    </w:r>
    <w:r w:rsidR="00D43C87">
      <w:rPr>
        <w:noProof/>
        <w:color w:val="000000"/>
      </w:rPr>
      <w:t>1</w:t>
    </w:r>
    <w:r>
      <w:rPr>
        <w:color w:val="000000"/>
      </w:rPr>
      <w:fldChar w:fldCharType="end"/>
    </w:r>
  </w:p>
  <w:p w14:paraId="4B2946CD" w14:textId="77777777" w:rsidR="00BC4E9C" w:rsidRDefault="00BC4E9C">
    <w:pPr>
      <w:pBdr>
        <w:top w:val="nil"/>
        <w:left w:val="nil"/>
        <w:bottom w:val="nil"/>
        <w:right w:val="nil"/>
        <w:between w:val="nil"/>
      </w:pBdr>
      <w:tabs>
        <w:tab w:val="center" w:pos="4819"/>
        <w:tab w:val="right" w:pos="9638"/>
      </w:tabs>
      <w:ind w:right="360" w:firstLine="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95D1" w14:textId="77777777" w:rsidR="00741F40" w:rsidRDefault="00741F40">
      <w:r>
        <w:separator/>
      </w:r>
    </w:p>
  </w:footnote>
  <w:footnote w:type="continuationSeparator" w:id="0">
    <w:p w14:paraId="76468A6F" w14:textId="77777777" w:rsidR="00741F40" w:rsidRDefault="00741F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C7B25"/>
    <w:multiLevelType w:val="multilevel"/>
    <w:tmpl w:val="0F208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3128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E9C"/>
    <w:rsid w:val="004431F2"/>
    <w:rsid w:val="00741F40"/>
    <w:rsid w:val="0083000C"/>
    <w:rsid w:val="00A0561F"/>
    <w:rsid w:val="00B86784"/>
    <w:rsid w:val="00BC4E9C"/>
    <w:rsid w:val="00BC6579"/>
    <w:rsid w:val="00D267BB"/>
    <w:rsid w:val="00D43C87"/>
    <w:rsid w:val="00D92390"/>
    <w:rsid w:val="00E5367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A95923B"/>
  <w15:docId w15:val="{D28444D7-49C2-E348-9D69-A8CB3D9F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360" w:after="80"/>
      <w:outlineLvl w:val="0"/>
    </w:pPr>
    <w:rPr>
      <w:rFonts w:ascii="Play" w:eastAsia="Play" w:hAnsi="Play" w:cs="Play"/>
      <w:color w:val="0F4761"/>
      <w:sz w:val="40"/>
      <w:szCs w:val="40"/>
    </w:rPr>
  </w:style>
  <w:style w:type="paragraph" w:styleId="Titolo2">
    <w:name w:val="heading 2"/>
    <w:basedOn w:val="Normale"/>
    <w:next w:val="Normale"/>
    <w:uiPriority w:val="9"/>
    <w:unhideWhenUsed/>
    <w:qFormat/>
    <w:pPr>
      <w:keepNext/>
      <w:keepLines/>
      <w:spacing w:before="160" w:after="80"/>
      <w:outlineLvl w:val="1"/>
    </w:pPr>
    <w:rPr>
      <w:rFonts w:ascii="Play" w:eastAsia="Play" w:hAnsi="Play" w:cs="Play"/>
      <w:color w:val="0F4761"/>
      <w:sz w:val="32"/>
      <w:szCs w:val="32"/>
    </w:rPr>
  </w:style>
  <w:style w:type="paragraph" w:styleId="Titolo3">
    <w:name w:val="heading 3"/>
    <w:basedOn w:val="Normale"/>
    <w:next w:val="Normale"/>
    <w:uiPriority w:val="9"/>
    <w:unhideWhenUsed/>
    <w:qFormat/>
    <w:pPr>
      <w:keepNext/>
      <w:keepLines/>
      <w:spacing w:before="160" w:after="80"/>
      <w:outlineLvl w:val="2"/>
    </w:pPr>
    <w:rPr>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i/>
      <w:iCs/>
      <w:color w:val="0F4761"/>
    </w:rPr>
  </w:style>
  <w:style w:type="paragraph" w:styleId="Titolo5">
    <w:name w:val="heading 5"/>
    <w:basedOn w:val="Normale"/>
    <w:next w:val="Normale"/>
    <w:uiPriority w:val="9"/>
    <w:semiHidden/>
    <w:unhideWhenUsed/>
    <w:qFormat/>
    <w:pPr>
      <w:keepNext/>
      <w:keepLines/>
      <w:spacing w:before="80" w:after="40"/>
      <w:outlineLvl w:val="4"/>
    </w:pPr>
    <w:rPr>
      <w:color w:val="0F4761"/>
    </w:rPr>
  </w:style>
  <w:style w:type="paragraph" w:styleId="Titolo6">
    <w:name w:val="heading 6"/>
    <w:basedOn w:val="Normale"/>
    <w:next w:val="Normale"/>
    <w:uiPriority w:val="9"/>
    <w:semiHidden/>
    <w:unhideWhenUsed/>
    <w:qFormat/>
    <w:pPr>
      <w:keepNext/>
      <w:keepLines/>
      <w:spacing w:before="40"/>
      <w:outlineLvl w:val="5"/>
    </w:pPr>
    <w:rPr>
      <w:i/>
      <w:iCs/>
      <w:color w:val="595959"/>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after="80"/>
    </w:pPr>
    <w:rPr>
      <w:rFonts w:ascii="Play" w:eastAsia="Play" w:hAnsi="Play" w:cs="Play"/>
      <w:sz w:val="56"/>
      <w:szCs w:val="56"/>
    </w:rPr>
  </w:style>
  <w:style w:type="paragraph" w:styleId="Sottotitolo">
    <w:name w:val="Subtitle"/>
    <w:basedOn w:val="Normale"/>
    <w:next w:val="Normale"/>
    <w:uiPriority w:val="11"/>
    <w:qFormat/>
    <w:pPr>
      <w:spacing w:after="160"/>
    </w:pPr>
    <w:rPr>
      <w:color w:val="595959"/>
      <w:sz w:val="28"/>
      <w:szCs w:val="28"/>
    </w:rPr>
  </w:style>
  <w:style w:type="table" w:customStyle="1" w:styleId="a">
    <w:basedOn w:val="TableNormal"/>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0">
    <w:basedOn w:val="TableNormal"/>
    <w:tblPr>
      <w:tblStyleRowBandSize w:val="1"/>
      <w:tblStyleColBandSize w:val="1"/>
    </w:tblPr>
  </w:style>
  <w:style w:type="paragraph" w:styleId="NormaleWeb">
    <w:name w:val="Normal (Web)"/>
    <w:basedOn w:val="Normale"/>
    <w:uiPriority w:val="99"/>
    <w:semiHidden/>
    <w:unhideWhenUsed/>
    <w:rsid w:val="00E53672"/>
    <w:pPr>
      <w:spacing w:before="100" w:beforeAutospacing="1" w:after="100" w:afterAutospacing="1"/>
    </w:pPr>
    <w:rPr>
      <w:rFonts w:ascii="Times New Roman" w:eastAsia="Times New Roman" w:hAnsi="Times New Roman" w:cs="Times New Roman"/>
      <w:lang w:val="it-IT"/>
    </w:rPr>
  </w:style>
  <w:style w:type="character" w:customStyle="1" w:styleId="apple-converted-space">
    <w:name w:val="apple-converted-space"/>
    <w:basedOn w:val="Carpredefinitoparagrafo"/>
    <w:rsid w:val="00E53672"/>
  </w:style>
  <w:style w:type="character" w:styleId="Enfasicorsivo">
    <w:name w:val="Emphasis"/>
    <w:basedOn w:val="Carpredefinitoparagrafo"/>
    <w:uiPriority w:val="20"/>
    <w:qFormat/>
    <w:rsid w:val="00E5367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DC29318-AB49-4744-902E-F0A3A0FC25D1}">
  <we:reference id="wa200001482" version="1.0.5.0" store="en-US" storeType="OMEX"/>
  <we:alternateReferences>
    <we:reference id="WA200001482" version="1.0.5.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A502CF3C-C0BF-1C49-B6E1-B7C1BAFDC6B4}">
  <we:reference id="wa200006000" version="1.2.1.0" store="it-IT" storeType="OMEX"/>
  <we:alternateReferences>
    <we:reference id="WA200006000" version="1.2.1.0" store="" storeType="OMEX"/>
  </we:alternateReferences>
  <we:properties>
    <we:property name="document_UID" value="&quot;fecf0160-235c-4d06-88bc-2efcb52ed45f&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46</TotalTime>
  <Pages>4</Pages>
  <Words>1164</Words>
  <Characters>6639</Characters>
  <Application>Microsoft Office Word</Application>
  <DocSecurity>0</DocSecurity>
  <Lines>55</Lines>
  <Paragraphs>15</Paragraphs>
  <ScaleCrop>false</ScaleCrop>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Cristina IANI</cp:lastModifiedBy>
  <cp:revision>5</cp:revision>
  <dcterms:created xsi:type="dcterms:W3CDTF">2025-11-10T20:55:00Z</dcterms:created>
  <dcterms:modified xsi:type="dcterms:W3CDTF">2025-11-11T13:01:00Z</dcterms:modified>
</cp:coreProperties>
</file>