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2954" w14:textId="631CEC6D" w:rsidR="001825CA" w:rsidRPr="00CA49ED" w:rsidRDefault="00A414B8" w:rsidP="00CA49ED">
      <w:pPr>
        <w:spacing w:line="360" w:lineRule="auto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Supplementary</w:t>
      </w:r>
      <w:r w:rsidR="00966B63">
        <w:rPr>
          <w:b/>
          <w:bCs/>
          <w:lang w:val="en-US"/>
        </w:rPr>
        <w:t xml:space="preserve"> Materials</w:t>
      </w:r>
    </w:p>
    <w:p w14:paraId="760F3369" w14:textId="127E2295" w:rsidR="00CA49ED" w:rsidRDefault="00CA49ED" w:rsidP="00CA49ED">
      <w:pPr>
        <w:spacing w:before="100" w:beforeAutospacing="1" w:after="100" w:afterAutospacing="1" w:line="360" w:lineRule="auto"/>
        <w:rPr>
          <w:rFonts w:eastAsia="Times New Roman"/>
          <w:b/>
          <w:bCs/>
          <w:lang w:eastAsia="en-IL"/>
        </w:rPr>
      </w:pPr>
      <w:r>
        <w:rPr>
          <w:rFonts w:eastAsia="Times New Roman"/>
          <w:b/>
          <w:bCs/>
          <w:lang w:eastAsia="en-IL"/>
        </w:rPr>
        <w:t>Reaction Time (RT)</w:t>
      </w:r>
    </w:p>
    <w:p w14:paraId="1AF4FE6F" w14:textId="77777777" w:rsidR="00CA49ED" w:rsidRDefault="00CA49ED" w:rsidP="00CA49ED">
      <w:pPr>
        <w:spacing w:before="100" w:beforeAutospacing="1" w:after="100" w:afterAutospacing="1" w:line="360" w:lineRule="auto"/>
        <w:ind w:firstLine="720"/>
        <w:rPr>
          <w:rFonts w:eastAsia="Times New Roman"/>
          <w:lang w:eastAsia="en-IL"/>
        </w:rPr>
      </w:pPr>
      <w:r w:rsidRPr="00CA49ED">
        <w:rPr>
          <w:rFonts w:eastAsia="Times New Roman"/>
          <w:lang w:eastAsia="en-IL"/>
        </w:rPr>
        <w:t xml:space="preserve">We carried out </w:t>
      </w:r>
      <w:r>
        <w:rPr>
          <w:rFonts w:eastAsia="Times New Roman"/>
          <w:lang w:eastAsia="en-IL"/>
        </w:rPr>
        <w:t>a</w:t>
      </w:r>
      <w:r w:rsidRPr="00CA49ED">
        <w:rPr>
          <w:rFonts w:eastAsia="Times New Roman"/>
          <w:lang w:eastAsia="en-IL"/>
        </w:rPr>
        <w:t xml:space="preserve"> 5 × 2 mixed-model ANOVA on raw RT data, with stimulus-type (neutral shapes, neutral words, color-associated words, non-response set incongruent, and response set incongruent) as a within-subject factor and age-group (younger adults vs. older adults) as a between-subject factor. As in the main analysis</w:t>
      </w:r>
      <w:r>
        <w:rPr>
          <w:rFonts w:eastAsia="Times New Roman"/>
          <w:lang w:eastAsia="en-IL"/>
        </w:rPr>
        <w:t xml:space="preserve"> for Z-scores</w:t>
      </w:r>
      <w:r w:rsidRPr="00CA49ED">
        <w:rPr>
          <w:rFonts w:eastAsia="Times New Roman"/>
          <w:lang w:eastAsia="en-IL"/>
        </w:rPr>
        <w:t xml:space="preserve">, only correct responses were included, and trials that were 3 SDs below or above each participant’s mean RT within each stimulus-type condition were removed. </w:t>
      </w:r>
    </w:p>
    <w:p w14:paraId="1A8BD37E" w14:textId="5819C02E" w:rsidR="00E0492D" w:rsidRDefault="00CA49ED" w:rsidP="00E0492D">
      <w:pPr>
        <w:spacing w:before="100" w:beforeAutospacing="1" w:after="100" w:afterAutospacing="1" w:line="360" w:lineRule="auto"/>
        <w:ind w:firstLine="720"/>
        <w:rPr>
          <w:rFonts w:eastAsia="Times New Roman"/>
          <w:lang w:eastAsia="en-IL"/>
        </w:rPr>
      </w:pPr>
      <w:r w:rsidRPr="00CA49ED">
        <w:rPr>
          <w:rFonts w:eastAsia="Times New Roman"/>
          <w:lang w:eastAsia="en-IL"/>
        </w:rPr>
        <w:t xml:space="preserve">A main effect was found for stimulus type,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4, 612) = 377.296,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 = .711. Pairwise comparisons corrected using the Benjamini-Hochberg procedure indicated that all stimulus types differed significantly from one another</w:t>
      </w:r>
      <w:r>
        <w:rPr>
          <w:rFonts w:eastAsia="Times New Roman"/>
          <w:lang w:eastAsia="en-IL"/>
        </w:rPr>
        <w:t xml:space="preserve"> (</w:t>
      </w:r>
      <w:r w:rsidRPr="00CA49ED">
        <w:rPr>
          <w:rFonts w:eastAsia="Times New Roman"/>
          <w:lang w:eastAsia="en-IL"/>
        </w:rPr>
        <w:t xml:space="preserve">all </w:t>
      </w:r>
      <w:proofErr w:type="spellStart"/>
      <w:r w:rsidRPr="00CA49ED">
        <w:rPr>
          <w:rFonts w:eastAsia="Times New Roman"/>
          <w:i/>
          <w:iCs/>
          <w:lang w:eastAsia="en-IL"/>
        </w:rPr>
        <w:t>ps</w:t>
      </w:r>
      <w:proofErr w:type="spellEnd"/>
      <w:r w:rsidRPr="00CA49ED">
        <w:rPr>
          <w:rFonts w:eastAsia="Times New Roman"/>
          <w:lang w:eastAsia="en-IL"/>
        </w:rPr>
        <w:t xml:space="preserve"> &lt; .001</w:t>
      </w:r>
      <w:r>
        <w:rPr>
          <w:rFonts w:eastAsia="Times New Roman"/>
          <w:lang w:eastAsia="en-IL"/>
        </w:rPr>
        <w:t>)</w:t>
      </w:r>
      <w:r w:rsidRPr="00CA49ED">
        <w:rPr>
          <w:rFonts w:eastAsia="Times New Roman"/>
          <w:lang w:eastAsia="en-IL"/>
        </w:rPr>
        <w:t xml:space="preserve">. A main effect was also found for age-group,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1, 153) = 48.712,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 = .241, such that younger adults responded faster than older adults. Importantly, a significant two-way interaction was found between stimulus-type and age-group,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4, 612) = 14.659,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 = .087.</w:t>
      </w:r>
      <w:r w:rsidR="009B0184">
        <w:rPr>
          <w:rFonts w:eastAsia="Times New Roman"/>
          <w:lang w:eastAsia="en-IL"/>
        </w:rPr>
        <w:t xml:space="preserve"> </w:t>
      </w:r>
      <w:r w:rsidR="00E0492D">
        <w:t xml:space="preserve">To further examine this interaction, we tested age-related differences in each of the conflicts of interest, including response conflict (response set incongruent – non-response set incongruent), semantic relevance (non-response set incongruent – color-associated words), semantic relatedness (color-associated words – neutral words), and task conflict (neutral words – neutral shapes). Larger effects in older adults were evident for response conflict,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2.439, </w:t>
      </w:r>
      <w:r w:rsidR="00E0492D">
        <w:rPr>
          <w:rStyle w:val="Emphasis"/>
        </w:rPr>
        <w:t>p</w:t>
      </w:r>
      <w:r w:rsidR="00E0492D">
        <w:t xml:space="preserve"> = .016, semantic relevance,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2.050, </w:t>
      </w:r>
      <w:r w:rsidR="00E0492D">
        <w:rPr>
          <w:rStyle w:val="Emphasis"/>
        </w:rPr>
        <w:t>p</w:t>
      </w:r>
      <w:r w:rsidR="00E0492D">
        <w:t xml:space="preserve"> = .042, and semantic relatedness,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2.046, </w:t>
      </w:r>
      <w:r w:rsidR="00E0492D">
        <w:rPr>
          <w:rStyle w:val="Emphasis"/>
        </w:rPr>
        <w:t>p</w:t>
      </w:r>
      <w:r w:rsidR="00E0492D">
        <w:t xml:space="preserve"> = .042. Task conflict did not differ between younger and older adults,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1.781, </w:t>
      </w:r>
      <w:r w:rsidR="00E0492D">
        <w:rPr>
          <w:rStyle w:val="Emphasis"/>
        </w:rPr>
        <w:t>p</w:t>
      </w:r>
      <w:r w:rsidR="00E0492D">
        <w:t xml:space="preserve"> = .077.</w:t>
      </w:r>
    </w:p>
    <w:p w14:paraId="4012B50B" w14:textId="2A692179" w:rsidR="00CA49ED" w:rsidRPr="00CA49ED" w:rsidRDefault="00CA49ED" w:rsidP="00E0492D">
      <w:pPr>
        <w:spacing w:before="100" w:beforeAutospacing="1" w:after="100" w:afterAutospacing="1" w:line="360" w:lineRule="auto"/>
        <w:rPr>
          <w:rFonts w:eastAsia="Times New Roman"/>
          <w:b/>
          <w:bCs/>
          <w:lang w:eastAsia="en-IL"/>
        </w:rPr>
      </w:pPr>
      <w:r w:rsidRPr="00CA49ED">
        <w:rPr>
          <w:rFonts w:eastAsia="Times New Roman"/>
          <w:b/>
          <w:bCs/>
          <w:lang w:eastAsia="en-IL"/>
        </w:rPr>
        <w:t>Accuracy</w:t>
      </w:r>
      <w:r w:rsidR="00E0492D">
        <w:rPr>
          <w:rFonts w:eastAsia="Times New Roman"/>
          <w:b/>
          <w:bCs/>
          <w:lang w:eastAsia="en-IL"/>
        </w:rPr>
        <w:t xml:space="preserve"> (ACC)</w:t>
      </w:r>
    </w:p>
    <w:p w14:paraId="28B84B54" w14:textId="6EEE8943" w:rsidR="00CA49ED" w:rsidRPr="00CA49ED" w:rsidRDefault="00CA49ED" w:rsidP="00E0492D">
      <w:pPr>
        <w:spacing w:before="100" w:beforeAutospacing="1" w:after="100" w:afterAutospacing="1" w:line="360" w:lineRule="auto"/>
        <w:ind w:firstLine="720"/>
        <w:rPr>
          <w:rFonts w:eastAsia="Times New Roman"/>
          <w:lang w:eastAsia="en-IL"/>
        </w:rPr>
      </w:pPr>
      <w:r w:rsidRPr="00CA49ED">
        <w:rPr>
          <w:rFonts w:eastAsia="Times New Roman"/>
          <w:lang w:eastAsia="en-IL"/>
        </w:rPr>
        <w:t xml:space="preserve">We carried out the same 5 × 2 mixed-model ANOVA on accuracy rates, with stimulus-type as a within-subject factor and age-group as a between-subject factor. Accuracy was </w:t>
      </w:r>
      <w:proofErr w:type="spellStart"/>
      <w:r w:rsidRPr="00CA49ED">
        <w:rPr>
          <w:rFonts w:eastAsia="Times New Roman"/>
          <w:lang w:eastAsia="en-IL"/>
        </w:rPr>
        <w:t>analyzed</w:t>
      </w:r>
      <w:proofErr w:type="spellEnd"/>
      <w:r w:rsidRPr="00CA49ED">
        <w:rPr>
          <w:rFonts w:eastAsia="Times New Roman"/>
          <w:lang w:eastAsia="en-IL"/>
        </w:rPr>
        <w:t xml:space="preserve"> as subject-level accuracy proportions for each stimulus-type condition.</w:t>
      </w:r>
    </w:p>
    <w:p w14:paraId="32895B97" w14:textId="24F94E5F" w:rsidR="00CA49ED" w:rsidRDefault="00CA49ED" w:rsidP="00BB220F">
      <w:pPr>
        <w:spacing w:before="100" w:beforeAutospacing="1" w:after="100" w:afterAutospacing="1" w:line="360" w:lineRule="auto"/>
        <w:ind w:firstLine="720"/>
      </w:pPr>
      <w:r w:rsidRPr="00CA49ED">
        <w:rPr>
          <w:rFonts w:eastAsia="Times New Roman"/>
          <w:lang w:eastAsia="en-IL"/>
        </w:rPr>
        <w:t xml:space="preserve">A main effect was found for stimulus type,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4, 612) = 20.951,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</w:t>
      </w:r>
      <w:r w:rsidR="00E0492D">
        <w:rPr>
          <w:rFonts w:eastAsia="Times New Roman"/>
          <w:lang w:eastAsia="en-IL"/>
        </w:rPr>
        <w:t xml:space="preserve">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= .120. Pairwise comparisons corrected using the Benjamini-Hochberg procedure indicated that accuracy was significantly lower for response set incongruent trials than for neutral shapes, </w:t>
      </w:r>
      <w:proofErr w:type="gramStart"/>
      <w:r w:rsidRPr="00CA49ED">
        <w:rPr>
          <w:rFonts w:eastAsia="Times New Roman"/>
          <w:i/>
          <w:iCs/>
          <w:lang w:eastAsia="en-IL"/>
        </w:rPr>
        <w:lastRenderedPageBreak/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6.372,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color-associated words,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5.650,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non-response set incongruent trials,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5.222,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.001, and neutral words,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4.965,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&lt; .001. Accuracy was also higher for neutral shapes than for neutral words,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2.559,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= .023, color-associated words,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2.415,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= .028, and non-response set incongruent trials, </w:t>
      </w:r>
      <w:proofErr w:type="gramStart"/>
      <w:r w:rsidRPr="00CA49ED">
        <w:rPr>
          <w:rFonts w:eastAsia="Times New Roman"/>
          <w:i/>
          <w:iCs/>
          <w:lang w:eastAsia="en-IL"/>
        </w:rPr>
        <w:t>t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153) = 2.292,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= .033. No significant differences were found among neutral words, color-associated words, and non-response set incongruent trials, all </w:t>
      </w:r>
      <w:proofErr w:type="spellStart"/>
      <w:r w:rsidRPr="00CA49ED">
        <w:rPr>
          <w:rFonts w:eastAsia="Times New Roman"/>
          <w:i/>
          <w:iCs/>
          <w:lang w:eastAsia="en-IL"/>
        </w:rPr>
        <w:t>ps</w:t>
      </w:r>
      <w:proofErr w:type="spellEnd"/>
      <w:r w:rsidRPr="00CA49ED">
        <w:rPr>
          <w:rFonts w:eastAsia="Times New Roman"/>
          <w:lang w:eastAsia="en-IL"/>
        </w:rPr>
        <w:t xml:space="preserve"> = .940.</w:t>
      </w:r>
      <w:r w:rsidR="00E0492D">
        <w:rPr>
          <w:rFonts w:eastAsia="Times New Roman"/>
          <w:lang w:eastAsia="en-IL"/>
        </w:rPr>
        <w:t xml:space="preserve"> </w:t>
      </w:r>
      <w:r w:rsidRPr="00CA49ED">
        <w:rPr>
          <w:rFonts w:eastAsia="Times New Roman"/>
          <w:lang w:eastAsia="en-IL"/>
        </w:rPr>
        <w:t xml:space="preserve">No main effect was found for age-group,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1, 153) = 0.030,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= .863, </w:t>
      </w:r>
      <w:r w:rsidR="00E0492D">
        <w:rPr>
          <w:rFonts w:eastAsia="Times New Roman"/>
          <w:lang w:eastAsia="en-IL"/>
        </w:rPr>
        <w:t xml:space="preserve">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 </w:t>
      </w:r>
      <w:r w:rsidR="00E0492D">
        <w:rPr>
          <w:rFonts w:eastAsia="Times New Roman"/>
          <w:lang w:eastAsia="en-IL"/>
        </w:rPr>
        <w:t>=</w:t>
      </w:r>
      <w:r w:rsidRPr="00CA49ED">
        <w:rPr>
          <w:rFonts w:eastAsia="Times New Roman"/>
          <w:lang w:eastAsia="en-IL"/>
        </w:rPr>
        <w:t xml:space="preserve"> .001. However, a significant two-way interaction was found between stimulus-type and age-group, </w:t>
      </w:r>
      <w:proofErr w:type="gramStart"/>
      <w:r w:rsidRPr="00CA49ED">
        <w:rPr>
          <w:rFonts w:eastAsia="Times New Roman"/>
          <w:i/>
          <w:iCs/>
          <w:lang w:eastAsia="en-IL"/>
        </w:rPr>
        <w:t>F</w:t>
      </w:r>
      <w:r w:rsidRPr="00CA49ED">
        <w:rPr>
          <w:rFonts w:eastAsia="Times New Roman"/>
          <w:lang w:eastAsia="en-IL"/>
        </w:rPr>
        <w:t>(</w:t>
      </w:r>
      <w:proofErr w:type="gramEnd"/>
      <w:r w:rsidRPr="00CA49ED">
        <w:rPr>
          <w:rFonts w:eastAsia="Times New Roman"/>
          <w:lang w:eastAsia="en-IL"/>
        </w:rPr>
        <w:t xml:space="preserve">4, 612) = 2.642, </w:t>
      </w:r>
      <w:r w:rsidRPr="00CA49ED">
        <w:rPr>
          <w:rFonts w:eastAsia="Times New Roman"/>
          <w:i/>
          <w:iCs/>
          <w:lang w:eastAsia="en-IL"/>
        </w:rPr>
        <w:t>p</w:t>
      </w:r>
      <w:r w:rsidRPr="00CA49ED">
        <w:rPr>
          <w:rFonts w:eastAsia="Times New Roman"/>
          <w:lang w:eastAsia="en-IL"/>
        </w:rPr>
        <w:t xml:space="preserve"> = .033, </w:t>
      </w:r>
      <w:r w:rsidR="00E0492D">
        <w:rPr>
          <w:rFonts w:eastAsia="Times New Roman"/>
          <w:lang w:eastAsia="en-IL"/>
        </w:rPr>
        <w:t xml:space="preserve">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 w:rsidRPr="00CA49ED">
        <w:rPr>
          <w:rFonts w:eastAsia="Times New Roman"/>
          <w:lang w:eastAsia="en-IL"/>
        </w:rPr>
        <w:t xml:space="preserve"> = .017. </w:t>
      </w:r>
      <w:r w:rsidR="00E0492D">
        <w:t xml:space="preserve">To further examine this interaction, we tested age-related differences in the same conflict effects used in the RT analysis. A significant age-related difference was found for response conflict,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2.028, </w:t>
      </w:r>
      <w:r w:rsidR="00E0492D">
        <w:rPr>
          <w:rStyle w:val="Emphasis"/>
        </w:rPr>
        <w:t>p</w:t>
      </w:r>
      <w:r w:rsidR="00E0492D">
        <w:t xml:space="preserve"> = .044, reflecting a larger accuracy cost in older adults than in younger adults. No age-related differences were found for semantic relevance,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0.531, </w:t>
      </w:r>
      <w:r w:rsidR="00E0492D">
        <w:rPr>
          <w:rStyle w:val="Emphasis"/>
        </w:rPr>
        <w:t>p</w:t>
      </w:r>
      <w:r w:rsidR="00E0492D">
        <w:t xml:space="preserve"> = .596, semantic relatedness,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0.594, </w:t>
      </w:r>
      <w:r w:rsidR="00E0492D">
        <w:rPr>
          <w:rStyle w:val="Emphasis"/>
        </w:rPr>
        <w:t>p</w:t>
      </w:r>
      <w:r w:rsidR="00E0492D">
        <w:t xml:space="preserve"> = .553, or task conflict, </w:t>
      </w:r>
      <w:proofErr w:type="gramStart"/>
      <w:r w:rsidR="00E0492D">
        <w:rPr>
          <w:rStyle w:val="Emphasis"/>
        </w:rPr>
        <w:t>t</w:t>
      </w:r>
      <w:r w:rsidR="00E0492D">
        <w:t>(</w:t>
      </w:r>
      <w:proofErr w:type="gramEnd"/>
      <w:r w:rsidR="00E0492D">
        <w:t xml:space="preserve">153) = -0.197, </w:t>
      </w:r>
      <w:r w:rsidR="00E0492D">
        <w:rPr>
          <w:rStyle w:val="Emphasis"/>
        </w:rPr>
        <w:t>p</w:t>
      </w:r>
      <w:r w:rsidR="00E0492D">
        <w:t xml:space="preserve"> = .844.</w:t>
      </w:r>
    </w:p>
    <w:p w14:paraId="31904AC8" w14:textId="77777777" w:rsidR="005020AE" w:rsidRDefault="005020AE" w:rsidP="005020AE">
      <w:pPr>
        <w:spacing w:after="80"/>
      </w:pPr>
      <w:r>
        <w:rPr>
          <w:rFonts w:eastAsia="Times New Roman"/>
          <w:b/>
        </w:rPr>
        <w:t>Table S1</w:t>
      </w:r>
    </w:p>
    <w:tbl>
      <w:tblPr>
        <w:tblpPr w:leftFromText="180" w:rightFromText="180" w:vertAnchor="text" w:horzAnchor="margin" w:tblpY="337"/>
        <w:tblW w:w="9076" w:type="dxa"/>
        <w:tblLayout w:type="fixed"/>
        <w:tblLook w:val="04A0" w:firstRow="1" w:lastRow="0" w:firstColumn="1" w:lastColumn="0" w:noHBand="0" w:noVBand="1"/>
      </w:tblPr>
      <w:tblGrid>
        <w:gridCol w:w="4252"/>
        <w:gridCol w:w="1368"/>
        <w:gridCol w:w="1080"/>
        <w:gridCol w:w="1296"/>
        <w:gridCol w:w="1080"/>
      </w:tblGrid>
      <w:tr w:rsidR="005020AE" w14:paraId="4BD781D9" w14:textId="77777777" w:rsidTr="005020AE">
        <w:trPr>
          <w:tblHeader/>
        </w:trPr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5C3EA6A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  <w:b/>
              </w:rPr>
              <w:t>Comparison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804DC18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  <w:b/>
              </w:rPr>
              <w:t>Estimate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7C5AA9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  <w:b/>
              </w:rPr>
              <w:t>SE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AEEC5A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  <w:b/>
              </w:rPr>
              <w:t>t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AF7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ADDBD5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  <w:b/>
              </w:rPr>
              <w:t>p</w:t>
            </w:r>
          </w:p>
        </w:tc>
      </w:tr>
      <w:tr w:rsidR="005020AE" w14:paraId="35BCDFC8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9D4B42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Response set incongruent – non-response set incongruent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5CEC42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0.247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DE06C2D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0.018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A2F022" w14:textId="601CA9AF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13.</w:t>
            </w:r>
            <w:r w:rsidR="00966B63">
              <w:rPr>
                <w:rFonts w:asciiTheme="majorBidi" w:eastAsia="Times New Roman" w:hAnsiTheme="majorBidi" w:cstheme="majorBidi"/>
              </w:rPr>
              <w:t>895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E336DE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40858934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9E1BC2C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Response set incongruent – color-associated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FCA685" w14:textId="72D624C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0.34</w:t>
            </w:r>
            <w:r w:rsidR="00966B63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8D218C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0.019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4CBA8C" w14:textId="6CD5D3F9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18.2</w:t>
            </w:r>
            <w:r w:rsidR="00966B63">
              <w:rPr>
                <w:rFonts w:asciiTheme="majorBidi" w:eastAsia="Times New Roman" w:hAnsiTheme="majorBidi" w:cstheme="majorBidi"/>
              </w:rPr>
              <w:t>90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59D59A9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10A9B85D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ED5D71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Response set incongruent – neutral shapes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2691D0" w14:textId="7C14AD44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0.6</w:t>
            </w:r>
            <w:r w:rsidR="00966B63">
              <w:rPr>
                <w:rFonts w:asciiTheme="majorBidi" w:eastAsia="Times New Roman" w:hAnsiTheme="majorBidi" w:cstheme="majorBidi"/>
              </w:rPr>
              <w:t>76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0B4C9A1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0.022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A80312" w14:textId="14579DF1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30.4</w:t>
            </w:r>
            <w:r w:rsidR="00966B63">
              <w:rPr>
                <w:rFonts w:asciiTheme="majorBidi" w:eastAsia="Times New Roman" w:hAnsiTheme="majorBidi" w:cstheme="majorBidi"/>
              </w:rPr>
              <w:t>64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28AC4B9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7B7A1A4A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128261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Response set incongruent – neutral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209EBB" w14:textId="7238035D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0.4</w:t>
            </w:r>
            <w:r w:rsidR="00966B63">
              <w:rPr>
                <w:rFonts w:asciiTheme="majorBidi" w:eastAsia="Times New Roman" w:hAnsiTheme="majorBidi" w:cstheme="majorBidi"/>
              </w:rPr>
              <w:t>54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5761717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0.020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E60BF2B" w14:textId="05CDCCDB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22.67</w:t>
            </w:r>
            <w:r w:rsidR="00966B63">
              <w:rPr>
                <w:rFonts w:asciiTheme="majorBidi" w:eastAsia="Times New Roman" w:hAnsiTheme="majorBidi" w:cstheme="majorBidi"/>
              </w:rPr>
              <w:t>2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092D173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1BD28939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4F9035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Non-response set incongruent – color-associated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5BF688" w14:textId="349EF803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0.09</w:t>
            </w:r>
            <w:r w:rsidR="00966B63">
              <w:rPr>
                <w:rFonts w:asciiTheme="majorBidi" w:eastAsia="Times New Roman" w:hAnsiTheme="majorBidi" w:cstheme="majorBidi"/>
              </w:rPr>
              <w:t>9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40D7881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0.015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3D4B014" w14:textId="74753625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6.3</w:t>
            </w:r>
            <w:r w:rsidR="00966B63">
              <w:rPr>
                <w:rFonts w:asciiTheme="majorBidi" w:eastAsia="Times New Roman" w:hAnsiTheme="majorBidi" w:cstheme="majorBidi"/>
              </w:rPr>
              <w:t>98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73A01F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04CCD4E4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E71FE1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Non-response set incongruent – neutral shapes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BBEE238" w14:textId="4A0065D1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0.4</w:t>
            </w:r>
            <w:r w:rsidR="00966B63">
              <w:rPr>
                <w:rFonts w:asciiTheme="majorBidi" w:eastAsia="Times New Roman" w:hAnsiTheme="majorBidi" w:cstheme="majorBidi"/>
              </w:rPr>
              <w:t>29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F92BFB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0.017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18E10C" w14:textId="3480787E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2</w:t>
            </w:r>
            <w:r w:rsidR="00966B63">
              <w:rPr>
                <w:rFonts w:asciiTheme="majorBidi" w:eastAsia="Times New Roman" w:hAnsiTheme="majorBidi" w:cstheme="majorBidi"/>
              </w:rPr>
              <w:t>4.783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37E7148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67EE0B21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0FDA5D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Non-response set incongruent – neutral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38E9B8" w14:textId="376846ED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</w:t>
            </w:r>
            <w:r w:rsidR="00966B63">
              <w:rPr>
                <w:rFonts w:asciiTheme="majorBidi" w:eastAsia="Times New Roman" w:hAnsiTheme="majorBidi" w:cstheme="majorBidi"/>
              </w:rPr>
              <w:t>207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6AF9B4" w14:textId="36C952CA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</w:t>
            </w:r>
            <w:r w:rsidR="00966B63">
              <w:rPr>
                <w:rFonts w:asciiTheme="majorBidi" w:eastAsia="Times New Roman" w:hAnsiTheme="majorBidi" w:cstheme="majorBidi"/>
              </w:rPr>
              <w:t>6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4FA61A1" w14:textId="4F1D77DC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13.2</w:t>
            </w:r>
            <w:r w:rsidR="00966B63">
              <w:rPr>
                <w:rFonts w:asciiTheme="majorBidi" w:eastAsia="Times New Roman" w:hAnsiTheme="majorBidi" w:cstheme="majorBidi"/>
              </w:rPr>
              <w:t>21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804544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10EB46FF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22DF17E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Color-associated words – neutral shapes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9635F5" w14:textId="7370DF94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0.3</w:t>
            </w:r>
            <w:r w:rsidR="00966B63">
              <w:rPr>
                <w:rFonts w:asciiTheme="majorBidi" w:eastAsia="Times New Roman" w:hAnsiTheme="majorBidi" w:cstheme="majorBidi"/>
              </w:rPr>
              <w:t>30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A0C0E9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0.013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157A5E" w14:textId="435A6FE6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2</w:t>
            </w:r>
            <w:r w:rsidR="00966B63">
              <w:rPr>
                <w:rFonts w:asciiTheme="majorBidi" w:eastAsia="Times New Roman" w:hAnsiTheme="majorBidi" w:cstheme="majorBidi"/>
              </w:rPr>
              <w:t>4.792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044C2E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77804771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0F66A6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Color-associated words – neutral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E1C91E" w14:textId="0745CA44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0.10</w:t>
            </w:r>
            <w:r w:rsidR="00966B63">
              <w:rPr>
                <w:rFonts w:asciiTheme="majorBidi" w:eastAsia="Times New Roman" w:hAnsiTheme="majorBidi" w:cstheme="majorBidi"/>
              </w:rPr>
              <w:t>8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AED636E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0.013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00C6381" w14:textId="08AF39EE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8.</w:t>
            </w:r>
            <w:r w:rsidR="00966B63">
              <w:rPr>
                <w:rFonts w:asciiTheme="majorBidi" w:eastAsia="Times New Roman" w:hAnsiTheme="majorBidi" w:cstheme="majorBidi"/>
              </w:rPr>
              <w:t>350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6521F1B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  <w:tr w:rsidR="005020AE" w14:paraId="7F8D374E" w14:textId="77777777" w:rsidTr="005020AE"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41A4D4" w14:textId="77777777" w:rsidR="005020AE" w:rsidRPr="00321300" w:rsidRDefault="005020AE" w:rsidP="005020AE">
            <w:pPr>
              <w:spacing w:after="0" w:line="240" w:lineRule="auto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Neutral shapes – neutral words</w:t>
            </w:r>
          </w:p>
        </w:tc>
        <w:tc>
          <w:tcPr>
            <w:tcW w:w="13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45D0658" w14:textId="1885A875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-0.2</w:t>
            </w:r>
            <w:r w:rsidR="00966B63">
              <w:rPr>
                <w:rFonts w:asciiTheme="majorBidi" w:eastAsia="Times New Roman" w:hAnsiTheme="majorBidi" w:cstheme="majorBidi"/>
              </w:rPr>
              <w:t>23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C95A0C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0.012</w:t>
            </w:r>
          </w:p>
        </w:tc>
        <w:tc>
          <w:tcPr>
            <w:tcW w:w="12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A9076C5" w14:textId="5A4B667D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-18.8</w:t>
            </w:r>
            <w:r w:rsidR="00966B63">
              <w:rPr>
                <w:rFonts w:asciiTheme="majorBidi" w:eastAsia="Times New Roman" w:hAnsiTheme="majorBidi" w:cstheme="majorBidi"/>
              </w:rPr>
              <w:t>63</w:t>
            </w:r>
          </w:p>
        </w:tc>
        <w:tc>
          <w:tcPr>
            <w:tcW w:w="10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3293970" w14:textId="77777777" w:rsidR="005020AE" w:rsidRPr="00321300" w:rsidRDefault="005020AE" w:rsidP="005020AE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 w:rsidRPr="00321300">
              <w:rPr>
                <w:rFonts w:asciiTheme="majorBidi" w:eastAsia="Times New Roman" w:hAnsiTheme="majorBidi" w:cstheme="majorBidi"/>
              </w:rPr>
              <w:t>&lt; .001</w:t>
            </w:r>
          </w:p>
        </w:tc>
      </w:tr>
    </w:tbl>
    <w:p w14:paraId="07919D6C" w14:textId="06D1FB05" w:rsidR="005020AE" w:rsidRPr="005020AE" w:rsidRDefault="005020AE" w:rsidP="005020AE">
      <w:pPr>
        <w:rPr>
          <w:b/>
          <w:bCs/>
        </w:rPr>
      </w:pPr>
      <w:r w:rsidRPr="005020AE">
        <w:rPr>
          <w:rFonts w:eastAsia="Times New Roman"/>
          <w:b/>
          <w:bCs/>
          <w:i/>
        </w:rPr>
        <w:t>Post-hoc comparisons (</w:t>
      </w:r>
      <w:r w:rsidR="002A6775">
        <w:rPr>
          <w:rFonts w:eastAsia="Times New Roman"/>
          <w:b/>
          <w:bCs/>
          <w:i/>
        </w:rPr>
        <w:t>Z</w:t>
      </w:r>
      <w:r w:rsidRPr="005020AE">
        <w:rPr>
          <w:rFonts w:eastAsia="Times New Roman"/>
          <w:b/>
          <w:bCs/>
          <w:i/>
        </w:rPr>
        <w:t xml:space="preserve">RT) for the </w:t>
      </w:r>
      <w:r w:rsidR="002A6775">
        <w:rPr>
          <w:rFonts w:eastAsia="Times New Roman"/>
          <w:b/>
          <w:bCs/>
          <w:i/>
        </w:rPr>
        <w:t>M</w:t>
      </w:r>
      <w:r w:rsidRPr="005020AE">
        <w:rPr>
          <w:rFonts w:eastAsia="Times New Roman"/>
          <w:b/>
          <w:bCs/>
          <w:i/>
        </w:rPr>
        <w:t xml:space="preserve">ain </w:t>
      </w:r>
      <w:r w:rsidR="002A6775">
        <w:rPr>
          <w:rFonts w:eastAsia="Times New Roman"/>
          <w:b/>
          <w:bCs/>
          <w:i/>
        </w:rPr>
        <w:t>E</w:t>
      </w:r>
      <w:r w:rsidRPr="005020AE">
        <w:rPr>
          <w:rFonts w:eastAsia="Times New Roman"/>
          <w:b/>
          <w:bCs/>
          <w:i/>
        </w:rPr>
        <w:t xml:space="preserve">ffect of </w:t>
      </w:r>
      <w:r w:rsidR="002A6775">
        <w:rPr>
          <w:rFonts w:eastAsia="Times New Roman"/>
          <w:b/>
          <w:bCs/>
          <w:i/>
        </w:rPr>
        <w:t>S</w:t>
      </w:r>
      <w:r w:rsidRPr="005020AE">
        <w:rPr>
          <w:rFonts w:eastAsia="Times New Roman"/>
          <w:b/>
          <w:bCs/>
          <w:i/>
        </w:rPr>
        <w:t>timulus-type</w:t>
      </w:r>
    </w:p>
    <w:p w14:paraId="7CD423FC" w14:textId="77777777" w:rsidR="005020AE" w:rsidRDefault="005020AE" w:rsidP="00E0492D">
      <w:pPr>
        <w:spacing w:before="100" w:beforeAutospacing="1" w:after="100" w:afterAutospacing="1" w:line="360" w:lineRule="auto"/>
      </w:pPr>
    </w:p>
    <w:p w14:paraId="0BE013E3" w14:textId="77777777" w:rsidR="005020AE" w:rsidRDefault="005020AE" w:rsidP="00E0492D">
      <w:pPr>
        <w:spacing w:before="100" w:beforeAutospacing="1" w:after="100" w:afterAutospacing="1" w:line="360" w:lineRule="auto"/>
        <w:rPr>
          <w:b/>
          <w:bCs/>
        </w:rPr>
      </w:pPr>
    </w:p>
    <w:p w14:paraId="0FF92C97" w14:textId="678F9F53" w:rsidR="00A45669" w:rsidRDefault="00A45669" w:rsidP="00E0492D">
      <w:pPr>
        <w:spacing w:before="100" w:beforeAutospacing="1" w:after="100" w:afterAutospacing="1" w:line="360" w:lineRule="auto"/>
        <w:rPr>
          <w:b/>
          <w:bCs/>
        </w:rPr>
      </w:pPr>
      <w:r w:rsidRPr="00A45669">
        <w:rPr>
          <w:b/>
          <w:bCs/>
        </w:rPr>
        <w:lastRenderedPageBreak/>
        <w:t>Table S2</w:t>
      </w:r>
    </w:p>
    <w:p w14:paraId="0A680218" w14:textId="55D026E8" w:rsidR="00A45669" w:rsidRPr="005020AE" w:rsidRDefault="00A45669" w:rsidP="00A45669">
      <w:pPr>
        <w:spacing w:after="120"/>
        <w:rPr>
          <w:b/>
          <w:bCs/>
        </w:rPr>
      </w:pPr>
      <w:r w:rsidRPr="005020AE">
        <w:rPr>
          <w:b/>
          <w:bCs/>
          <w:i/>
        </w:rPr>
        <w:t xml:space="preserve">Post-hoc </w:t>
      </w:r>
      <w:r w:rsidR="002A6775">
        <w:rPr>
          <w:b/>
          <w:bCs/>
          <w:i/>
        </w:rPr>
        <w:t>C</w:t>
      </w:r>
      <w:r w:rsidRPr="005020AE">
        <w:rPr>
          <w:b/>
          <w:bCs/>
          <w:i/>
        </w:rPr>
        <w:t>omparisons (</w:t>
      </w:r>
      <w:r w:rsidR="002A6775">
        <w:rPr>
          <w:b/>
          <w:bCs/>
          <w:i/>
        </w:rPr>
        <w:t>Z</w:t>
      </w:r>
      <w:r w:rsidRPr="005020AE">
        <w:rPr>
          <w:b/>
          <w:bCs/>
          <w:i/>
        </w:rPr>
        <w:t xml:space="preserve">RT) between stimulus-type </w:t>
      </w:r>
      <w:r w:rsidR="002A6775">
        <w:rPr>
          <w:b/>
          <w:bCs/>
          <w:i/>
        </w:rPr>
        <w:t>C</w:t>
      </w:r>
      <w:r w:rsidRPr="005020AE">
        <w:rPr>
          <w:b/>
          <w:bCs/>
          <w:i/>
        </w:rPr>
        <w:t xml:space="preserve">onditions, </w:t>
      </w:r>
      <w:r w:rsidR="002A6775">
        <w:rPr>
          <w:b/>
          <w:bCs/>
          <w:i/>
        </w:rPr>
        <w:t>S</w:t>
      </w:r>
      <w:r w:rsidRPr="005020AE">
        <w:rPr>
          <w:b/>
          <w:bCs/>
          <w:i/>
        </w:rPr>
        <w:t xml:space="preserve">eparately for </w:t>
      </w:r>
      <w:r w:rsidR="002A6775">
        <w:rPr>
          <w:b/>
          <w:bCs/>
          <w:i/>
        </w:rPr>
        <w:t>Y</w:t>
      </w:r>
      <w:r w:rsidRPr="005020AE">
        <w:rPr>
          <w:b/>
          <w:bCs/>
          <w:i/>
        </w:rPr>
        <w:t xml:space="preserve">ounger and </w:t>
      </w:r>
      <w:r w:rsidR="002A6775">
        <w:rPr>
          <w:b/>
          <w:bCs/>
          <w:i/>
        </w:rPr>
        <w:t>O</w:t>
      </w:r>
      <w:r w:rsidRPr="005020AE">
        <w:rPr>
          <w:b/>
          <w:bCs/>
          <w:i/>
        </w:rPr>
        <w:t xml:space="preserve">lder </w:t>
      </w:r>
      <w:r w:rsidR="002A6775">
        <w:rPr>
          <w:b/>
          <w:bCs/>
          <w:i/>
        </w:rPr>
        <w:t>A</w:t>
      </w:r>
      <w:r w:rsidRPr="005020AE">
        <w:rPr>
          <w:b/>
          <w:bCs/>
          <w:i/>
        </w:rPr>
        <w:t>dults</w:t>
      </w:r>
    </w:p>
    <w:tbl>
      <w:tblPr>
        <w:tblStyle w:val="TableGrid"/>
        <w:tblW w:w="9315" w:type="dxa"/>
        <w:jc w:val="center"/>
        <w:tblLayout w:type="fixed"/>
        <w:tblLook w:val="04A0" w:firstRow="1" w:lastRow="0" w:firstColumn="1" w:lastColumn="0" w:noHBand="0" w:noVBand="1"/>
      </w:tblPr>
      <w:tblGrid>
        <w:gridCol w:w="1376"/>
        <w:gridCol w:w="4081"/>
        <w:gridCol w:w="1075"/>
        <w:gridCol w:w="767"/>
        <w:gridCol w:w="1080"/>
        <w:gridCol w:w="936"/>
      </w:tblGrid>
      <w:tr w:rsidR="00A45669" w14:paraId="43B4AE95" w14:textId="77777777" w:rsidTr="00A45669">
        <w:trPr>
          <w:cantSplit/>
          <w:tblHeader/>
          <w:jc w:val="center"/>
        </w:trPr>
        <w:tc>
          <w:tcPr>
            <w:tcW w:w="1376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6FEF68D0" w14:textId="77777777" w:rsidR="00A45669" w:rsidRPr="00E66718" w:rsidRDefault="00A45669" w:rsidP="00A121A5">
            <w:pPr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Group</w:t>
            </w:r>
          </w:p>
        </w:tc>
        <w:tc>
          <w:tcPr>
            <w:tcW w:w="4081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E94F590" w14:textId="77777777" w:rsidR="00A45669" w:rsidRPr="00E66718" w:rsidRDefault="00A45669" w:rsidP="00A121A5">
            <w:pPr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Comparison</w:t>
            </w:r>
          </w:p>
        </w:tc>
        <w:tc>
          <w:tcPr>
            <w:tcW w:w="1075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439D74D9" w14:textId="77777777" w:rsidR="00A45669" w:rsidRPr="00E66718" w:rsidRDefault="00A45669" w:rsidP="00A121A5">
            <w:pPr>
              <w:jc w:val="center"/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Estimate</w:t>
            </w:r>
          </w:p>
        </w:tc>
        <w:tc>
          <w:tcPr>
            <w:tcW w:w="767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0A987304" w14:textId="77777777" w:rsidR="00A45669" w:rsidRPr="00E66718" w:rsidRDefault="00A45669" w:rsidP="00A121A5">
            <w:pPr>
              <w:jc w:val="center"/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SE</w:t>
            </w:r>
          </w:p>
        </w:tc>
        <w:tc>
          <w:tcPr>
            <w:tcW w:w="1080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5810D30" w14:textId="77777777" w:rsidR="00A45669" w:rsidRPr="00E66718" w:rsidRDefault="00A45669" w:rsidP="00A121A5">
            <w:pPr>
              <w:jc w:val="center"/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936" w:type="dxa"/>
            <w:shd w:val="clear" w:color="auto" w:fill="D9EAF7"/>
            <w:tcMar>
              <w:top w:w="20" w:type="dxa"/>
              <w:left w:w="40" w:type="dxa"/>
              <w:bottom w:w="20" w:type="dxa"/>
              <w:right w:w="40" w:type="dxa"/>
            </w:tcMar>
            <w:vAlign w:val="center"/>
          </w:tcPr>
          <w:p w14:paraId="12E3AEC6" w14:textId="77777777" w:rsidR="00A45669" w:rsidRPr="00E66718" w:rsidRDefault="00A45669" w:rsidP="00A121A5">
            <w:pPr>
              <w:jc w:val="center"/>
              <w:rPr>
                <w:sz w:val="24"/>
                <w:szCs w:val="24"/>
              </w:rPr>
            </w:pPr>
            <w:r w:rsidRPr="00E66718">
              <w:rPr>
                <w:rFonts w:ascii="Times New Roman" w:hAnsi="Times New Roman"/>
                <w:b/>
                <w:sz w:val="24"/>
                <w:szCs w:val="24"/>
              </w:rPr>
              <w:t>p</w:t>
            </w:r>
          </w:p>
        </w:tc>
      </w:tr>
      <w:tr w:rsidR="00A45669" w14:paraId="63C216E6" w14:textId="77777777" w:rsidTr="00A45669">
        <w:trPr>
          <w:cantSplit/>
          <w:jc w:val="center"/>
        </w:trPr>
        <w:tc>
          <w:tcPr>
            <w:tcW w:w="1376" w:type="dxa"/>
            <w:vMerge w:val="restart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59A5D01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456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Younger </w:t>
            </w:r>
          </w:p>
          <w:p w14:paraId="0DEE9ECC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456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Adults</w:t>
            </w: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64EAAC4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non-response set incongruent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2F9CC9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0.209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42A76DA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0.025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C1E534E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8.309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26E7D1B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153C6863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7F56833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CAB3390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color-associated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EE5D649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0.271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25A601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0.026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026688C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10.243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C8569E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4B7BBE12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97D4A8C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6A1B99E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55ADDA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0.562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9F6482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0.031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83ADD02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18.155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53D4B39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2B4EAAD3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53795D3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07B9EF7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18E1F0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0.352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44848D3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41E89DC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12.605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29BBA8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1AEAD71C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3FC30D5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CEA0D21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color-associated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A069C3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0.062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AA3626A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0.021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903491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3.003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E179CE4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.003</w:t>
            </w:r>
          </w:p>
        </w:tc>
      </w:tr>
      <w:tr w:rsidR="00A45669" w14:paraId="1E9EF5FD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E4AFF73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E36B40B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3A5FEF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0.353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232EB99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0.024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6852A5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14.971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DB5482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283BC022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34FA641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1A9E00F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D056E1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0.143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45E90D3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0.021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AE6C84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6.709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29DBBD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3C592515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746A59B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C4BE934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Color-associated words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73E24B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0.291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6135C7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FD029B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16.099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FDD001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68D041A5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2F06F58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CEC5F35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Color-associated words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30D3EBC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0.081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E2C7AE8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B73CA22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4.564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41E488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6420DA8F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8734D68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A6D48EE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Neutral shapes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D938423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-0.209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F411CF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0.016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000F91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-12.775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060942A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6430F85F" w14:textId="77777777" w:rsidTr="00A45669">
        <w:trPr>
          <w:cantSplit/>
          <w:jc w:val="center"/>
        </w:trPr>
        <w:tc>
          <w:tcPr>
            <w:tcW w:w="1376" w:type="dxa"/>
            <w:vMerge w:val="restart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B6D8ED7" w14:textId="77777777" w:rsidR="00A45669" w:rsidRPr="00A45669" w:rsidRDefault="00A45669" w:rsidP="00A121A5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456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Older Adults</w:t>
            </w: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50DC7B8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non-response set incongruent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CB389C0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0.286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EB8758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0.025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581694D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11.421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0B17DB8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39E5F578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5B55085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7DEC965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color-associated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8E101A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0.408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B0A4FD3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0.026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5A4FC70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15.545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57523A9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23963089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606C5B9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CDC2ED7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5FD9F68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0.768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DD9468E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0.031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3746D1C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24.981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48A958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5C64433C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3D0B3DC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890F2B1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Response set incongruent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BBB15C4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0.541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33ED32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C373590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19.483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D0ED092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60CD4498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D74389B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EAC43B0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color-associated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1AD854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0.123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8E027C1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0.020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A61DAED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6.013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718785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7C5771EF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DCD74C1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E04DB6B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B62606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0.482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81922AA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0.023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753A61B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20.612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F182530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188410D8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1BAD350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74976B6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Non-response set incongruent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85BE502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0.255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86D3CBE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0.021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1C015A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12.048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310B45DE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7EE4601B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D86F4FB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D70F1BC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Color-associated words - neutral shapes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0F6AE1C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0.359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28248D5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B30D2FD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20.029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B1B3C48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7F8E606F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A47F6BA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5D10E6B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Color-associated words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5022F856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0.133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689DD06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0.018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09522053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7.480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EAEB624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  <w:tr w:rsidR="00A45669" w14:paraId="681153F9" w14:textId="77777777" w:rsidTr="00A45669">
        <w:trPr>
          <w:cantSplit/>
          <w:jc w:val="center"/>
        </w:trPr>
        <w:tc>
          <w:tcPr>
            <w:tcW w:w="1376" w:type="dxa"/>
            <w:vMerge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14168EF8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081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0777152" w14:textId="77777777" w:rsidR="00A45669" w:rsidRPr="00E66718" w:rsidRDefault="00A45669" w:rsidP="00A121A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Neutral shapes - neutral words</w:t>
            </w:r>
          </w:p>
        </w:tc>
        <w:tc>
          <w:tcPr>
            <w:tcW w:w="1075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1433D97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-0.227</w:t>
            </w:r>
          </w:p>
        </w:tc>
        <w:tc>
          <w:tcPr>
            <w:tcW w:w="767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4B9EABC9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0.016</w:t>
            </w:r>
          </w:p>
        </w:tc>
        <w:tc>
          <w:tcPr>
            <w:tcW w:w="1080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2131275F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-13.933</w:t>
            </w:r>
          </w:p>
        </w:tc>
        <w:tc>
          <w:tcPr>
            <w:tcW w:w="936" w:type="dxa"/>
            <w:tcMar>
              <w:top w:w="10" w:type="dxa"/>
              <w:left w:w="40" w:type="dxa"/>
              <w:bottom w:w="10" w:type="dxa"/>
              <w:right w:w="40" w:type="dxa"/>
            </w:tcMar>
            <w:vAlign w:val="center"/>
          </w:tcPr>
          <w:p w14:paraId="75C029D2" w14:textId="77777777" w:rsidR="00A45669" w:rsidRPr="00E66718" w:rsidRDefault="00A45669" w:rsidP="005020A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66718">
              <w:rPr>
                <w:rFonts w:asciiTheme="majorBidi" w:hAnsiTheme="majorBidi" w:cstheme="majorBidi"/>
                <w:sz w:val="24"/>
                <w:szCs w:val="24"/>
              </w:rPr>
              <w:t>&lt; .001</w:t>
            </w:r>
          </w:p>
        </w:tc>
      </w:tr>
    </w:tbl>
    <w:p w14:paraId="4EC4D36A" w14:textId="77777777" w:rsidR="00A45669" w:rsidRDefault="00A45669" w:rsidP="00E0492D">
      <w:pPr>
        <w:spacing w:before="100" w:beforeAutospacing="1" w:after="100" w:afterAutospacing="1" w:line="360" w:lineRule="auto"/>
        <w:rPr>
          <w:rFonts w:eastAsia="Times New Roman"/>
          <w:rtl/>
          <w:lang w:eastAsia="en-IL" w:bidi="he-IL"/>
        </w:rPr>
      </w:pPr>
    </w:p>
    <w:p w14:paraId="70F0275C" w14:textId="77777777" w:rsid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rtl/>
          <w:lang w:eastAsia="en-IL" w:bidi="he-IL"/>
        </w:rPr>
      </w:pPr>
    </w:p>
    <w:p w14:paraId="006E629C" w14:textId="77777777" w:rsid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rtl/>
          <w:lang w:eastAsia="en-IL" w:bidi="he-IL"/>
        </w:rPr>
      </w:pPr>
    </w:p>
    <w:p w14:paraId="0688E6CF" w14:textId="77777777" w:rsid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rtl/>
          <w:lang w:eastAsia="en-IL" w:bidi="he-IL"/>
        </w:rPr>
      </w:pPr>
    </w:p>
    <w:p w14:paraId="36ACB4CC" w14:textId="57755522" w:rsidR="00955215" w:rsidRPr="00955215" w:rsidRDefault="00955215" w:rsidP="00955215">
      <w:pPr>
        <w:spacing w:before="100" w:beforeAutospacing="1" w:after="100" w:afterAutospacing="1" w:line="360" w:lineRule="auto"/>
        <w:rPr>
          <w:rFonts w:eastAsia="Times New Roman"/>
          <w:b/>
          <w:bCs/>
          <w:lang w:val="en-US" w:eastAsia="en-IL" w:bidi="he-IL"/>
        </w:rPr>
      </w:pPr>
      <w:r w:rsidRPr="00955215">
        <w:rPr>
          <w:rFonts w:eastAsia="Times New Roman"/>
          <w:b/>
          <w:bCs/>
          <w:lang w:val="en-US" w:eastAsia="en-IL" w:bidi="he-IL"/>
        </w:rPr>
        <w:lastRenderedPageBreak/>
        <w:t>Ex-Gaussian Analysis</w:t>
      </w:r>
      <w:r>
        <w:rPr>
          <w:rFonts w:eastAsia="Times New Roman"/>
          <w:b/>
          <w:bCs/>
          <w:lang w:val="en-US" w:eastAsia="en-IL" w:bidi="he-IL"/>
        </w:rPr>
        <w:br/>
      </w:r>
      <w:r w:rsidRPr="00955215">
        <w:rPr>
          <w:b/>
          <w:bCs/>
          <w:i/>
          <w:iCs/>
          <w:color w:val="000000"/>
        </w:rPr>
        <w:t>Method</w:t>
      </w:r>
      <w:r>
        <w:rPr>
          <w:color w:val="000000"/>
        </w:rPr>
        <w:br/>
      </w:r>
      <w:r>
        <w:rPr>
          <w:color w:val="000000"/>
        </w:rPr>
        <w:tab/>
        <w:t xml:space="preserve">To explore whether age differences were expressed in different portions of the reaction-time distribution, ex-Gaussian distributions were fitted separately to each participant's correct, trimmed reaction times in each of the five stimulus-type conditions using the </w:t>
      </w:r>
      <w:proofErr w:type="spellStart"/>
      <w:r>
        <w:rPr>
          <w:color w:val="000000"/>
        </w:rPr>
        <w:t>exGAUS</w:t>
      </w:r>
      <w:proofErr w:type="spellEnd"/>
      <w:r>
        <w:rPr>
          <w:color w:val="000000"/>
        </w:rPr>
        <w:t xml:space="preserve"> distribution in GAMLSS. The fitted parameters were μ (the location of the Gaussian component), σ (the spread of the Gaussian component), and τ (the mean and standard deviation of the exponential component, reflecting the distribution's right tail). A minimum of 30 usable trials was required to fit a participant-by-condition cell. This threshold was a permissive computational criterion and should not be interpreted as indicating that 30 trials provide stable individual parameter estimates.</w:t>
      </w:r>
      <w:r>
        <w:rPr>
          <w:rFonts w:eastAsia="Times New Roman"/>
          <w:b/>
          <w:bCs/>
          <w:lang w:val="en-US" w:eastAsia="en-IL" w:bidi="he-IL"/>
        </w:rPr>
        <w:t xml:space="preserve"> </w:t>
      </w:r>
      <w:r>
        <w:rPr>
          <w:color w:val="000000"/>
        </w:rPr>
        <w:t xml:space="preserve">Of the 155 participants available for this analysis, 150 had valid, converged estimates in all five stimulus-type conditions and were retained (73 younger adults and 77 older adults). In total, 770 of 775 participant-by-condition models converged successfully. Across the four non-shape conditions, participants contributed an average of </w:t>
      </w:r>
      <w:r w:rsidR="00BB220F">
        <w:rPr>
          <w:color w:val="000000"/>
        </w:rPr>
        <w:t>59</w:t>
      </w:r>
      <w:r>
        <w:rPr>
          <w:color w:val="000000"/>
        </w:rPr>
        <w:t>.</w:t>
      </w:r>
      <w:r w:rsidR="00BB220F">
        <w:rPr>
          <w:color w:val="000000"/>
        </w:rPr>
        <w:t>6</w:t>
      </w:r>
      <w:r>
        <w:rPr>
          <w:color w:val="000000"/>
        </w:rPr>
        <w:t xml:space="preserve"> usable trials per participant per condition (SD = </w:t>
      </w:r>
      <w:r w:rsidR="00BB220F">
        <w:rPr>
          <w:color w:val="000000"/>
        </w:rPr>
        <w:t>3</w:t>
      </w:r>
      <w:r>
        <w:rPr>
          <w:color w:val="000000"/>
        </w:rPr>
        <w:t>.</w:t>
      </w:r>
      <w:r w:rsidR="00BB220F">
        <w:rPr>
          <w:color w:val="000000"/>
        </w:rPr>
        <w:t>06</w:t>
      </w:r>
      <w:r>
        <w:rPr>
          <w:color w:val="000000"/>
        </w:rPr>
        <w:t>). Because the estimates for the non-shape conditions were therefore based on only about 60 observations per cell, particularly the σ and τ estimates may be less stable than estimates derived from larger trial samples. The ex-Gaussian analyses should consequently be regarded as exploratory.</w:t>
      </w:r>
    </w:p>
    <w:p w14:paraId="22CA17D1" w14:textId="761FA187" w:rsidR="00955215" w:rsidRDefault="00955215" w:rsidP="00955215">
      <w:pPr>
        <w:spacing w:line="360" w:lineRule="auto"/>
        <w:jc w:val="both"/>
      </w:pPr>
      <w:r>
        <w:rPr>
          <w:b/>
          <w:bCs/>
          <w:i/>
          <w:iCs/>
          <w:color w:val="000000"/>
        </w:rPr>
        <w:t>Results</w:t>
      </w:r>
      <w:r>
        <w:rPr>
          <w:color w:val="000000"/>
        </w:rPr>
        <w:br/>
      </w:r>
      <w:r>
        <w:rPr>
          <w:color w:val="000000"/>
        </w:rPr>
        <w:tab/>
        <w:t xml:space="preserve">Separate 5 (stimulus type) × 2 (age group) mixed ANOVAs were conducted for μ, σ, and τ, with stimulus type as a within-subject factor and age group as a between-subjects factor. Greenhouse-Geisser corrections were applied to effects involving stimulus type. For μ, significant effects were obtained for age group,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1, 148) = 53.70,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 = .266, stimulus type,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2.80, 414) = 87.20,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= .371, and their interaction,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2.80, 414) = 8.81,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= .056. For σ, the effects of age group,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1, 148) = 11.80,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= .074, stimulus type,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3.12, 462) = 57.30,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= .279, and their interaction, </w:t>
      </w:r>
      <w:proofErr w:type="gramStart"/>
      <w:r w:rsidRPr="008163B3">
        <w:rPr>
          <w:i/>
          <w:iCs/>
          <w:color w:val="000000"/>
        </w:rPr>
        <w:t>F</w:t>
      </w:r>
      <w:r>
        <w:rPr>
          <w:color w:val="000000"/>
        </w:rPr>
        <w:t>(</w:t>
      </w:r>
      <w:proofErr w:type="gramEnd"/>
      <w:r>
        <w:rPr>
          <w:color w:val="000000"/>
        </w:rPr>
        <w:t xml:space="preserve">3.12, 462) = 3.74,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= .010,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  <m:r>
          <w:rPr>
            <w:rFonts w:ascii="Cambria Math" w:hAnsi="Cambria Math" w:cstheme="majorBidi"/>
            <w:color w:val="000000" w:themeColor="text1"/>
          </w:rPr>
          <m:t xml:space="preserve"> </m:t>
        </m:r>
      </m:oMath>
      <w:r>
        <w:rPr>
          <w:color w:val="000000"/>
        </w:rPr>
        <w:t xml:space="preserve">= .025, were also significant. For τ, stimulus type was significant, </w:t>
      </w:r>
      <w:r w:rsidRPr="008163B3">
        <w:rPr>
          <w:i/>
          <w:iCs/>
          <w:color w:val="000000"/>
        </w:rPr>
        <w:t>F</w:t>
      </w:r>
      <w:r>
        <w:rPr>
          <w:color w:val="000000"/>
        </w:rPr>
        <w:t xml:space="preserve">(3.40, 503) = 17.50,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&lt; .001,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  <m:r>
          <w:rPr>
            <w:rFonts w:ascii="Cambria Math" w:hAnsi="Cambria Math" w:cstheme="majorBidi"/>
            <w:color w:val="000000" w:themeColor="text1"/>
          </w:rPr>
          <m:t xml:space="preserve"> </m:t>
        </m:r>
      </m:oMath>
      <w:r>
        <w:rPr>
          <w:color w:val="000000"/>
        </w:rPr>
        <w:t xml:space="preserve">= .106, whereas neither age group, </w:t>
      </w:r>
      <w:r w:rsidRPr="008163B3">
        <w:rPr>
          <w:i/>
          <w:iCs/>
          <w:color w:val="000000"/>
        </w:rPr>
        <w:t>F</w:t>
      </w:r>
      <w:r>
        <w:rPr>
          <w:color w:val="000000"/>
        </w:rPr>
        <w:t xml:space="preserve">(1, 148) = 0.85,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= .358,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  <m:r>
          <w:rPr>
            <w:rFonts w:ascii="Cambria Math" w:hAnsi="Cambria Math" w:cstheme="majorBidi"/>
            <w:color w:val="000000" w:themeColor="text1"/>
          </w:rPr>
          <m:t xml:space="preserve"> </m:t>
        </m:r>
      </m:oMath>
      <w:r>
        <w:rPr>
          <w:color w:val="000000"/>
        </w:rPr>
        <w:t xml:space="preserve">= .006, nor the interaction, </w:t>
      </w:r>
      <w:r w:rsidRPr="008163B3">
        <w:rPr>
          <w:i/>
          <w:iCs/>
          <w:color w:val="000000"/>
        </w:rPr>
        <w:t>F</w:t>
      </w:r>
      <w:r>
        <w:rPr>
          <w:color w:val="000000"/>
        </w:rPr>
        <w:t xml:space="preserve">(3.40, 503) = 1.02, </w:t>
      </w:r>
      <w:r w:rsidRPr="008163B3">
        <w:rPr>
          <w:i/>
          <w:iCs/>
          <w:color w:val="000000"/>
        </w:rPr>
        <w:t>p</w:t>
      </w:r>
      <w:r>
        <w:rPr>
          <w:color w:val="000000"/>
        </w:rPr>
        <w:t xml:space="preserve"> = .388, </w:t>
      </w:r>
      <m:oMath>
        <m:sSubSup>
          <m:sSubSupPr>
            <m:ctrlPr>
              <w:rPr>
                <w:rFonts w:ascii="Cambria Math" w:hAnsi="Cambria Math" w:cstheme="majorBidi"/>
                <w:i/>
                <w:color w:val="000000" w:themeColor="text1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</w:rPr>
              <m:t>η</m:t>
            </m:r>
          </m:e>
          <m:sub>
            <m:r>
              <w:rPr>
                <w:rFonts w:ascii="Cambria Math" w:hAnsi="Cambria Math" w:cstheme="majorBidi"/>
                <w:color w:val="000000" w:themeColor="text1"/>
              </w:rPr>
              <m:t>p</m:t>
            </m:r>
          </m:sub>
          <m:sup>
            <m:r>
              <w:rPr>
                <w:rFonts w:ascii="Cambria Math" w:hAnsi="Cambria Math" w:cstheme="majorBidi"/>
                <w:color w:val="000000" w:themeColor="text1"/>
              </w:rPr>
              <m:t>2</m:t>
            </m:r>
          </m:sup>
        </m:sSubSup>
      </m:oMath>
      <w:r>
        <w:rPr>
          <w:color w:val="000000"/>
        </w:rPr>
        <w:t xml:space="preserve"> = .007, was significant.</w:t>
      </w:r>
    </w:p>
    <w:p w14:paraId="55174AD2" w14:textId="77777777" w:rsidR="004F071C" w:rsidRDefault="004F071C" w:rsidP="004F071C">
      <w:pPr>
        <w:pStyle w:val="isselectedend"/>
      </w:pPr>
    </w:p>
    <w:p w14:paraId="74E40D20" w14:textId="77777777" w:rsidR="008163B3" w:rsidRDefault="008163B3" w:rsidP="008163B3">
      <w:pPr>
        <w:pStyle w:val="NormalWeb"/>
        <w:spacing w:line="360" w:lineRule="auto"/>
        <w:ind w:firstLine="720"/>
      </w:pPr>
      <w:r>
        <w:lastRenderedPageBreak/>
        <w:t xml:space="preserve">The four planned age-group differences in response conflict, semantic relevance, semantic relatedness, and task conflict were examined separately for each ex-Gaussian parameter. For μ, response conflict was significantly larger among older adults (M = 68.6 </w:t>
      </w:r>
      <w:proofErr w:type="spellStart"/>
      <w:r>
        <w:t>ms</w:t>
      </w:r>
      <w:proofErr w:type="spellEnd"/>
      <w:r>
        <w:t xml:space="preserve">) than younger adults (M = 33.5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2.37, </w:t>
      </w:r>
      <w:r>
        <w:rPr>
          <w:rStyle w:val="Emphasis"/>
        </w:rPr>
        <w:t>p</w:t>
      </w:r>
      <w:r>
        <w:t xml:space="preserve"> = .019, Cohen’s d = 0.39. The age-group difference was not significant for semantic relevance (older: M = 23.7 </w:t>
      </w:r>
      <w:proofErr w:type="spellStart"/>
      <w:r>
        <w:t>ms</w:t>
      </w:r>
      <w:proofErr w:type="spellEnd"/>
      <w:r>
        <w:t xml:space="preserve">; younger: M = 7.04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1.58, </w:t>
      </w:r>
      <w:r>
        <w:rPr>
          <w:rStyle w:val="Emphasis"/>
        </w:rPr>
        <w:t>p</w:t>
      </w:r>
      <w:r>
        <w:t xml:space="preserve"> = .115, Cohen’s d = 0.26; semantic relatedness (older: M = 27.7 </w:t>
      </w:r>
      <w:proofErr w:type="spellStart"/>
      <w:r>
        <w:t>ms</w:t>
      </w:r>
      <w:proofErr w:type="spellEnd"/>
      <w:r>
        <w:t xml:space="preserve">; younger: M = 10.1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1.56, </w:t>
      </w:r>
      <w:r>
        <w:rPr>
          <w:rStyle w:val="Emphasis"/>
        </w:rPr>
        <w:t>p</w:t>
      </w:r>
      <w:r>
        <w:t xml:space="preserve"> = .121, Cohen’s d = 0.26; or task conflict (older: M = 26.9 </w:t>
      </w:r>
      <w:proofErr w:type="spellStart"/>
      <w:r>
        <w:t>ms</w:t>
      </w:r>
      <w:proofErr w:type="spellEnd"/>
      <w:r>
        <w:t xml:space="preserve">; younger: M = 35.0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−0.93, </w:t>
      </w:r>
      <w:r>
        <w:rPr>
          <w:rStyle w:val="Emphasis"/>
        </w:rPr>
        <w:t>p</w:t>
      </w:r>
      <w:r>
        <w:t xml:space="preserve"> = .352, Cohen’s d = 0.15.</w:t>
      </w:r>
    </w:p>
    <w:p w14:paraId="6BD87158" w14:textId="77777777" w:rsidR="008163B3" w:rsidRDefault="008163B3" w:rsidP="008163B3">
      <w:pPr>
        <w:pStyle w:val="NormalWeb"/>
        <w:spacing w:line="360" w:lineRule="auto"/>
        <w:ind w:firstLine="720"/>
      </w:pPr>
      <w:r>
        <w:t xml:space="preserve">For σ, none of the four planned age-group differences was significant. This was the case for response conflict (older: M = 40.4 </w:t>
      </w:r>
      <w:proofErr w:type="spellStart"/>
      <w:r>
        <w:t>ms</w:t>
      </w:r>
      <w:proofErr w:type="spellEnd"/>
      <w:r>
        <w:t xml:space="preserve">; younger: M = 25.8 </w:t>
      </w:r>
      <w:proofErr w:type="spellStart"/>
      <w:r>
        <w:t>ms</w:t>
      </w:r>
      <w:proofErr w:type="spellEnd"/>
      <w:r>
        <w:t xml:space="preserve">), </w:t>
      </w:r>
      <w:r>
        <w:rPr>
          <w:rStyle w:val="Emphasis"/>
        </w:rPr>
        <w:t>t</w:t>
      </w:r>
      <w:r>
        <w:t xml:space="preserve">(148) = 1.62, </w:t>
      </w:r>
      <w:r>
        <w:rPr>
          <w:rStyle w:val="Emphasis"/>
        </w:rPr>
        <w:t>p</w:t>
      </w:r>
      <w:r>
        <w:t xml:space="preserve"> = .107, Cohen’s d = 0.27; semantic relevance (older: M = 13.6 </w:t>
      </w:r>
      <w:proofErr w:type="spellStart"/>
      <w:r>
        <w:t>ms</w:t>
      </w:r>
      <w:proofErr w:type="spellEnd"/>
      <w:r>
        <w:t xml:space="preserve">; younger: M = 9.96 </w:t>
      </w:r>
      <w:proofErr w:type="spellStart"/>
      <w:r>
        <w:t>ms</w:t>
      </w:r>
      <w:proofErr w:type="spellEnd"/>
      <w:r>
        <w:t xml:space="preserve">), </w:t>
      </w:r>
      <w:r>
        <w:rPr>
          <w:rStyle w:val="Emphasis"/>
        </w:rPr>
        <w:t>t</w:t>
      </w:r>
      <w:r>
        <w:t xml:space="preserve">(148) = 0.58, </w:t>
      </w:r>
      <w:r>
        <w:rPr>
          <w:rStyle w:val="Emphasis"/>
        </w:rPr>
        <w:t>p</w:t>
      </w:r>
      <w:r>
        <w:t xml:space="preserve"> = .566, Cohen’s d = 0.09; semantic relatedness (older: M = 9.66 </w:t>
      </w:r>
      <w:proofErr w:type="spellStart"/>
      <w:r>
        <w:t>ms</w:t>
      </w:r>
      <w:proofErr w:type="spellEnd"/>
      <w:r>
        <w:t xml:space="preserve">; younger: M = −1.62 </w:t>
      </w:r>
      <w:proofErr w:type="spellStart"/>
      <w:r>
        <w:t>ms</w:t>
      </w:r>
      <w:proofErr w:type="spellEnd"/>
      <w:r>
        <w:t xml:space="preserve">), </w:t>
      </w:r>
      <w:r>
        <w:rPr>
          <w:rStyle w:val="Emphasis"/>
        </w:rPr>
        <w:t>t</w:t>
      </w:r>
      <w:r>
        <w:t xml:space="preserve">(148) = 1.34, </w:t>
      </w:r>
      <w:r>
        <w:rPr>
          <w:rStyle w:val="Emphasis"/>
        </w:rPr>
        <w:t>p</w:t>
      </w:r>
      <w:r>
        <w:t xml:space="preserve"> = .184, Cohen’s d = 0.22; and task conflict (older: M = −1.92 </w:t>
      </w:r>
      <w:proofErr w:type="spellStart"/>
      <w:r>
        <w:t>ms</w:t>
      </w:r>
      <w:proofErr w:type="spellEnd"/>
      <w:r>
        <w:t xml:space="preserve">; younger: M = 7.07 </w:t>
      </w:r>
      <w:proofErr w:type="spellStart"/>
      <w:r>
        <w:t>ms</w:t>
      </w:r>
      <w:proofErr w:type="spellEnd"/>
      <w:r>
        <w:t xml:space="preserve">), </w:t>
      </w:r>
      <w:r>
        <w:rPr>
          <w:rStyle w:val="Emphasis"/>
        </w:rPr>
        <w:t>t</w:t>
      </w:r>
      <w:r>
        <w:t xml:space="preserve">(148) = −1.68, </w:t>
      </w:r>
      <w:r>
        <w:rPr>
          <w:rStyle w:val="Emphasis"/>
        </w:rPr>
        <w:t>p</w:t>
      </w:r>
      <w:r>
        <w:t xml:space="preserve"> = .096, Cohen’s d = 0.27.</w:t>
      </w:r>
    </w:p>
    <w:p w14:paraId="69812C63" w14:textId="77777777" w:rsidR="008163B3" w:rsidRDefault="008163B3" w:rsidP="008163B3">
      <w:pPr>
        <w:pStyle w:val="NormalWeb"/>
        <w:spacing w:line="360" w:lineRule="auto"/>
        <w:ind w:firstLine="720"/>
      </w:pPr>
      <w:r>
        <w:t xml:space="preserve">For τ, the age-group difference was not significant for response conflict (older: M = 8.57 </w:t>
      </w:r>
      <w:proofErr w:type="spellStart"/>
      <w:r>
        <w:t>ms</w:t>
      </w:r>
      <w:proofErr w:type="spellEnd"/>
      <w:r>
        <w:t xml:space="preserve">; younger: M = 20.9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−0.84, </w:t>
      </w:r>
      <w:r>
        <w:rPr>
          <w:rStyle w:val="Emphasis"/>
        </w:rPr>
        <w:t>p</w:t>
      </w:r>
      <w:r>
        <w:t xml:space="preserve"> = .400, Cohen’s d = 0.14; semantic relevance (older: M = 10.4 </w:t>
      </w:r>
      <w:proofErr w:type="spellStart"/>
      <w:r>
        <w:t>ms</w:t>
      </w:r>
      <w:proofErr w:type="spellEnd"/>
      <w:r>
        <w:t xml:space="preserve">; younger: M = 13.4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−0.26, </w:t>
      </w:r>
      <w:r>
        <w:rPr>
          <w:rStyle w:val="Emphasis"/>
        </w:rPr>
        <w:t>p</w:t>
      </w:r>
      <w:r>
        <w:t xml:space="preserve"> = .798, Cohen’s d = 0.04; or semantic relatedness (older: M = 0.55 </w:t>
      </w:r>
      <w:proofErr w:type="spellStart"/>
      <w:r>
        <w:t>ms</w:t>
      </w:r>
      <w:proofErr w:type="spellEnd"/>
      <w:r>
        <w:t xml:space="preserve">; younger: M = 5.38 </w:t>
      </w:r>
      <w:proofErr w:type="spellStart"/>
      <w:r>
        <w:t>ms</w:t>
      </w:r>
      <w:proofErr w:type="spellEnd"/>
      <w:r>
        <w:t xml:space="preserve">),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−0.39, </w:t>
      </w:r>
      <w:r>
        <w:rPr>
          <w:rStyle w:val="Emphasis"/>
        </w:rPr>
        <w:t>p</w:t>
      </w:r>
      <w:r>
        <w:t xml:space="preserve"> = .695, Cohen’s d = 0.06. Task conflict was numerically larger among older adults (M = 29.1 </w:t>
      </w:r>
      <w:proofErr w:type="spellStart"/>
      <w:r>
        <w:t>ms</w:t>
      </w:r>
      <w:proofErr w:type="spellEnd"/>
      <w:r>
        <w:t xml:space="preserve">) than younger adults (M = 10.2 </w:t>
      </w:r>
      <w:proofErr w:type="spellStart"/>
      <w:r>
        <w:t>ms</w:t>
      </w:r>
      <w:proofErr w:type="spellEnd"/>
      <w:r>
        <w:t xml:space="preserve">), but this difference did not reach conventional statistical significance, </w:t>
      </w:r>
      <w:proofErr w:type="gramStart"/>
      <w:r>
        <w:rPr>
          <w:rStyle w:val="Emphasis"/>
        </w:rPr>
        <w:t>t</w:t>
      </w:r>
      <w:r>
        <w:t>(</w:t>
      </w:r>
      <w:proofErr w:type="gramEnd"/>
      <w:r>
        <w:t xml:space="preserve">148) = 1.97, </w:t>
      </w:r>
      <w:r>
        <w:rPr>
          <w:rStyle w:val="Emphasis"/>
        </w:rPr>
        <w:t>p</w:t>
      </w:r>
      <w:r>
        <w:t xml:space="preserve"> = .0502, Cohen’s d = 0.32. Thus, despite the significant omnibus interactions for μ and σ, the only significant planned age-group difference was found for the μ component of response conflict. Given the limited number of usable trials per non-shape condition, these distributional findings should be interpreted as exploratory. The descriptive parameter estimates are presented in Table S3.</w:t>
      </w:r>
    </w:p>
    <w:p w14:paraId="67B9BBF8" w14:textId="2D7186F2" w:rsidR="004F071C" w:rsidRDefault="004F071C" w:rsidP="008163B3">
      <w:pPr>
        <w:pStyle w:val="NormalWeb"/>
        <w:spacing w:line="360" w:lineRule="auto"/>
        <w:ind w:firstLine="720"/>
        <w:rPr>
          <w:b/>
          <w:color w:val="000000"/>
        </w:rPr>
      </w:pP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4DD2346" w14:textId="3845C595" w:rsidR="00955215" w:rsidRDefault="00955215" w:rsidP="004F071C">
      <w:pPr>
        <w:pStyle w:val="NormalWeb"/>
        <w:spacing w:line="360" w:lineRule="auto"/>
      </w:pPr>
      <w:r>
        <w:rPr>
          <w:b/>
          <w:color w:val="000000"/>
        </w:rPr>
        <w:lastRenderedPageBreak/>
        <w:t>Table S3</w:t>
      </w:r>
    </w:p>
    <w:p w14:paraId="229F007C" w14:textId="257281E9" w:rsidR="00955215" w:rsidRPr="00955215" w:rsidRDefault="00955215" w:rsidP="00955215">
      <w:pPr>
        <w:keepNext/>
        <w:spacing w:after="140" w:line="480" w:lineRule="auto"/>
        <w:rPr>
          <w:b/>
          <w:bCs/>
        </w:rPr>
      </w:pPr>
      <w:r w:rsidRPr="00955215">
        <w:rPr>
          <w:b/>
          <w:bCs/>
          <w:i/>
          <w:color w:val="000000"/>
        </w:rPr>
        <w:t xml:space="preserve">Ex-Gaussian </w:t>
      </w:r>
      <w:r>
        <w:rPr>
          <w:b/>
          <w:bCs/>
          <w:i/>
          <w:color w:val="000000"/>
        </w:rPr>
        <w:t>P</w:t>
      </w:r>
      <w:r w:rsidRPr="00955215">
        <w:rPr>
          <w:b/>
          <w:bCs/>
          <w:i/>
          <w:color w:val="000000"/>
        </w:rPr>
        <w:t xml:space="preserve">arameter </w:t>
      </w:r>
      <w:r>
        <w:rPr>
          <w:b/>
          <w:bCs/>
          <w:i/>
          <w:color w:val="000000"/>
        </w:rPr>
        <w:t>E</w:t>
      </w:r>
      <w:r w:rsidRPr="00955215">
        <w:rPr>
          <w:b/>
          <w:bCs/>
          <w:i/>
          <w:color w:val="000000"/>
        </w:rPr>
        <w:t xml:space="preserve">stimates by </w:t>
      </w:r>
      <w:r>
        <w:rPr>
          <w:b/>
          <w:bCs/>
          <w:i/>
          <w:color w:val="000000"/>
        </w:rPr>
        <w:t>A</w:t>
      </w:r>
      <w:r w:rsidRPr="00955215">
        <w:rPr>
          <w:b/>
          <w:bCs/>
          <w:i/>
          <w:color w:val="000000"/>
        </w:rPr>
        <w:t xml:space="preserve">ge </w:t>
      </w:r>
      <w:r>
        <w:rPr>
          <w:b/>
          <w:bCs/>
          <w:i/>
          <w:color w:val="000000"/>
        </w:rPr>
        <w:t>G</w:t>
      </w:r>
      <w:r w:rsidRPr="00955215">
        <w:rPr>
          <w:b/>
          <w:bCs/>
          <w:i/>
          <w:color w:val="000000"/>
        </w:rPr>
        <w:t xml:space="preserve">roup and </w:t>
      </w:r>
      <w:r>
        <w:rPr>
          <w:b/>
          <w:bCs/>
          <w:i/>
          <w:color w:val="000000"/>
        </w:rPr>
        <w:t>S</w:t>
      </w:r>
      <w:r w:rsidRPr="00955215">
        <w:rPr>
          <w:b/>
          <w:bCs/>
          <w:i/>
          <w:color w:val="000000"/>
        </w:rPr>
        <w:t xml:space="preserve">timulus </w:t>
      </w:r>
      <w:r>
        <w:rPr>
          <w:b/>
          <w:bCs/>
          <w:i/>
          <w:color w:val="000000"/>
        </w:rPr>
        <w:t>T</w:t>
      </w:r>
      <w:r w:rsidRPr="00955215">
        <w:rPr>
          <w:b/>
          <w:bCs/>
          <w:i/>
          <w:color w:val="000000"/>
        </w:rPr>
        <w:t>ype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260"/>
        <w:gridCol w:w="2700"/>
        <w:gridCol w:w="540"/>
        <w:gridCol w:w="1620"/>
        <w:gridCol w:w="1620"/>
        <w:gridCol w:w="1620"/>
      </w:tblGrid>
      <w:tr w:rsidR="00955215" w14:paraId="029F7139" w14:textId="77777777" w:rsidTr="00955215">
        <w:trPr>
          <w:cantSplit/>
          <w:tblHeader/>
        </w:trPr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8E25689" w14:textId="2017716D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 xml:space="preserve">Age </w:t>
            </w:r>
            <w:r>
              <w:rPr>
                <w:rFonts w:asciiTheme="majorBidi" w:hAnsiTheme="majorBidi" w:cstheme="majorBidi"/>
                <w:b/>
                <w:color w:val="000000" w:themeColor="text1"/>
              </w:rPr>
              <w:t>G</w:t>
            </w: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>roup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E1E962B" w14:textId="13C6A894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 xml:space="preserve">Stimulus </w:t>
            </w:r>
            <w:r>
              <w:rPr>
                <w:rFonts w:asciiTheme="majorBidi" w:hAnsiTheme="majorBidi" w:cstheme="majorBidi"/>
                <w:b/>
                <w:color w:val="000000" w:themeColor="text1"/>
              </w:rPr>
              <w:t>T</w:t>
            </w: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>ype</w:t>
            </w: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673C5A3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>N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271EC24" w14:textId="3AE51FA3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  <w:sz w:val="32"/>
                <w:szCs w:val="32"/>
              </w:rPr>
              <w:t>μ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77CC019" w14:textId="02FB92C0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  <w:sz w:val="32"/>
                <w:szCs w:val="32"/>
              </w:rPr>
              <w:t>σ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7E26091" w14:textId="08397DC2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  <w:sz w:val="32"/>
                <w:szCs w:val="32"/>
              </w:rPr>
              <w:t>τ</w:t>
            </w:r>
          </w:p>
        </w:tc>
      </w:tr>
      <w:tr w:rsidR="00955215" w14:paraId="382CE5C5" w14:textId="77777777" w:rsidTr="00955215">
        <w:trPr>
          <w:cantSplit/>
        </w:trPr>
        <w:tc>
          <w:tcPr>
            <w:tcW w:w="1260" w:type="dxa"/>
            <w:vMerge w:val="restart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9C74351" w14:textId="5C439CB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 xml:space="preserve">Younger </w:t>
            </w:r>
            <w:r>
              <w:rPr>
                <w:rFonts w:asciiTheme="majorBidi" w:hAnsiTheme="majorBidi" w:cstheme="majorBidi"/>
                <w:b/>
                <w:color w:val="000000" w:themeColor="text1"/>
              </w:rPr>
              <w:t>A</w:t>
            </w: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>dults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C6E4954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Neutral shapes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DFFF043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EB0FE85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481.2 (72.7)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7213FC2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81.5 (28.0)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197D0AB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143.3 (57.6)</w:t>
            </w:r>
          </w:p>
        </w:tc>
      </w:tr>
      <w:tr w:rsidR="00955215" w14:paraId="633FA369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779282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F3C3F4B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Neutral words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55517AF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73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C7A5C94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516.2 (99.9)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D3E88F6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88.6 (50.6)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3190E20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153.5 (69.5)</w:t>
            </w:r>
          </w:p>
        </w:tc>
      </w:tr>
      <w:tr w:rsidR="00955215" w14:paraId="54DC72DA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6CDF6B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AC3D168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Color-associated words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5454BD7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73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E7B2E67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526.2 (103.0)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6B00134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87.0 (47.8)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92B154A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158.9 (70.6)</w:t>
            </w:r>
          </w:p>
        </w:tc>
      </w:tr>
      <w:tr w:rsidR="00955215" w14:paraId="1145EC44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2EED2A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B4D212D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Non-response-set incongruent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8FE88AC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73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7CE19B4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533.3 (100.5)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8BD0BD2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96.9 (47.7)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77B53AD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172.2 (74.9)</w:t>
            </w:r>
          </w:p>
        </w:tc>
      </w:tr>
      <w:tr w:rsidR="00955215" w14:paraId="4EDF072D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85AD11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D4D4024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Response-set incongruent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7A26C30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73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D1D2F5F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566.8 (127.2)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3AF49B9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122.7 (61.5)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6ABFB93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193.1 (85.7)</w:t>
            </w:r>
          </w:p>
        </w:tc>
      </w:tr>
      <w:tr w:rsidR="00955215" w14:paraId="3AD6E8CC" w14:textId="77777777" w:rsidTr="00955215">
        <w:trPr>
          <w:cantSplit/>
        </w:trPr>
        <w:tc>
          <w:tcPr>
            <w:tcW w:w="1260" w:type="dxa"/>
            <w:vMerge w:val="restart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D231BD8" w14:textId="3A09AAC8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 xml:space="preserve">Older </w:t>
            </w:r>
            <w:r>
              <w:rPr>
                <w:rFonts w:asciiTheme="majorBidi" w:hAnsiTheme="majorBidi" w:cstheme="majorBidi"/>
                <w:b/>
                <w:color w:val="000000" w:themeColor="text1"/>
              </w:rPr>
              <w:t>A</w:t>
            </w:r>
            <w:r w:rsidRPr="00955215">
              <w:rPr>
                <w:rFonts w:asciiTheme="majorBidi" w:hAnsiTheme="majorBidi" w:cstheme="majorBidi"/>
                <w:b/>
                <w:color w:val="000000" w:themeColor="text1"/>
              </w:rPr>
              <w:t>dults</w:t>
            </w: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26F006C9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Neutral shapes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1411446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77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8B3B7AB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579.1 (84.8)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199E6B9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101.3 (40.2)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8352B9C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143.1 (50.6)</w:t>
            </w:r>
          </w:p>
        </w:tc>
      </w:tr>
      <w:tr w:rsidR="00955215" w14:paraId="07AD3E78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ADADE1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5EF46D6C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Neutral words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216BC85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77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D4B36ED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606.0 (102.4)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6986D832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99.4 (51.3)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520D58B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172.2 (78.9)</w:t>
            </w:r>
          </w:p>
        </w:tc>
      </w:tr>
      <w:tr w:rsidR="00955215" w14:paraId="4164B9F7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423692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33442A0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Color-associated words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6ECC7D1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77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4BA9901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633.7 (104.8)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58CB3C6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109.1 (55.8)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1D988DF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172.8 (67.7)</w:t>
            </w:r>
          </w:p>
        </w:tc>
      </w:tr>
      <w:tr w:rsidR="00955215" w14:paraId="656A5724" w14:textId="77777777" w:rsidTr="00955215">
        <w:trPr>
          <w:cantSplit/>
        </w:trPr>
        <w:tc>
          <w:tcPr>
            <w:tcW w:w="1260" w:type="dxa"/>
            <w:vMerge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3F0262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C4B58A6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Non-response-set incongruent</w:t>
            </w:r>
          </w:p>
        </w:tc>
        <w:tc>
          <w:tcPr>
            <w:tcW w:w="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1949320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77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BDCFCA8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657.4 (117.4)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7D57E31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122.7 (58.4)</w:t>
            </w:r>
          </w:p>
        </w:tc>
        <w:tc>
          <w:tcPr>
            <w:tcW w:w="162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456EA61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183.1 (75.9)</w:t>
            </w:r>
          </w:p>
        </w:tc>
      </w:tr>
      <w:tr w:rsidR="00955215" w14:paraId="3578005A" w14:textId="77777777" w:rsidTr="00955215">
        <w:trPr>
          <w:cantSplit/>
        </w:trPr>
        <w:tc>
          <w:tcPr>
            <w:tcW w:w="1260" w:type="dxa"/>
            <w:vMerge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9DD9FE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</w:p>
        </w:tc>
        <w:tc>
          <w:tcPr>
            <w:tcW w:w="270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31C0BDEA" w14:textId="77777777" w:rsidR="00955215" w:rsidRPr="00955215" w:rsidRDefault="0095521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Response-set incongruent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4A428F47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77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767F6564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726.0 (155.3)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10619BED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163.1 (68.9)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  <w:hideMark/>
          </w:tcPr>
          <w:p w14:paraId="0BA78A79" w14:textId="77777777" w:rsidR="00955215" w:rsidRPr="00955215" w:rsidRDefault="0095521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</w:rPr>
            </w:pPr>
            <w:r w:rsidRPr="00955215">
              <w:rPr>
                <w:rFonts w:asciiTheme="majorBidi" w:hAnsiTheme="majorBidi" w:cstheme="majorBidi"/>
                <w:color w:val="000000" w:themeColor="text1"/>
              </w:rPr>
              <w:t>191.7 (92.5)</w:t>
            </w:r>
          </w:p>
        </w:tc>
      </w:tr>
    </w:tbl>
    <w:p w14:paraId="57B23F9B" w14:textId="77777777" w:rsidR="00955215" w:rsidRPr="00955215" w:rsidRDefault="00955215" w:rsidP="00955215">
      <w:pPr>
        <w:spacing w:before="120" w:after="0" w:line="252" w:lineRule="auto"/>
        <w:rPr>
          <w:rFonts w:ascii="Calibri" w:hAnsi="Calibri" w:cstheme="minorBidi"/>
          <w:sz w:val="20"/>
          <w:szCs w:val="20"/>
          <w:lang w:val="en-US"/>
        </w:rPr>
      </w:pPr>
      <w:r w:rsidRPr="00955215">
        <w:rPr>
          <w:b/>
          <w:bCs/>
          <w:i/>
          <w:color w:val="000000"/>
          <w:sz w:val="20"/>
          <w:szCs w:val="20"/>
        </w:rPr>
        <w:t xml:space="preserve">Note. </w:t>
      </w:r>
      <w:r w:rsidRPr="00955215">
        <w:rPr>
          <w:color w:val="000000"/>
          <w:sz w:val="20"/>
          <w:szCs w:val="20"/>
        </w:rPr>
        <w:t>Values are milliseconds and represent the mean of participants' fitted parameters, with standard deviations in parentheses. μ is the location of the Gaussian component, σ is the spread of the Gaussian component, and τ is the mean and standard deviation of the exponential component. N represents participants with valid estimates in all five stimulus-type conditions.</w:t>
      </w:r>
    </w:p>
    <w:p w14:paraId="32F4B5EF" w14:textId="77777777" w:rsid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lang w:val="en-US" w:eastAsia="en-IL" w:bidi="he-IL"/>
        </w:rPr>
      </w:pPr>
    </w:p>
    <w:p w14:paraId="6BE469A7" w14:textId="77777777" w:rsid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lang w:val="en-US" w:eastAsia="en-IL" w:bidi="he-IL"/>
        </w:rPr>
      </w:pPr>
    </w:p>
    <w:p w14:paraId="47F80736" w14:textId="77777777" w:rsidR="00955215" w:rsidRPr="00955215" w:rsidRDefault="00955215" w:rsidP="00E0492D">
      <w:pPr>
        <w:spacing w:before="100" w:beforeAutospacing="1" w:after="100" w:afterAutospacing="1" w:line="360" w:lineRule="auto"/>
        <w:rPr>
          <w:rFonts w:eastAsia="Times New Roman"/>
          <w:lang w:val="en-US" w:eastAsia="en-IL" w:bidi="he-IL"/>
        </w:rPr>
      </w:pPr>
    </w:p>
    <w:p w14:paraId="2A26EF58" w14:textId="77777777" w:rsidR="00FD6A73" w:rsidRPr="00CA49ED" w:rsidRDefault="00FD6A73" w:rsidP="00CA49ED">
      <w:pPr>
        <w:spacing w:line="360" w:lineRule="auto"/>
      </w:pPr>
    </w:p>
    <w:sectPr w:rsidR="00FD6A73" w:rsidRPr="00CA49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Q0MzA2MjA0NjY3NzdQ0lEKTi0uzszPAykwrgUAz0WCqCwAAAA="/>
  </w:docVars>
  <w:rsids>
    <w:rsidRoot w:val="00FD6A73"/>
    <w:rsid w:val="000F6AD7"/>
    <w:rsid w:val="00127469"/>
    <w:rsid w:val="001825CA"/>
    <w:rsid w:val="002A6775"/>
    <w:rsid w:val="002D373B"/>
    <w:rsid w:val="004F071C"/>
    <w:rsid w:val="005020AE"/>
    <w:rsid w:val="005E58EA"/>
    <w:rsid w:val="00624CF1"/>
    <w:rsid w:val="008163B3"/>
    <w:rsid w:val="009059F8"/>
    <w:rsid w:val="00955215"/>
    <w:rsid w:val="00966B63"/>
    <w:rsid w:val="009B0184"/>
    <w:rsid w:val="00A40005"/>
    <w:rsid w:val="00A414B8"/>
    <w:rsid w:val="00A45669"/>
    <w:rsid w:val="00A962F9"/>
    <w:rsid w:val="00B363ED"/>
    <w:rsid w:val="00BB220F"/>
    <w:rsid w:val="00BB759B"/>
    <w:rsid w:val="00BC1078"/>
    <w:rsid w:val="00C652DB"/>
    <w:rsid w:val="00C767CD"/>
    <w:rsid w:val="00CA49ED"/>
    <w:rsid w:val="00E0492D"/>
    <w:rsid w:val="00E51942"/>
    <w:rsid w:val="00FD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6F21D"/>
  <w15:chartTrackingRefBased/>
  <w15:docId w15:val="{E5BAA86E-78FD-42F2-BEF4-DBC695278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I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6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6A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A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6A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A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A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A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A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6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6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D6A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A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6A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6A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6A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6A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6A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6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6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6A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6A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6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6A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6A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6A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A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6A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CA49ED"/>
    <w:pPr>
      <w:spacing w:before="100" w:beforeAutospacing="1" w:after="100" w:afterAutospacing="1" w:line="240" w:lineRule="auto"/>
    </w:pPr>
    <w:rPr>
      <w:rFonts w:eastAsia="Times New Roman"/>
      <w:lang w:eastAsia="en-IL"/>
    </w:rPr>
  </w:style>
  <w:style w:type="character" w:styleId="Emphasis">
    <w:name w:val="Emphasis"/>
    <w:basedOn w:val="DefaultParagraphFont"/>
    <w:uiPriority w:val="20"/>
    <w:qFormat/>
    <w:rsid w:val="00CA49ED"/>
    <w:rPr>
      <w:i/>
      <w:iCs/>
    </w:rPr>
  </w:style>
  <w:style w:type="table" w:styleId="TableGrid">
    <w:name w:val="Table Grid"/>
    <w:basedOn w:val="TableNormal"/>
    <w:uiPriority w:val="59"/>
    <w:rsid w:val="00A45669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4F071C"/>
    <w:pPr>
      <w:spacing w:before="100" w:beforeAutospacing="1" w:after="100" w:afterAutospacing="1" w:line="240" w:lineRule="auto"/>
    </w:pPr>
    <w:rPr>
      <w:rFonts w:eastAsia="Times New Roman"/>
      <w:lang w:eastAsia="en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6</Pages>
  <Words>1758</Words>
  <Characters>10025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Keha, Eldad</dc:creator>
  <cp:keywords/>
  <dc:description/>
  <cp:lastModifiedBy>אלדד קהא</cp:lastModifiedBy>
  <cp:revision>9</cp:revision>
  <dcterms:created xsi:type="dcterms:W3CDTF">2026-04-29T18:18:00Z</dcterms:created>
  <dcterms:modified xsi:type="dcterms:W3CDTF">2026-09-04T23:46:00Z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fa0794a9-6546-4040-8db9-85182f3bc782</vt:lpwstr>
  </property>
</Properties>
</file>