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89F" w:rsidRPr="0041725F" w:rsidRDefault="00845462" w:rsidP="009B589F">
      <w:pPr>
        <w:spacing w:line="480" w:lineRule="auto"/>
        <w:rPr>
          <w:rFonts w:ascii="Times New Roman" w:hAnsi="Times New Roman"/>
          <w:sz w:val="20"/>
          <w:szCs w:val="20"/>
          <w:lang w:val="en-US"/>
        </w:rPr>
      </w:pPr>
      <w:r w:rsidRPr="0041725F">
        <w:rPr>
          <w:rFonts w:ascii="Times New Roman" w:hAnsi="Times New Roman"/>
          <w:noProof/>
          <w:sz w:val="20"/>
          <w:szCs w:val="20"/>
          <w:lang w:eastAsia="nl-NL"/>
        </w:rPr>
        <w:drawing>
          <wp:inline distT="0" distB="0" distL="0" distR="0">
            <wp:extent cx="5760720" cy="6794500"/>
            <wp:effectExtent l="0" t="0" r="0" b="635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l digital conten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9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589F" w:rsidRPr="0041725F">
        <w:rPr>
          <w:rFonts w:ascii="Times New Roman" w:hAnsi="Times New Roman"/>
          <w:b/>
          <w:sz w:val="20"/>
          <w:szCs w:val="20"/>
          <w:lang w:val="en-US"/>
        </w:rPr>
        <w:t>Suppl. fig</w:t>
      </w:r>
      <w:r w:rsidR="0041725F" w:rsidRPr="0041725F">
        <w:rPr>
          <w:rFonts w:ascii="Times New Roman" w:hAnsi="Times New Roman"/>
          <w:b/>
          <w:sz w:val="20"/>
          <w:szCs w:val="20"/>
          <w:lang w:val="en-US"/>
        </w:rPr>
        <w:t>. 1</w:t>
      </w:r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Anatomical lay</w:t>
      </w:r>
      <w:r w:rsidR="009559D8">
        <w:rPr>
          <w:rFonts w:ascii="Times New Roman" w:hAnsi="Times New Roman"/>
          <w:sz w:val="20"/>
          <w:szCs w:val="20"/>
          <w:lang w:val="en-US"/>
        </w:rPr>
        <w:t>ers of the peritoneum. Case a</w:t>
      </w:r>
      <w:r w:rsidR="00C36423" w:rsidRPr="0041725F">
        <w:rPr>
          <w:rFonts w:ascii="Times New Roman" w:hAnsi="Times New Roman"/>
          <w:sz w:val="20"/>
          <w:szCs w:val="20"/>
          <w:lang w:val="en-US"/>
        </w:rPr>
        <w:t xml:space="preserve"> (H&amp;E stain, x40) and </w:t>
      </w:r>
      <w:r w:rsidR="009559D8">
        <w:rPr>
          <w:rFonts w:ascii="Times New Roman" w:hAnsi="Times New Roman"/>
          <w:sz w:val="20"/>
          <w:szCs w:val="20"/>
          <w:lang w:val="en-US"/>
        </w:rPr>
        <w:t>b</w:t>
      </w:r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(</w:t>
      </w:r>
      <w:proofErr w:type="spellStart"/>
      <w:r w:rsidR="009B589F" w:rsidRPr="0041725F">
        <w:rPr>
          <w:rFonts w:ascii="Times New Roman" w:hAnsi="Times New Roman"/>
          <w:sz w:val="20"/>
          <w:szCs w:val="20"/>
          <w:lang w:val="en-US"/>
        </w:rPr>
        <w:t>Elastica</w:t>
      </w:r>
      <w:proofErr w:type="spellEnd"/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van </w:t>
      </w:r>
      <w:proofErr w:type="spellStart"/>
      <w:r w:rsidR="009B589F" w:rsidRPr="0041725F">
        <w:rPr>
          <w:rFonts w:ascii="Times New Roman" w:hAnsi="Times New Roman"/>
          <w:sz w:val="20"/>
          <w:szCs w:val="20"/>
          <w:lang w:val="en-US"/>
        </w:rPr>
        <w:t>Gieson</w:t>
      </w:r>
      <w:proofErr w:type="spellEnd"/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="009B589F" w:rsidRPr="0041725F">
        <w:rPr>
          <w:rFonts w:ascii="Times New Roman" w:hAnsi="Times New Roman"/>
          <w:sz w:val="20"/>
          <w:szCs w:val="20"/>
          <w:lang w:val="en-US"/>
        </w:rPr>
        <w:t>EvG</w:t>
      </w:r>
      <w:proofErr w:type="spellEnd"/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, stain, 40x) illustrate the prototypical microanatomy of the peritoneum (serosa, serous membrane), consisting of a mesothelium (m), a </w:t>
      </w:r>
      <w:proofErr w:type="spellStart"/>
      <w:r w:rsidR="009B589F" w:rsidRPr="0041725F">
        <w:rPr>
          <w:rFonts w:ascii="Times New Roman" w:hAnsi="Times New Roman"/>
          <w:sz w:val="20"/>
          <w:szCs w:val="20"/>
          <w:lang w:val="en-US"/>
        </w:rPr>
        <w:t>submesothelial</w:t>
      </w:r>
      <w:proofErr w:type="spellEnd"/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stroma layer (s), and a peritoneal elastic lamina (e). The elastic fibers of the peritoneal elastic lamina stain black/dark purple in the </w:t>
      </w:r>
      <w:proofErr w:type="spellStart"/>
      <w:r w:rsidR="009B589F" w:rsidRPr="0041725F">
        <w:rPr>
          <w:rFonts w:ascii="Times New Roman" w:hAnsi="Times New Roman"/>
          <w:sz w:val="20"/>
          <w:szCs w:val="20"/>
          <w:lang w:val="en-US"/>
        </w:rPr>
        <w:t>EvG</w:t>
      </w:r>
      <w:proofErr w:type="spellEnd"/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stain. </w:t>
      </w:r>
      <w:r w:rsidR="009559D8">
        <w:rPr>
          <w:rFonts w:ascii="Times New Roman" w:hAnsi="Times New Roman"/>
          <w:sz w:val="20"/>
          <w:szCs w:val="20"/>
          <w:lang w:val="en-US"/>
        </w:rPr>
        <w:t>Case c</w:t>
      </w:r>
      <w:r w:rsidR="00C36423" w:rsidRPr="0041725F">
        <w:rPr>
          <w:rFonts w:ascii="Times New Roman" w:hAnsi="Times New Roman"/>
          <w:sz w:val="20"/>
          <w:szCs w:val="20"/>
          <w:lang w:val="en-US"/>
        </w:rPr>
        <w:t xml:space="preserve"> (H&amp;E stain, 40x) and </w:t>
      </w:r>
      <w:r w:rsidR="009559D8">
        <w:rPr>
          <w:rFonts w:ascii="Times New Roman" w:hAnsi="Times New Roman"/>
          <w:sz w:val="20"/>
          <w:szCs w:val="20"/>
          <w:lang w:val="en-US"/>
        </w:rPr>
        <w:t>d</w:t>
      </w:r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(cytokeratin 7 stain, 40x) are examples of peritoneum in a cleft between fatty lobules, here consisting of a flat mesothelium with minimal </w:t>
      </w:r>
      <w:proofErr w:type="spellStart"/>
      <w:r w:rsidR="009B589F" w:rsidRPr="0041725F">
        <w:rPr>
          <w:rFonts w:ascii="Times New Roman" w:hAnsi="Times New Roman"/>
          <w:sz w:val="20"/>
          <w:szCs w:val="20"/>
          <w:lang w:val="en-US"/>
        </w:rPr>
        <w:t>submesothelial</w:t>
      </w:r>
      <w:proofErr w:type="spellEnd"/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stroma and no demonstrable peritoneal elastic lamina (</w:t>
      </w:r>
      <w:proofErr w:type="spellStart"/>
      <w:r w:rsidR="009B589F" w:rsidRPr="0041725F">
        <w:rPr>
          <w:rFonts w:ascii="Times New Roman" w:hAnsi="Times New Roman"/>
          <w:sz w:val="20"/>
          <w:szCs w:val="20"/>
          <w:lang w:val="en-US"/>
        </w:rPr>
        <w:t>EvG</w:t>
      </w:r>
      <w:proofErr w:type="spellEnd"/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stain not shown). The mesothelial cells are accentuated using the cytokeratin 7 stain (brown). </w:t>
      </w:r>
      <w:r w:rsidR="009559D8">
        <w:rPr>
          <w:rFonts w:ascii="Times New Roman" w:hAnsi="Times New Roman"/>
          <w:sz w:val="20"/>
          <w:szCs w:val="20"/>
          <w:lang w:val="en-US"/>
        </w:rPr>
        <w:t>Cases a</w:t>
      </w:r>
      <w:r w:rsidR="00C36423" w:rsidRPr="0041725F">
        <w:rPr>
          <w:rFonts w:ascii="Times New Roman" w:hAnsi="Times New Roman"/>
          <w:sz w:val="20"/>
          <w:szCs w:val="20"/>
          <w:lang w:val="en-US"/>
        </w:rPr>
        <w:t xml:space="preserve"> through </w:t>
      </w:r>
      <w:r w:rsidR="009559D8">
        <w:rPr>
          <w:rFonts w:ascii="Times New Roman" w:hAnsi="Times New Roman"/>
          <w:sz w:val="20"/>
          <w:szCs w:val="20"/>
          <w:lang w:val="en-US"/>
        </w:rPr>
        <w:t>d</w:t>
      </w:r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demonstrate that the </w:t>
      </w:r>
      <w:r w:rsidR="009B589F" w:rsidRPr="0041725F">
        <w:rPr>
          <w:rFonts w:ascii="Times New Roman" w:hAnsi="Times New Roman"/>
          <w:sz w:val="20"/>
          <w:szCs w:val="20"/>
          <w:lang w:val="en-US"/>
        </w:rPr>
        <w:lastRenderedPageBreak/>
        <w:t xml:space="preserve">normal peritoneum is variously developed depending on the location. </w:t>
      </w:r>
      <w:r w:rsidR="009559D8">
        <w:rPr>
          <w:rFonts w:ascii="Times New Roman" w:hAnsi="Times New Roman"/>
          <w:sz w:val="20"/>
          <w:szCs w:val="20"/>
          <w:lang w:val="en-US"/>
        </w:rPr>
        <w:t>Case e</w:t>
      </w:r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(</w:t>
      </w:r>
      <w:proofErr w:type="spellStart"/>
      <w:r w:rsidR="009B589F" w:rsidRPr="0041725F">
        <w:rPr>
          <w:rFonts w:ascii="Times New Roman" w:hAnsi="Times New Roman"/>
          <w:sz w:val="20"/>
          <w:szCs w:val="20"/>
          <w:lang w:val="en-US"/>
        </w:rPr>
        <w:t>EvG</w:t>
      </w:r>
      <w:proofErr w:type="spellEnd"/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stain, x40) illustrates slightly thickened </w:t>
      </w:r>
      <w:proofErr w:type="spellStart"/>
      <w:r w:rsidR="009B589F" w:rsidRPr="0041725F">
        <w:rPr>
          <w:rFonts w:ascii="Times New Roman" w:hAnsi="Times New Roman"/>
          <w:sz w:val="20"/>
          <w:szCs w:val="20"/>
          <w:lang w:val="en-US"/>
        </w:rPr>
        <w:t>submesothelial</w:t>
      </w:r>
      <w:proofErr w:type="spellEnd"/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stroma layer (s) in the presence of mild inflammation. In </w:t>
      </w:r>
      <w:r w:rsidR="009559D8">
        <w:rPr>
          <w:rFonts w:ascii="Times New Roman" w:hAnsi="Times New Roman"/>
          <w:sz w:val="20"/>
          <w:szCs w:val="20"/>
          <w:lang w:val="en-US"/>
        </w:rPr>
        <w:t>case e</w:t>
      </w:r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the mesothelium (m) is largely stripped off. </w:t>
      </w:r>
      <w:r w:rsidR="009559D8">
        <w:rPr>
          <w:rFonts w:ascii="Times New Roman" w:hAnsi="Times New Roman"/>
          <w:sz w:val="20"/>
          <w:szCs w:val="20"/>
          <w:lang w:val="en-US"/>
        </w:rPr>
        <w:t>Case f</w:t>
      </w:r>
      <w:bookmarkStart w:id="0" w:name="_GoBack"/>
      <w:bookmarkEnd w:id="0"/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(</w:t>
      </w:r>
      <w:proofErr w:type="spellStart"/>
      <w:r w:rsidR="009B589F" w:rsidRPr="0041725F">
        <w:rPr>
          <w:rFonts w:ascii="Times New Roman" w:hAnsi="Times New Roman"/>
          <w:sz w:val="20"/>
          <w:szCs w:val="20"/>
          <w:lang w:val="en-US"/>
        </w:rPr>
        <w:t>EvG</w:t>
      </w:r>
      <w:proofErr w:type="spellEnd"/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stain, x10) illustrates severely thickened </w:t>
      </w:r>
      <w:proofErr w:type="spellStart"/>
      <w:r w:rsidR="009B589F" w:rsidRPr="0041725F">
        <w:rPr>
          <w:rFonts w:ascii="Times New Roman" w:hAnsi="Times New Roman"/>
          <w:sz w:val="20"/>
          <w:szCs w:val="20"/>
          <w:lang w:val="en-US"/>
        </w:rPr>
        <w:t>submesothelial</w:t>
      </w:r>
      <w:proofErr w:type="spellEnd"/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stroma layer (s) due to colorectal carcinoma (t) that grows through the peritoneal elastic lamina (e) and into the thickened </w:t>
      </w:r>
      <w:proofErr w:type="spellStart"/>
      <w:r w:rsidR="009B589F" w:rsidRPr="0041725F">
        <w:rPr>
          <w:rFonts w:ascii="Times New Roman" w:hAnsi="Times New Roman"/>
          <w:sz w:val="20"/>
          <w:szCs w:val="20"/>
          <w:lang w:val="en-US"/>
        </w:rPr>
        <w:t>submesothelial</w:t>
      </w:r>
      <w:proofErr w:type="spellEnd"/>
      <w:r w:rsidR="009B589F" w:rsidRPr="0041725F">
        <w:rPr>
          <w:rFonts w:ascii="Times New Roman" w:hAnsi="Times New Roman"/>
          <w:sz w:val="20"/>
          <w:szCs w:val="20"/>
          <w:lang w:val="en-US"/>
        </w:rPr>
        <w:t xml:space="preserve"> stroma layer. The black stained peritoneal elastic lamina can be followed diagonally towards the right upper corner where the peritoneum is closer to normal thickness.</w:t>
      </w:r>
    </w:p>
    <w:p w:rsidR="00536A1C" w:rsidRPr="0041725F" w:rsidRDefault="009B589F" w:rsidP="009B589F">
      <w:pPr>
        <w:rPr>
          <w:rFonts w:ascii="Times New Roman" w:hAnsi="Times New Roman"/>
          <w:sz w:val="20"/>
          <w:szCs w:val="20"/>
          <w:lang w:eastAsia="nl-NL"/>
        </w:rPr>
      </w:pPr>
      <w:r w:rsidRPr="0041725F">
        <w:rPr>
          <w:rFonts w:ascii="Times New Roman" w:hAnsi="Times New Roman"/>
          <w:sz w:val="20"/>
          <w:szCs w:val="20"/>
          <w:lang w:val="en-US"/>
        </w:rPr>
        <w:br w:type="column"/>
      </w:r>
      <w:r w:rsidR="00536A1C" w:rsidRPr="0041725F">
        <w:rPr>
          <w:noProof/>
          <w:sz w:val="20"/>
          <w:szCs w:val="20"/>
          <w:lang w:eastAsia="nl-NL"/>
        </w:rPr>
        <w:lastRenderedPageBreak/>
        <w:drawing>
          <wp:inline distT="0" distB="0" distL="0" distR="0">
            <wp:extent cx="5762625" cy="4743450"/>
            <wp:effectExtent l="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A1C" w:rsidRPr="0041725F" w:rsidRDefault="00536A1C" w:rsidP="00536A1C">
      <w:pPr>
        <w:rPr>
          <w:rFonts w:ascii="Times New Roman" w:hAnsi="Times New Roman"/>
          <w:color w:val="000000"/>
          <w:sz w:val="20"/>
          <w:szCs w:val="20"/>
          <w:lang w:val="en-US"/>
        </w:rPr>
      </w:pPr>
      <w:r w:rsidRPr="0041725F">
        <w:rPr>
          <w:rFonts w:ascii="Times New Roman" w:hAnsi="Times New Roman"/>
          <w:b/>
          <w:color w:val="000000"/>
          <w:sz w:val="20"/>
          <w:szCs w:val="20"/>
          <w:lang w:val="en-US"/>
        </w:rPr>
        <w:t xml:space="preserve">Suppl. </w:t>
      </w:r>
      <w:r w:rsidR="0041725F" w:rsidRPr="0041725F">
        <w:rPr>
          <w:rFonts w:ascii="Times New Roman" w:hAnsi="Times New Roman"/>
          <w:b/>
          <w:color w:val="000000"/>
          <w:sz w:val="20"/>
          <w:szCs w:val="20"/>
          <w:lang w:val="en-US"/>
        </w:rPr>
        <w:t>Fig.</w:t>
      </w:r>
      <w:r w:rsidR="00FF26A8" w:rsidRPr="0041725F">
        <w:rPr>
          <w:rFonts w:ascii="Times New Roman" w:hAnsi="Times New Roman"/>
          <w:b/>
          <w:color w:val="000000"/>
          <w:sz w:val="20"/>
          <w:szCs w:val="20"/>
          <w:lang w:val="en-US"/>
        </w:rPr>
        <w:t xml:space="preserve"> 2</w:t>
      </w:r>
      <w:r w:rsidRPr="0041725F">
        <w:rPr>
          <w:rFonts w:ascii="Times New Roman" w:hAnsi="Times New Roman"/>
          <w:color w:val="000000"/>
          <w:sz w:val="20"/>
          <w:szCs w:val="20"/>
          <w:lang w:val="en-US"/>
        </w:rPr>
        <w:t xml:space="preserve"> Patient inclusion</w:t>
      </w:r>
    </w:p>
    <w:p w:rsidR="00A9729C" w:rsidRPr="0041725F" w:rsidRDefault="00536A1C" w:rsidP="00A9729C">
      <w:pPr>
        <w:rPr>
          <w:rFonts w:ascii="Times New Roman" w:hAnsi="Times New Roman"/>
          <w:color w:val="000000"/>
          <w:sz w:val="20"/>
          <w:szCs w:val="20"/>
          <w:lang w:val="en-US"/>
        </w:rPr>
      </w:pPr>
      <w:r w:rsidRPr="0041725F">
        <w:rPr>
          <w:sz w:val="20"/>
          <w:szCs w:val="20"/>
          <w:lang w:val="en-US"/>
        </w:rPr>
        <w:br w:type="column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8122"/>
      </w:tblGrid>
      <w:tr w:rsidR="00A9729C" w:rsidRPr="0041725F" w:rsidTr="00421A0D">
        <w:trPr>
          <w:trHeight w:val="300"/>
        </w:trPr>
        <w:tc>
          <w:tcPr>
            <w:tcW w:w="928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A9729C" w:rsidRPr="0041725F" w:rsidRDefault="00A9729C" w:rsidP="00421A0D">
            <w:pPr>
              <w:pStyle w:val="Normaalweb"/>
              <w:ind w:left="640" w:hanging="640"/>
              <w:rPr>
                <w:b/>
                <w:sz w:val="20"/>
                <w:szCs w:val="20"/>
                <w:lang w:val="en-US"/>
              </w:rPr>
            </w:pPr>
            <w:r w:rsidRPr="0041725F">
              <w:rPr>
                <w:b/>
                <w:sz w:val="20"/>
                <w:szCs w:val="20"/>
                <w:lang w:val="en-US"/>
              </w:rPr>
              <w:t>LPI - primary tumor</w:t>
            </w:r>
          </w:p>
        </w:tc>
      </w:tr>
      <w:tr w:rsidR="00A9729C" w:rsidRPr="0041725F" w:rsidTr="00421A0D">
        <w:trPr>
          <w:trHeight w:val="300"/>
        </w:trPr>
        <w:tc>
          <w:tcPr>
            <w:tcW w:w="959" w:type="dxa"/>
            <w:shd w:val="clear" w:color="auto" w:fill="auto"/>
            <w:noWrap/>
            <w:hideMark/>
          </w:tcPr>
          <w:p w:rsidR="00A9729C" w:rsidRPr="0041725F" w:rsidRDefault="00A9729C" w:rsidP="00421A0D">
            <w:pPr>
              <w:pStyle w:val="Normaalweb"/>
              <w:ind w:left="640" w:hanging="640"/>
              <w:rPr>
                <w:sz w:val="20"/>
                <w:szCs w:val="20"/>
                <w:lang w:val="en-US"/>
              </w:rPr>
            </w:pPr>
            <w:r w:rsidRPr="0041725F">
              <w:rPr>
                <w:sz w:val="20"/>
                <w:szCs w:val="20"/>
                <w:lang w:val="en-US"/>
              </w:rPr>
              <w:t>LPI1</w:t>
            </w:r>
          </w:p>
        </w:tc>
        <w:tc>
          <w:tcPr>
            <w:tcW w:w="8329" w:type="dxa"/>
            <w:shd w:val="clear" w:color="auto" w:fill="auto"/>
            <w:noWrap/>
            <w:hideMark/>
          </w:tcPr>
          <w:p w:rsidR="00A9729C" w:rsidRPr="0041725F" w:rsidRDefault="00A9729C" w:rsidP="00421A0D">
            <w:pPr>
              <w:pStyle w:val="Normaalweb"/>
              <w:ind w:left="640" w:hanging="640"/>
              <w:rPr>
                <w:sz w:val="20"/>
                <w:szCs w:val="20"/>
                <w:lang w:val="en-US"/>
              </w:rPr>
            </w:pPr>
            <w:r w:rsidRPr="0041725F">
              <w:rPr>
                <w:sz w:val="20"/>
                <w:szCs w:val="20"/>
                <w:lang w:val="en-US"/>
              </w:rPr>
              <w:t>Tumor well clear of closest peritoneal surface</w:t>
            </w:r>
          </w:p>
        </w:tc>
      </w:tr>
      <w:tr w:rsidR="00A9729C" w:rsidRPr="0041725F" w:rsidTr="00421A0D">
        <w:trPr>
          <w:trHeight w:val="300"/>
        </w:trPr>
        <w:tc>
          <w:tcPr>
            <w:tcW w:w="959" w:type="dxa"/>
            <w:shd w:val="clear" w:color="auto" w:fill="auto"/>
            <w:noWrap/>
            <w:hideMark/>
          </w:tcPr>
          <w:p w:rsidR="00A9729C" w:rsidRPr="0041725F" w:rsidRDefault="00A9729C" w:rsidP="00421A0D">
            <w:pPr>
              <w:pStyle w:val="Normaalweb"/>
              <w:ind w:left="640" w:hanging="640"/>
              <w:rPr>
                <w:sz w:val="20"/>
                <w:szCs w:val="20"/>
                <w:lang w:val="en-US"/>
              </w:rPr>
            </w:pPr>
            <w:r w:rsidRPr="0041725F">
              <w:rPr>
                <w:sz w:val="20"/>
                <w:szCs w:val="20"/>
                <w:lang w:val="en-US"/>
              </w:rPr>
              <w:t>LPI2</w:t>
            </w:r>
          </w:p>
        </w:tc>
        <w:tc>
          <w:tcPr>
            <w:tcW w:w="8329" w:type="dxa"/>
            <w:shd w:val="clear" w:color="auto" w:fill="auto"/>
            <w:noWrap/>
            <w:hideMark/>
          </w:tcPr>
          <w:p w:rsidR="00A9729C" w:rsidRPr="0041725F" w:rsidRDefault="00A9729C" w:rsidP="00421A0D">
            <w:pPr>
              <w:pStyle w:val="Normaalweb"/>
              <w:ind w:left="640" w:hanging="640"/>
              <w:rPr>
                <w:sz w:val="20"/>
                <w:szCs w:val="20"/>
                <w:lang w:val="en-US"/>
              </w:rPr>
            </w:pPr>
            <w:r w:rsidRPr="0041725F">
              <w:rPr>
                <w:sz w:val="20"/>
                <w:szCs w:val="20"/>
                <w:lang w:val="en-US"/>
              </w:rPr>
              <w:t>Mesothelial inflammatory and/or hyperplastic reaction with tumor close to, but not at the peritoneal surface</w:t>
            </w:r>
          </w:p>
        </w:tc>
      </w:tr>
      <w:tr w:rsidR="00A9729C" w:rsidRPr="0041725F" w:rsidTr="00421A0D">
        <w:trPr>
          <w:trHeight w:val="300"/>
        </w:trPr>
        <w:tc>
          <w:tcPr>
            <w:tcW w:w="959" w:type="dxa"/>
            <w:shd w:val="clear" w:color="auto" w:fill="auto"/>
            <w:noWrap/>
            <w:hideMark/>
          </w:tcPr>
          <w:p w:rsidR="00A9729C" w:rsidRPr="0041725F" w:rsidRDefault="00A9729C" w:rsidP="00421A0D">
            <w:pPr>
              <w:pStyle w:val="Normaalweb"/>
              <w:ind w:left="640" w:hanging="640"/>
              <w:rPr>
                <w:sz w:val="20"/>
                <w:szCs w:val="20"/>
                <w:lang w:val="en-US"/>
              </w:rPr>
            </w:pPr>
            <w:r w:rsidRPr="0041725F">
              <w:rPr>
                <w:sz w:val="20"/>
                <w:szCs w:val="20"/>
                <w:lang w:val="en-US"/>
              </w:rPr>
              <w:t>LPI3</w:t>
            </w:r>
          </w:p>
        </w:tc>
        <w:tc>
          <w:tcPr>
            <w:tcW w:w="8329" w:type="dxa"/>
            <w:shd w:val="clear" w:color="auto" w:fill="auto"/>
            <w:noWrap/>
            <w:hideMark/>
          </w:tcPr>
          <w:p w:rsidR="00A9729C" w:rsidRPr="0041725F" w:rsidRDefault="00A9729C" w:rsidP="00421A0D">
            <w:pPr>
              <w:pStyle w:val="Normaalweb"/>
              <w:ind w:left="640" w:hanging="640"/>
              <w:rPr>
                <w:sz w:val="20"/>
                <w:szCs w:val="20"/>
                <w:lang w:val="en-US"/>
              </w:rPr>
            </w:pPr>
            <w:r w:rsidRPr="0041725F">
              <w:rPr>
                <w:sz w:val="20"/>
                <w:szCs w:val="20"/>
                <w:lang w:val="en-US"/>
              </w:rPr>
              <w:t>Tumor present at peritoneal surface with inflammatory reaction, mesothelial hyperplasia and/or erosion or ‘ulceration’</w:t>
            </w:r>
          </w:p>
        </w:tc>
      </w:tr>
      <w:tr w:rsidR="00A9729C" w:rsidRPr="0041725F" w:rsidTr="00421A0D">
        <w:trPr>
          <w:trHeight w:val="300"/>
        </w:trPr>
        <w:tc>
          <w:tcPr>
            <w:tcW w:w="959" w:type="dxa"/>
            <w:shd w:val="clear" w:color="auto" w:fill="auto"/>
            <w:noWrap/>
            <w:hideMark/>
          </w:tcPr>
          <w:p w:rsidR="00A9729C" w:rsidRPr="0041725F" w:rsidRDefault="00A9729C" w:rsidP="00421A0D">
            <w:pPr>
              <w:pStyle w:val="Normaalweb"/>
              <w:ind w:left="640" w:hanging="640"/>
              <w:rPr>
                <w:sz w:val="20"/>
                <w:szCs w:val="20"/>
                <w:lang w:val="en-US"/>
              </w:rPr>
            </w:pPr>
            <w:r w:rsidRPr="0041725F">
              <w:rPr>
                <w:sz w:val="20"/>
                <w:szCs w:val="20"/>
                <w:lang w:val="en-US"/>
              </w:rPr>
              <w:t>LPI4</w:t>
            </w:r>
          </w:p>
        </w:tc>
        <w:tc>
          <w:tcPr>
            <w:tcW w:w="8329" w:type="dxa"/>
            <w:shd w:val="clear" w:color="auto" w:fill="auto"/>
            <w:noWrap/>
            <w:hideMark/>
          </w:tcPr>
          <w:p w:rsidR="00A9729C" w:rsidRPr="0041725F" w:rsidRDefault="00A9729C" w:rsidP="00421A0D">
            <w:pPr>
              <w:pStyle w:val="Normaalweb"/>
              <w:ind w:left="640" w:hanging="640"/>
              <w:rPr>
                <w:sz w:val="20"/>
                <w:szCs w:val="20"/>
                <w:lang w:val="en-US"/>
              </w:rPr>
            </w:pPr>
            <w:r w:rsidRPr="0041725F">
              <w:rPr>
                <w:sz w:val="20"/>
                <w:szCs w:val="20"/>
                <w:lang w:val="en-US"/>
              </w:rPr>
              <w:t xml:space="preserve">Tumor cells shown free on the serosal surface with evidence of adjacent ‘ulceration’ of the visceral peritoneum. </w:t>
            </w:r>
          </w:p>
        </w:tc>
      </w:tr>
    </w:tbl>
    <w:p w:rsidR="00845462" w:rsidRPr="0041725F" w:rsidRDefault="00845462" w:rsidP="00A9729C">
      <w:pPr>
        <w:rPr>
          <w:rFonts w:ascii="Times New Roman" w:hAnsi="Times New Roman"/>
          <w:sz w:val="20"/>
          <w:szCs w:val="20"/>
          <w:lang w:val="en-US"/>
        </w:rPr>
      </w:pPr>
    </w:p>
    <w:p w:rsidR="00A9729C" w:rsidRPr="0041725F" w:rsidRDefault="00A9729C" w:rsidP="00A9729C">
      <w:pPr>
        <w:rPr>
          <w:rFonts w:ascii="Times New Roman" w:hAnsi="Times New Roman"/>
          <w:sz w:val="20"/>
          <w:szCs w:val="20"/>
          <w:lang w:val="en-US"/>
        </w:rPr>
      </w:pPr>
      <w:r w:rsidRPr="0041725F">
        <w:rPr>
          <w:rFonts w:ascii="Times New Roman" w:hAnsi="Times New Roman"/>
          <w:b/>
          <w:sz w:val="20"/>
          <w:szCs w:val="20"/>
          <w:lang w:val="en-US"/>
        </w:rPr>
        <w:t>Suppl. table 1</w:t>
      </w:r>
      <w:r w:rsidRPr="0041725F">
        <w:rPr>
          <w:rFonts w:ascii="Times New Roman" w:hAnsi="Times New Roman"/>
          <w:sz w:val="20"/>
          <w:szCs w:val="20"/>
          <w:lang w:val="en-US"/>
        </w:rPr>
        <w:t xml:space="preserve"> Local Peritoneal Involvement (L</w:t>
      </w:r>
      <w:r w:rsidR="003A74EE">
        <w:rPr>
          <w:rFonts w:ascii="Times New Roman" w:hAnsi="Times New Roman"/>
          <w:sz w:val="20"/>
          <w:szCs w:val="20"/>
          <w:lang w:val="en-US"/>
        </w:rPr>
        <w:t>PI) score according to Shepherd</w:t>
      </w:r>
    </w:p>
    <w:p w:rsidR="00536A1C" w:rsidRPr="0041725F" w:rsidRDefault="00A9729C" w:rsidP="00536A1C">
      <w:pPr>
        <w:spacing w:line="480" w:lineRule="auto"/>
        <w:rPr>
          <w:rFonts w:ascii="Times New Roman" w:hAnsi="Times New Roman"/>
          <w:sz w:val="20"/>
          <w:szCs w:val="20"/>
          <w:lang w:val="en-US"/>
        </w:rPr>
      </w:pPr>
      <w:r w:rsidRPr="0041725F">
        <w:rPr>
          <w:rFonts w:ascii="Times New Roman" w:hAnsi="Times New Roman"/>
          <w:sz w:val="20"/>
          <w:szCs w:val="20"/>
          <w:lang w:val="en-US"/>
        </w:rPr>
        <w:br w:type="column"/>
      </w:r>
    </w:p>
    <w:tbl>
      <w:tblPr>
        <w:tblpPr w:leftFromText="141" w:rightFromText="141" w:vertAnchor="text" w:horzAnchor="margin" w:tblpY="-5"/>
        <w:tblW w:w="81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1701"/>
        <w:gridCol w:w="992"/>
        <w:gridCol w:w="851"/>
      </w:tblGrid>
      <w:tr w:rsidR="00536A1C" w:rsidRPr="0041725F" w:rsidTr="00711D11">
        <w:trPr>
          <w:trHeight w:val="300"/>
        </w:trPr>
        <w:tc>
          <w:tcPr>
            <w:tcW w:w="4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 xml:space="preserve">Number of pathologists with same assessment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 xml:space="preserve">Number of cases </w:t>
            </w: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br/>
              <w:t>n = 66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 xml:space="preserve">Cases assessed as: </w:t>
            </w:r>
          </w:p>
        </w:tc>
      </w:tr>
      <w:tr w:rsidR="00536A1C" w:rsidRPr="0041725F" w:rsidTr="00711D11">
        <w:trPr>
          <w:trHeight w:val="300"/>
        </w:trPr>
        <w:tc>
          <w:tcPr>
            <w:tcW w:w="4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 xml:space="preserve">pT3 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pT4a</w:t>
            </w:r>
          </w:p>
        </w:tc>
      </w:tr>
      <w:tr w:rsidR="00536A1C" w:rsidRPr="0041725F" w:rsidTr="00711D11">
        <w:trPr>
          <w:trHeight w:val="300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12 out of 12 pathologists (100% agreement)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20 (30%)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7</w:t>
            </w:r>
          </w:p>
        </w:tc>
      </w:tr>
      <w:tr w:rsidR="00536A1C" w:rsidRPr="0041725F" w:rsidTr="00711D11">
        <w:trPr>
          <w:trHeight w:val="300"/>
        </w:trPr>
        <w:tc>
          <w:tcPr>
            <w:tcW w:w="4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11 out of 12 pathologists (92% agreement)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10 (15%)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4</w:t>
            </w:r>
          </w:p>
        </w:tc>
      </w:tr>
      <w:tr w:rsidR="00536A1C" w:rsidRPr="0041725F" w:rsidTr="00711D11">
        <w:trPr>
          <w:trHeight w:val="300"/>
        </w:trPr>
        <w:tc>
          <w:tcPr>
            <w:tcW w:w="4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10 out of 12 pathologists  (83% agreement)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13 (20%)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7</w:t>
            </w:r>
          </w:p>
        </w:tc>
      </w:tr>
      <w:tr w:rsidR="00536A1C" w:rsidRPr="0041725F" w:rsidTr="00711D11">
        <w:trPr>
          <w:trHeight w:val="300"/>
        </w:trPr>
        <w:tc>
          <w:tcPr>
            <w:tcW w:w="4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9 out of 12 pathologists  (75% agreement)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8 (12%)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5</w:t>
            </w:r>
          </w:p>
        </w:tc>
      </w:tr>
      <w:tr w:rsidR="00536A1C" w:rsidRPr="0041725F" w:rsidTr="00711D11">
        <w:trPr>
          <w:trHeight w:val="300"/>
        </w:trPr>
        <w:tc>
          <w:tcPr>
            <w:tcW w:w="4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8 out of 12 pathologists  (67% agreement)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5 (8%)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4</w:t>
            </w:r>
          </w:p>
        </w:tc>
      </w:tr>
      <w:tr w:rsidR="00536A1C" w:rsidRPr="0041725F" w:rsidTr="00711D11">
        <w:trPr>
          <w:trHeight w:val="300"/>
        </w:trPr>
        <w:tc>
          <w:tcPr>
            <w:tcW w:w="4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7 out of 12 pathologists  (58% agreement)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8 (12%)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2</w:t>
            </w:r>
          </w:p>
        </w:tc>
      </w:tr>
      <w:tr w:rsidR="00536A1C" w:rsidRPr="0041725F" w:rsidTr="00711D11">
        <w:trPr>
          <w:trHeight w:val="300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6 out of 12 pathologists  (50% agreement)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2 (3%)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6A1C" w:rsidRPr="0041725F" w:rsidRDefault="00536A1C" w:rsidP="00711D11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 w:eastAsia="nl-NL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 w:eastAsia="nl-NL"/>
              </w:rPr>
              <w:t>NA</w:t>
            </w:r>
          </w:p>
        </w:tc>
      </w:tr>
    </w:tbl>
    <w:p w:rsidR="00536A1C" w:rsidRPr="0041725F" w:rsidRDefault="00536A1C" w:rsidP="00536A1C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</w:p>
    <w:p w:rsidR="00536A1C" w:rsidRPr="0041725F" w:rsidRDefault="00536A1C" w:rsidP="00536A1C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</w:p>
    <w:p w:rsidR="00536A1C" w:rsidRPr="0041725F" w:rsidRDefault="00536A1C" w:rsidP="00536A1C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</w:p>
    <w:p w:rsidR="00536A1C" w:rsidRPr="0041725F" w:rsidRDefault="00536A1C" w:rsidP="00536A1C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</w:p>
    <w:p w:rsidR="003A74EE" w:rsidRDefault="003A74EE" w:rsidP="00536A1C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</w:p>
    <w:p w:rsidR="00A9729C" w:rsidRPr="0041725F" w:rsidRDefault="006D730B" w:rsidP="00536A1C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  <w:r w:rsidRPr="003A74EE">
        <w:rPr>
          <w:rFonts w:ascii="Times New Roman" w:hAnsi="Times New Roman"/>
          <w:b/>
          <w:sz w:val="20"/>
          <w:szCs w:val="20"/>
          <w:lang w:val="en-GB"/>
        </w:rPr>
        <w:t>Suppl. table 2</w:t>
      </w:r>
      <w:r w:rsidR="00536A1C" w:rsidRPr="0041725F">
        <w:rPr>
          <w:rFonts w:ascii="Times New Roman" w:hAnsi="Times New Roman"/>
          <w:sz w:val="20"/>
          <w:szCs w:val="20"/>
          <w:lang w:val="en-GB"/>
        </w:rPr>
        <w:t xml:space="preserve"> Level of agreement amongst the twelve pathologists per case</w:t>
      </w:r>
    </w:p>
    <w:p w:rsidR="00845462" w:rsidRPr="0041725F" w:rsidRDefault="00A9729C" w:rsidP="00536A1C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  <w:r w:rsidRPr="0041725F">
        <w:rPr>
          <w:rFonts w:ascii="Times New Roman" w:hAnsi="Times New Roman"/>
          <w:sz w:val="20"/>
          <w:szCs w:val="20"/>
          <w:lang w:val="en-GB"/>
        </w:rPr>
        <w:br w:type="column"/>
      </w:r>
    </w:p>
    <w:tbl>
      <w:tblPr>
        <w:tblpPr w:leftFromText="141" w:rightFromText="141" w:vertAnchor="text" w:horzAnchor="margin" w:tblpXSpec="center" w:tblpY="294"/>
        <w:tblW w:w="11165" w:type="dxa"/>
        <w:tblLayout w:type="fixed"/>
        <w:tblLook w:val="04A0" w:firstRow="1" w:lastRow="0" w:firstColumn="1" w:lastColumn="0" w:noHBand="0" w:noVBand="1"/>
      </w:tblPr>
      <w:tblGrid>
        <w:gridCol w:w="1242"/>
        <w:gridCol w:w="986"/>
        <w:gridCol w:w="1566"/>
        <w:gridCol w:w="688"/>
        <w:gridCol w:w="1004"/>
        <w:gridCol w:w="828"/>
        <w:gridCol w:w="849"/>
        <w:gridCol w:w="1876"/>
        <w:gridCol w:w="2126"/>
      </w:tblGrid>
      <w:tr w:rsidR="00845462" w:rsidRPr="0041725F" w:rsidTr="00845462">
        <w:trPr>
          <w:trHeight w:val="20"/>
        </w:trPr>
        <w:tc>
          <w:tcPr>
            <w:tcW w:w="9039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i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Suppl. table 3. Baseline characteristics and case mix correction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i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i/>
                <w:sz w:val="20"/>
                <w:szCs w:val="20"/>
                <w:lang w:val="en-GB"/>
              </w:rPr>
              <w:t>Total (T3+T4a)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i/>
                <w:sz w:val="20"/>
                <w:szCs w:val="20"/>
                <w:lang w:val="en-GB"/>
              </w:rPr>
              <w:t>T4a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i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i/>
                <w:sz w:val="20"/>
                <w:szCs w:val="20"/>
                <w:lang w:val="en-GB"/>
              </w:rPr>
              <w:t>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i/>
                <w:sz w:val="20"/>
                <w:szCs w:val="20"/>
                <w:lang w:val="en-GB"/>
              </w:rPr>
              <w:t>Adjusted OR</w:t>
            </w: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n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3985</w:t>
            </w:r>
          </w:p>
        </w:tc>
        <w:tc>
          <w:tcPr>
            <w:tcW w:w="10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51.5%</w:t>
            </w:r>
          </w:p>
        </w:tc>
        <w:tc>
          <w:tcPr>
            <w:tcW w:w="8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520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46.6%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V</w:t>
            </w:r>
          </w:p>
        </w:tc>
        <w:tc>
          <w:tcPr>
            <w:tcW w:w="6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3760</w:t>
            </w:r>
          </w:p>
        </w:tc>
        <w:tc>
          <w:tcPr>
            <w:tcW w:w="10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48.5%</w:t>
            </w:r>
          </w:p>
        </w:tc>
        <w:tc>
          <w:tcPr>
            <w:tcW w:w="8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596</w:t>
            </w:r>
          </w:p>
        </w:tc>
        <w:tc>
          <w:tcPr>
            <w:tcW w:w="8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53.4%</w:t>
            </w:r>
          </w:p>
        </w:tc>
        <w:tc>
          <w:tcPr>
            <w:tcW w:w="1876" w:type="dxa"/>
            <w:tcBorders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1.255 (1.105-1.425)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1.234 (1.078-1.413)</w:t>
            </w: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&lt; 60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1060</w:t>
            </w:r>
          </w:p>
        </w:tc>
        <w:tc>
          <w:tcPr>
            <w:tcW w:w="10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13.7%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157</w:t>
            </w:r>
          </w:p>
        </w:tc>
        <w:tc>
          <w:tcPr>
            <w:tcW w:w="8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14.1%</w:t>
            </w:r>
          </w:p>
        </w:tc>
        <w:tc>
          <w:tcPr>
            <w:tcW w:w="1876" w:type="dxa"/>
            <w:tcBorders>
              <w:top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60-69</w:t>
            </w:r>
          </w:p>
        </w:tc>
        <w:tc>
          <w:tcPr>
            <w:tcW w:w="688" w:type="dxa"/>
            <w:tcBorders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2252</w:t>
            </w:r>
          </w:p>
        </w:tc>
        <w:tc>
          <w:tcPr>
            <w:tcW w:w="1004" w:type="dxa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29.1%</w:t>
            </w:r>
          </w:p>
        </w:tc>
        <w:tc>
          <w:tcPr>
            <w:tcW w:w="8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305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27.3%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0.901 (0.732-1.109)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70-79</w:t>
            </w:r>
          </w:p>
        </w:tc>
        <w:tc>
          <w:tcPr>
            <w:tcW w:w="688" w:type="dxa"/>
            <w:tcBorders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2640</w:t>
            </w:r>
          </w:p>
        </w:tc>
        <w:tc>
          <w:tcPr>
            <w:tcW w:w="1004" w:type="dxa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34.1%</w:t>
            </w:r>
          </w:p>
        </w:tc>
        <w:tc>
          <w:tcPr>
            <w:tcW w:w="8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351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31.5%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0.882 (0.720-1.082)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80 ≤</w:t>
            </w:r>
          </w:p>
        </w:tc>
        <w:tc>
          <w:tcPr>
            <w:tcW w:w="6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1793</w:t>
            </w:r>
          </w:p>
        </w:tc>
        <w:tc>
          <w:tcPr>
            <w:tcW w:w="10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23.2%</w:t>
            </w:r>
          </w:p>
        </w:tc>
        <w:tc>
          <w:tcPr>
            <w:tcW w:w="8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303</w:t>
            </w:r>
          </w:p>
        </w:tc>
        <w:tc>
          <w:tcPr>
            <w:tcW w:w="8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27.2%</w:t>
            </w:r>
          </w:p>
        </w:tc>
        <w:tc>
          <w:tcPr>
            <w:tcW w:w="1876" w:type="dxa"/>
            <w:tcBorders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1.170 (0.948-1.443)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Year of examination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2012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1601</w:t>
            </w:r>
          </w:p>
        </w:tc>
        <w:tc>
          <w:tcPr>
            <w:tcW w:w="10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20.7%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223</w:t>
            </w:r>
          </w:p>
        </w:tc>
        <w:tc>
          <w:tcPr>
            <w:tcW w:w="8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20.0%</w:t>
            </w:r>
          </w:p>
        </w:tc>
        <w:tc>
          <w:tcPr>
            <w:tcW w:w="1876" w:type="dxa"/>
            <w:tcBorders>
              <w:top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2013</w:t>
            </w:r>
          </w:p>
        </w:tc>
        <w:tc>
          <w:tcPr>
            <w:tcW w:w="688" w:type="dxa"/>
            <w:tcBorders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2015</w:t>
            </w:r>
          </w:p>
        </w:tc>
        <w:tc>
          <w:tcPr>
            <w:tcW w:w="1004" w:type="dxa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26.0%</w:t>
            </w:r>
          </w:p>
        </w:tc>
        <w:tc>
          <w:tcPr>
            <w:tcW w:w="8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271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24.3%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0.960 (0.793-1.162)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2014</w:t>
            </w:r>
          </w:p>
        </w:tc>
        <w:tc>
          <w:tcPr>
            <w:tcW w:w="688" w:type="dxa"/>
            <w:tcBorders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2341</w:t>
            </w:r>
          </w:p>
        </w:tc>
        <w:tc>
          <w:tcPr>
            <w:tcW w:w="1004" w:type="dxa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30.2%</w:t>
            </w:r>
          </w:p>
        </w:tc>
        <w:tc>
          <w:tcPr>
            <w:tcW w:w="8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354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31.7%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1.101 (0.919-1.319)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2015</w:t>
            </w:r>
          </w:p>
        </w:tc>
        <w:tc>
          <w:tcPr>
            <w:tcW w:w="6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1788</w:t>
            </w:r>
          </w:p>
        </w:tc>
        <w:tc>
          <w:tcPr>
            <w:tcW w:w="10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23.1%</w:t>
            </w:r>
          </w:p>
        </w:tc>
        <w:tc>
          <w:tcPr>
            <w:tcW w:w="8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268</w:t>
            </w:r>
          </w:p>
        </w:tc>
        <w:tc>
          <w:tcPr>
            <w:tcW w:w="8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24.0%</w:t>
            </w:r>
          </w:p>
        </w:tc>
        <w:tc>
          <w:tcPr>
            <w:tcW w:w="1876" w:type="dxa"/>
            <w:tcBorders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1.090 (0.899-1.320)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Tumour location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Right </w:t>
            </w:r>
            <w:proofErr w:type="spellStart"/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hemicolon</w:t>
            </w:r>
            <w:proofErr w:type="spellEnd"/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4002</w:t>
            </w:r>
          </w:p>
        </w:tc>
        <w:tc>
          <w:tcPr>
            <w:tcW w:w="10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51.7%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593</w:t>
            </w:r>
          </w:p>
        </w:tc>
        <w:tc>
          <w:tcPr>
            <w:tcW w:w="8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53.1%</w:t>
            </w:r>
          </w:p>
        </w:tc>
        <w:tc>
          <w:tcPr>
            <w:tcW w:w="1876" w:type="dxa"/>
            <w:tcBorders>
              <w:top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Transverse colon</w:t>
            </w:r>
          </w:p>
        </w:tc>
        <w:tc>
          <w:tcPr>
            <w:tcW w:w="688" w:type="dxa"/>
            <w:tcBorders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350</w:t>
            </w:r>
          </w:p>
        </w:tc>
        <w:tc>
          <w:tcPr>
            <w:tcW w:w="1004" w:type="dxa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4.5%</w:t>
            </w:r>
          </w:p>
        </w:tc>
        <w:tc>
          <w:tcPr>
            <w:tcW w:w="8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57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5.1%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1.118 (0.831-1.505)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Left </w:t>
            </w:r>
            <w:proofErr w:type="spellStart"/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hemicolon</w:t>
            </w:r>
            <w:proofErr w:type="spellEnd"/>
          </w:p>
        </w:tc>
        <w:tc>
          <w:tcPr>
            <w:tcW w:w="688" w:type="dxa"/>
            <w:tcBorders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934</w:t>
            </w:r>
          </w:p>
        </w:tc>
        <w:tc>
          <w:tcPr>
            <w:tcW w:w="1004" w:type="dxa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12.1%</w:t>
            </w:r>
          </w:p>
        </w:tc>
        <w:tc>
          <w:tcPr>
            <w:tcW w:w="8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137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12.3%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0.988 (0.808-1.208)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Sigmoid</w:t>
            </w:r>
          </w:p>
        </w:tc>
        <w:tc>
          <w:tcPr>
            <w:tcW w:w="6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2412</w:t>
            </w:r>
          </w:p>
        </w:tc>
        <w:tc>
          <w:tcPr>
            <w:tcW w:w="10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31.1%</w:t>
            </w:r>
          </w:p>
        </w:tc>
        <w:tc>
          <w:tcPr>
            <w:tcW w:w="8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320</w:t>
            </w:r>
          </w:p>
        </w:tc>
        <w:tc>
          <w:tcPr>
            <w:tcW w:w="8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28.7%</w:t>
            </w:r>
          </w:p>
        </w:tc>
        <w:tc>
          <w:tcPr>
            <w:tcW w:w="1876" w:type="dxa"/>
            <w:tcBorders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0.879 (0.760-1.018)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Histological type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Adenocarcinoma, w./m. d.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5834</w:t>
            </w:r>
          </w:p>
        </w:tc>
        <w:tc>
          <w:tcPr>
            <w:tcW w:w="10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75.3%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747</w:t>
            </w:r>
          </w:p>
        </w:tc>
        <w:tc>
          <w:tcPr>
            <w:tcW w:w="8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66.9%</w:t>
            </w:r>
          </w:p>
        </w:tc>
        <w:tc>
          <w:tcPr>
            <w:tcW w:w="1876" w:type="dxa"/>
            <w:tcBorders>
              <w:top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Adenocarcinoma, poorly d.</w:t>
            </w:r>
          </w:p>
        </w:tc>
        <w:tc>
          <w:tcPr>
            <w:tcW w:w="688" w:type="dxa"/>
            <w:tcBorders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872</w:t>
            </w:r>
          </w:p>
        </w:tc>
        <w:tc>
          <w:tcPr>
            <w:tcW w:w="1004" w:type="dxa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11.3%</w:t>
            </w:r>
          </w:p>
        </w:tc>
        <w:tc>
          <w:tcPr>
            <w:tcW w:w="8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171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15.3%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1.661 (1.382-1.997)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1.294 (1.059-1.580)</w:t>
            </w: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Mucinous carcinoma</w:t>
            </w:r>
          </w:p>
        </w:tc>
        <w:tc>
          <w:tcPr>
            <w:tcW w:w="688" w:type="dxa"/>
            <w:tcBorders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894</w:t>
            </w:r>
          </w:p>
        </w:tc>
        <w:tc>
          <w:tcPr>
            <w:tcW w:w="1004" w:type="dxa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11.5%</w:t>
            </w:r>
          </w:p>
        </w:tc>
        <w:tc>
          <w:tcPr>
            <w:tcW w:w="8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152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13.6%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1.395 (1.153-1.688)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1.506 (1.231-1.843)</w:t>
            </w: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Signet ring cell carcinoma</w:t>
            </w:r>
          </w:p>
        </w:tc>
        <w:tc>
          <w:tcPr>
            <w:tcW w:w="688" w:type="dxa"/>
            <w:tcBorders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78</w:t>
            </w:r>
          </w:p>
        </w:tc>
        <w:tc>
          <w:tcPr>
            <w:tcW w:w="1004" w:type="dxa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1.0%</w:t>
            </w:r>
          </w:p>
        </w:tc>
        <w:tc>
          <w:tcPr>
            <w:tcW w:w="8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2.9%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4.737 (2.998-7.487)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3.633 (2.214-5.961)</w:t>
            </w: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Other carcinoma’s</w:t>
            </w:r>
          </w:p>
        </w:tc>
        <w:tc>
          <w:tcPr>
            <w:tcW w:w="6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67</w:t>
            </w:r>
          </w:p>
        </w:tc>
        <w:tc>
          <w:tcPr>
            <w:tcW w:w="10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0.9%</w:t>
            </w:r>
          </w:p>
        </w:tc>
        <w:tc>
          <w:tcPr>
            <w:tcW w:w="8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14</w:t>
            </w:r>
          </w:p>
        </w:tc>
        <w:tc>
          <w:tcPr>
            <w:tcW w:w="8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1.3%</w:t>
            </w:r>
          </w:p>
        </w:tc>
        <w:tc>
          <w:tcPr>
            <w:tcW w:w="1876" w:type="dxa"/>
            <w:tcBorders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1.799 (0.993-3.258)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1.819 (0.967-3.421)</w:t>
            </w:r>
          </w:p>
        </w:tc>
      </w:tr>
      <w:tr w:rsidR="00845462" w:rsidRPr="0041725F" w:rsidTr="00845462">
        <w:trPr>
          <w:trHeight w:val="20"/>
        </w:trPr>
        <w:tc>
          <w:tcPr>
            <w:tcW w:w="22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Lymphatic or vascular invasion</w:t>
            </w:r>
          </w:p>
        </w:tc>
        <w:tc>
          <w:tcPr>
            <w:tcW w:w="156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Absent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5539</w:t>
            </w:r>
          </w:p>
        </w:tc>
        <w:tc>
          <w:tcPr>
            <w:tcW w:w="10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71.5%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593</w:t>
            </w:r>
          </w:p>
        </w:tc>
        <w:tc>
          <w:tcPr>
            <w:tcW w:w="8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53.1%</w:t>
            </w:r>
          </w:p>
        </w:tc>
        <w:tc>
          <w:tcPr>
            <w:tcW w:w="1876" w:type="dxa"/>
            <w:tcBorders>
              <w:top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20"/>
        </w:trPr>
        <w:tc>
          <w:tcPr>
            <w:tcW w:w="222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6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Present</w:t>
            </w:r>
          </w:p>
        </w:tc>
        <w:tc>
          <w:tcPr>
            <w:tcW w:w="6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2019</w:t>
            </w:r>
          </w:p>
        </w:tc>
        <w:tc>
          <w:tcPr>
            <w:tcW w:w="10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26.1%</w:t>
            </w:r>
          </w:p>
        </w:tc>
        <w:tc>
          <w:tcPr>
            <w:tcW w:w="8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484</w:t>
            </w:r>
          </w:p>
        </w:tc>
        <w:tc>
          <w:tcPr>
            <w:tcW w:w="8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43.4%</w:t>
            </w:r>
          </w:p>
        </w:tc>
        <w:tc>
          <w:tcPr>
            <w:tcW w:w="1876" w:type="dxa"/>
            <w:tcBorders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2.630 (2.302-3.004)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1.839 (1.576-2.146)</w:t>
            </w: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Lymph node status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N0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4368</w:t>
            </w:r>
          </w:p>
        </w:tc>
        <w:tc>
          <w:tcPr>
            <w:tcW w:w="10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56.4%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403</w:t>
            </w:r>
          </w:p>
        </w:tc>
        <w:tc>
          <w:tcPr>
            <w:tcW w:w="8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36.1%</w:t>
            </w:r>
          </w:p>
        </w:tc>
        <w:tc>
          <w:tcPr>
            <w:tcW w:w="1876" w:type="dxa"/>
            <w:tcBorders>
              <w:top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</w:tr>
      <w:tr w:rsidR="00845462" w:rsidRPr="0041725F" w:rsidTr="00845462">
        <w:trPr>
          <w:trHeight w:val="89"/>
        </w:trPr>
        <w:tc>
          <w:tcPr>
            <w:tcW w:w="124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N1</w:t>
            </w:r>
          </w:p>
        </w:tc>
        <w:tc>
          <w:tcPr>
            <w:tcW w:w="688" w:type="dxa"/>
            <w:tcBorders>
              <w:lef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2205</w:t>
            </w:r>
          </w:p>
        </w:tc>
        <w:tc>
          <w:tcPr>
            <w:tcW w:w="1004" w:type="dxa"/>
            <w:tcBorders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28.5%</w:t>
            </w:r>
          </w:p>
        </w:tc>
        <w:tc>
          <w:tcPr>
            <w:tcW w:w="8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400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35.8%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2.180 (1.878-2.531)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1.921 (1.637-2.255)</w:t>
            </w:r>
          </w:p>
        </w:tc>
      </w:tr>
      <w:tr w:rsidR="00845462" w:rsidRPr="0041725F" w:rsidTr="00845462">
        <w:trPr>
          <w:trHeight w:val="20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N2</w:t>
            </w:r>
          </w:p>
        </w:tc>
        <w:tc>
          <w:tcPr>
            <w:tcW w:w="6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1172</w:t>
            </w:r>
          </w:p>
        </w:tc>
        <w:tc>
          <w:tcPr>
            <w:tcW w:w="10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15.1%</w:t>
            </w:r>
          </w:p>
        </w:tc>
        <w:tc>
          <w:tcPr>
            <w:tcW w:w="8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313</w:t>
            </w:r>
          </w:p>
        </w:tc>
        <w:tc>
          <w:tcPr>
            <w:tcW w:w="8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sz w:val="20"/>
                <w:szCs w:val="20"/>
                <w:lang w:val="en-GB"/>
              </w:rPr>
              <w:t>28.0%</w:t>
            </w:r>
          </w:p>
        </w:tc>
        <w:tc>
          <w:tcPr>
            <w:tcW w:w="1876" w:type="dxa"/>
            <w:tcBorders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3.585 (3.040-4.228)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:rsidR="00845462" w:rsidRPr="0041725F" w:rsidRDefault="00845462" w:rsidP="00845462">
            <w:pPr>
              <w:pStyle w:val="Geenafstand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41725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2.477 (2.047-2.997)</w:t>
            </w:r>
          </w:p>
        </w:tc>
      </w:tr>
    </w:tbl>
    <w:p w:rsidR="00A9729C" w:rsidRPr="0041725F" w:rsidRDefault="00A9729C" w:rsidP="00536A1C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</w:p>
    <w:p w:rsidR="00845462" w:rsidRPr="0041725F" w:rsidRDefault="00845462" w:rsidP="00A9729C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</w:p>
    <w:p w:rsidR="001D691C" w:rsidRPr="0041725F" w:rsidRDefault="00A9729C" w:rsidP="00A9729C">
      <w:pPr>
        <w:spacing w:line="480" w:lineRule="auto"/>
        <w:rPr>
          <w:sz w:val="20"/>
          <w:szCs w:val="20"/>
          <w:lang w:val="en-US"/>
        </w:rPr>
      </w:pPr>
      <w:r w:rsidRPr="003A74EE">
        <w:rPr>
          <w:rFonts w:ascii="Times New Roman" w:hAnsi="Times New Roman"/>
          <w:b/>
          <w:sz w:val="20"/>
          <w:szCs w:val="20"/>
          <w:lang w:val="en-GB"/>
        </w:rPr>
        <w:t>Suppl. table 3</w:t>
      </w:r>
      <w:r w:rsidRPr="0041725F">
        <w:rPr>
          <w:rFonts w:ascii="Times New Roman" w:hAnsi="Times New Roman"/>
          <w:sz w:val="20"/>
          <w:szCs w:val="20"/>
          <w:lang w:val="en-GB"/>
        </w:rPr>
        <w:t xml:space="preserve"> Baseline characteristics and case mix for pT3 and pT4a colon cancer patients. Abbreviations: adenocarcinoma w./m. d.: adenocarcinoma, well/moderately differentiated; adenocarcinoma poorly d.: adenocarcinoma poorly differentiated.</w:t>
      </w:r>
      <w:r w:rsidRPr="0041725F">
        <w:rPr>
          <w:rFonts w:ascii="Times New Roman" w:hAnsi="Times New Roman"/>
          <w:i/>
          <w:sz w:val="20"/>
          <w:szCs w:val="20"/>
          <w:lang w:val="en-GB"/>
        </w:rPr>
        <w:t xml:space="preserve"> </w:t>
      </w:r>
      <w:r w:rsidRPr="0041725F">
        <w:rPr>
          <w:rFonts w:ascii="Times New Roman" w:hAnsi="Times New Roman"/>
          <w:sz w:val="20"/>
          <w:szCs w:val="20"/>
          <w:lang w:val="en-GB"/>
        </w:rPr>
        <w:t xml:space="preserve">OR: odds ratio. </w:t>
      </w:r>
    </w:p>
    <w:sectPr w:rsidR="001D691C" w:rsidRPr="00417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1C"/>
    <w:rsid w:val="003A74EE"/>
    <w:rsid w:val="0041725F"/>
    <w:rsid w:val="00536A1C"/>
    <w:rsid w:val="005E2E89"/>
    <w:rsid w:val="006D730B"/>
    <w:rsid w:val="00845462"/>
    <w:rsid w:val="009559D8"/>
    <w:rsid w:val="009A7698"/>
    <w:rsid w:val="009B589F"/>
    <w:rsid w:val="00A9729C"/>
    <w:rsid w:val="00C228C8"/>
    <w:rsid w:val="00C36423"/>
    <w:rsid w:val="00FF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;"/>
  <w:listSeparator w:val=","/>
  <w14:docId w14:val="4AC1286A"/>
  <w15:chartTrackingRefBased/>
  <w15:docId w15:val="{D64D0AE8-EBBB-425D-9595-8FC8E9C6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36A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536A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Geenafstand">
    <w:name w:val="No Spacing"/>
    <w:uiPriority w:val="1"/>
    <w:qFormat/>
    <w:rsid w:val="00536A1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665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C.E.L. Klaver</dc:creator>
  <cp:keywords/>
  <dc:description/>
  <cp:lastModifiedBy>C.E.L. Klaver</cp:lastModifiedBy>
  <cp:revision>4</cp:revision>
  <dcterms:created xsi:type="dcterms:W3CDTF">2019-03-29T13:18:00Z</dcterms:created>
  <dcterms:modified xsi:type="dcterms:W3CDTF">2019-03-29T13:20:00Z</dcterms:modified>
</cp:coreProperties>
</file>