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6D" w:rsidRPr="00590903" w:rsidRDefault="00E9516D" w:rsidP="00E9516D">
      <w:pPr>
        <w:shd w:val="clear" w:color="auto" w:fill="FFFFFF" w:themeFill="background1"/>
        <w:spacing w:line="480" w:lineRule="auto"/>
        <w:jc w:val="both"/>
        <w:outlineLvl w:val="3"/>
        <w:rPr>
          <w:rFonts w:ascii="Arial" w:hAnsi="Arial" w:cs="Arial"/>
          <w:b/>
          <w:bCs/>
        </w:rPr>
      </w:pPr>
      <w:r w:rsidRPr="6ABABA04">
        <w:rPr>
          <w:rFonts w:ascii="Arial" w:hAnsi="Arial" w:cs="Arial"/>
          <w:b/>
          <w:bCs/>
        </w:rPr>
        <w:t>Supplementary Material</w:t>
      </w:r>
    </w:p>
    <w:p w:rsidR="00E9516D" w:rsidRDefault="00E9516D" w:rsidP="00E9516D">
      <w:pPr>
        <w:spacing w:line="480" w:lineRule="auto"/>
        <w:jc w:val="both"/>
        <w:rPr>
          <w:rFonts w:eastAsiaTheme="minorEastAsia"/>
          <w:b/>
          <w:bCs/>
          <w:u w:val="single"/>
        </w:rPr>
      </w:pPr>
    </w:p>
    <w:p w:rsidR="00E9516D" w:rsidRPr="00EA3A91" w:rsidRDefault="00E9516D" w:rsidP="00E9516D">
      <w:pPr>
        <w:spacing w:line="480" w:lineRule="auto"/>
        <w:jc w:val="both"/>
        <w:rPr>
          <w:rFonts w:eastAsiaTheme="minorEastAsia"/>
          <w:b/>
          <w:bCs/>
          <w:u w:val="single"/>
        </w:rPr>
      </w:pPr>
      <w:r w:rsidRPr="6ABABA04">
        <w:rPr>
          <w:rFonts w:eastAsiaTheme="minorEastAsia"/>
          <w:b/>
          <w:bCs/>
          <w:u w:val="single"/>
        </w:rPr>
        <w:t>Supplementary methods:</w:t>
      </w:r>
    </w:p>
    <w:p w:rsidR="00E9516D" w:rsidRPr="008D57A5" w:rsidRDefault="00E9516D" w:rsidP="00E9516D">
      <w:pPr>
        <w:spacing w:line="480" w:lineRule="auto"/>
        <w:jc w:val="both"/>
        <w:rPr>
          <w:rFonts w:eastAsiaTheme="minorEastAsia"/>
          <w:bCs/>
        </w:rPr>
      </w:pPr>
      <w:proofErr w:type="gramStart"/>
      <w:r>
        <w:rPr>
          <w:rFonts w:eastAsiaTheme="minorEastAsia"/>
          <w:b/>
          <w:bCs/>
        </w:rPr>
        <w:t>Orientation of the pancreas</w:t>
      </w:r>
      <w:r w:rsidRPr="0E1EFC6A">
        <w:rPr>
          <w:rFonts w:eastAsiaTheme="minorEastAsia"/>
          <w:b/>
          <w:bCs/>
        </w:rPr>
        <w:t>.</w:t>
      </w:r>
      <w:proofErr w:type="gramEnd"/>
      <w:r>
        <w:rPr>
          <w:rFonts w:eastAsiaTheme="minorEastAsia"/>
          <w:bCs/>
        </w:rPr>
        <w:t xml:space="preserve"> The ventral pancreas was defined by anatomy at the time of resection of the different tissue blocks and has been confirmed afterward by pancreatic polypeptide immunohistochemistry.</w:t>
      </w:r>
    </w:p>
    <w:p w:rsidR="00E9516D" w:rsidRDefault="00E9516D" w:rsidP="00E9516D">
      <w:pPr>
        <w:spacing w:line="480" w:lineRule="auto"/>
        <w:jc w:val="both"/>
        <w:rPr>
          <w:rFonts w:eastAsiaTheme="minorEastAsia"/>
          <w:b/>
          <w:bCs/>
        </w:rPr>
      </w:pPr>
    </w:p>
    <w:p w:rsidR="00E9516D" w:rsidRPr="00F67369" w:rsidRDefault="00E9516D" w:rsidP="00E9516D">
      <w:pPr>
        <w:spacing w:line="480" w:lineRule="auto"/>
        <w:jc w:val="both"/>
        <w:rPr>
          <w:lang w:val="en-GB"/>
        </w:rPr>
      </w:pPr>
      <w:proofErr w:type="gramStart"/>
      <w:r w:rsidRPr="0E1EFC6A">
        <w:rPr>
          <w:rFonts w:eastAsiaTheme="minorEastAsia"/>
          <w:b/>
          <w:bCs/>
        </w:rPr>
        <w:t>Immunohistochemistry.</w:t>
      </w:r>
      <w:proofErr w:type="gramEnd"/>
      <w:r w:rsidRPr="0E1EFC6A">
        <w:rPr>
          <w:rFonts w:eastAsiaTheme="minorEastAsia"/>
        </w:rPr>
        <w:t xml:space="preserve"> </w:t>
      </w:r>
      <w:r>
        <w:t xml:space="preserve">4 µm sections of the paraffin-embedded tissue blocks and/or </w:t>
      </w:r>
      <w:proofErr w:type="spellStart"/>
      <w:r>
        <w:t>cryoblocks</w:t>
      </w:r>
      <w:proofErr w:type="spellEnd"/>
      <w:r>
        <w:t xml:space="preserve"> were immunohistochemically stained as followed: (1) </w:t>
      </w:r>
      <w:r w:rsidRPr="0E1EFC6A">
        <w:rPr>
          <w:lang w:val="en-GB"/>
        </w:rPr>
        <w:t xml:space="preserve">To quantify the insulin-containing islets, insulin-deficient islets, the </w:t>
      </w:r>
      <w:r>
        <w:rPr>
          <w:lang w:val="en-GB"/>
        </w:rPr>
        <w:t>number</w:t>
      </w:r>
      <w:r w:rsidRPr="0E1EFC6A">
        <w:rPr>
          <w:lang w:val="en-GB"/>
        </w:rPr>
        <w:t xml:space="preserve"> of islets with insulitis and the relative beta and alpha cell area, we used triple immunofluorescent staining for guinea-pig anti-insulin (</w:t>
      </w:r>
      <w:r>
        <w:rPr>
          <w:lang w:val="en-GB"/>
        </w:rPr>
        <w:t xml:space="preserve">1:4000; </w:t>
      </w:r>
      <w:r w:rsidRPr="00642A7E">
        <w:t>DRC; VUB; Brussels; Belgium</w:t>
      </w:r>
      <w:r>
        <w:t>)</w:t>
      </w:r>
      <w:r w:rsidRPr="0E1EFC6A">
        <w:rPr>
          <w:lang w:val="en-GB"/>
        </w:rPr>
        <w:t xml:space="preserve">, </w:t>
      </w:r>
      <w:r>
        <w:t xml:space="preserve">rabbit anti-glucagon (1:2000; </w:t>
      </w:r>
      <w:r w:rsidRPr="00642A7E">
        <w:t>DRC</w:t>
      </w:r>
      <w:r>
        <w:t>)</w:t>
      </w:r>
      <w:r w:rsidRPr="0E1EFC6A">
        <w:rPr>
          <w:lang w:val="en-GB"/>
        </w:rPr>
        <w:t xml:space="preserve"> and </w:t>
      </w:r>
      <w:r>
        <w:t xml:space="preserve">mouse anti-CD45 (1:50; clone 2B11+PD7/26; </w:t>
      </w:r>
      <w:r w:rsidRPr="00642A7E">
        <w:t xml:space="preserve">Agilent Technologies; </w:t>
      </w:r>
      <w:proofErr w:type="spellStart"/>
      <w:r w:rsidRPr="00642A7E">
        <w:t>Heverlee</w:t>
      </w:r>
      <w:proofErr w:type="spellEnd"/>
      <w:r w:rsidRPr="00642A7E">
        <w:t>; Belgium</w:t>
      </w:r>
      <w:r>
        <w:t>)</w:t>
      </w:r>
      <w:r w:rsidRPr="0E1EFC6A">
        <w:rPr>
          <w:lang w:val="en-GB"/>
        </w:rPr>
        <w:t xml:space="preserve">. This staining was performed on at least 10 paraffin sections </w:t>
      </w:r>
      <w:r>
        <w:rPr>
          <w:lang w:val="en-GB"/>
        </w:rPr>
        <w:t xml:space="preserve">(5 sections/tissue block) </w:t>
      </w:r>
      <w:r w:rsidRPr="0E1EFC6A">
        <w:rPr>
          <w:lang w:val="en-GB"/>
        </w:rPr>
        <w:t xml:space="preserve">of each part of the pancreas with a distance of 160 </w:t>
      </w:r>
      <w:r w:rsidRPr="0E1EFC6A">
        <w:rPr>
          <w:rFonts w:cs="Cambria"/>
          <w:lang w:val="en-GB"/>
        </w:rPr>
        <w:t>µ</w:t>
      </w:r>
      <w:r w:rsidRPr="0E1EFC6A">
        <w:rPr>
          <w:lang w:val="en-GB"/>
        </w:rPr>
        <w:t xml:space="preserve">m between each section. </w:t>
      </w:r>
      <w:r w:rsidRPr="009E5B51">
        <w:rPr>
          <w:lang w:val="en-GB"/>
        </w:rPr>
        <w:t xml:space="preserve">(2) To characterize the composition of the </w:t>
      </w:r>
      <w:proofErr w:type="spellStart"/>
      <w:r w:rsidRPr="009E5B51">
        <w:rPr>
          <w:lang w:val="en-GB"/>
        </w:rPr>
        <w:t>insulitic</w:t>
      </w:r>
      <w:proofErr w:type="spellEnd"/>
      <w:r w:rsidRPr="009E5B51">
        <w:rPr>
          <w:lang w:val="en-GB"/>
        </w:rPr>
        <w:t xml:space="preserve"> lesions, consecutive paraffin sections of the sections with insulitis were </w:t>
      </w:r>
      <w:r>
        <w:rPr>
          <w:lang w:val="en-GB"/>
        </w:rPr>
        <w:t xml:space="preserve">triple </w:t>
      </w:r>
      <w:r w:rsidRPr="009E5B51">
        <w:rPr>
          <w:lang w:val="en-GB"/>
        </w:rPr>
        <w:t xml:space="preserve">stained for </w:t>
      </w:r>
      <w:r>
        <w:rPr>
          <w:lang w:val="en-GB"/>
        </w:rPr>
        <w:t>guinea pig anti-</w:t>
      </w:r>
      <w:r w:rsidRPr="009E5B51">
        <w:rPr>
          <w:lang w:val="en-GB"/>
        </w:rPr>
        <w:t>insulin</w:t>
      </w:r>
      <w:r>
        <w:rPr>
          <w:lang w:val="en-GB"/>
        </w:rPr>
        <w:t xml:space="preserve"> and</w:t>
      </w:r>
      <w:r w:rsidRPr="009E5B51">
        <w:rPr>
          <w:lang w:val="en-GB"/>
        </w:rPr>
        <w:t xml:space="preserve"> </w:t>
      </w:r>
      <w:r>
        <w:rPr>
          <w:lang w:val="en-GB"/>
        </w:rPr>
        <w:t>rabbit anti-</w:t>
      </w:r>
      <w:r w:rsidRPr="009E5B51">
        <w:rPr>
          <w:lang w:val="en-GB"/>
        </w:rPr>
        <w:t xml:space="preserve">CD3 </w:t>
      </w:r>
      <w:r w:rsidRPr="009E5B51">
        <w:rPr>
          <w:color w:val="000000" w:themeColor="text1"/>
        </w:rPr>
        <w:t>(</w:t>
      </w:r>
      <w:r>
        <w:rPr>
          <w:color w:val="000000" w:themeColor="text1"/>
        </w:rPr>
        <w:t xml:space="preserve">1:25; </w:t>
      </w:r>
      <w:r w:rsidRPr="00642A7E">
        <w:t>Agilent Technologies</w:t>
      </w:r>
      <w:r w:rsidRPr="009E5B51">
        <w:rPr>
          <w:color w:val="000000" w:themeColor="text1"/>
        </w:rPr>
        <w:t>)</w:t>
      </w:r>
      <w:r>
        <w:t xml:space="preserve"> in combination with </w:t>
      </w:r>
      <w:r>
        <w:rPr>
          <w:lang w:val="en-GB"/>
        </w:rPr>
        <w:t>mouse anti-</w:t>
      </w:r>
      <w:r w:rsidRPr="009E5B51">
        <w:rPr>
          <w:lang w:val="en-GB"/>
        </w:rPr>
        <w:t>CD68 (</w:t>
      </w:r>
      <w:r>
        <w:rPr>
          <w:lang w:val="en-GB"/>
        </w:rPr>
        <w:t xml:space="preserve">1:50; </w:t>
      </w:r>
      <w:r w:rsidRPr="009E5B51">
        <w:rPr>
          <w:lang w:val="en-GB"/>
        </w:rPr>
        <w:t xml:space="preserve">clone KP1; </w:t>
      </w:r>
      <w:r w:rsidRPr="00642A7E">
        <w:t>Agilent Technologies</w:t>
      </w:r>
      <w:r w:rsidRPr="009E5B51">
        <w:rPr>
          <w:lang w:val="en-GB"/>
        </w:rPr>
        <w:t xml:space="preserve">), </w:t>
      </w:r>
      <w:r>
        <w:rPr>
          <w:lang w:val="en-GB"/>
        </w:rPr>
        <w:t>mouse anti-</w:t>
      </w:r>
      <w:r w:rsidRPr="009E5B51">
        <w:rPr>
          <w:lang w:val="en-GB"/>
        </w:rPr>
        <w:t xml:space="preserve">CD8 </w:t>
      </w:r>
      <w:r w:rsidRPr="009E5B51">
        <w:t>(</w:t>
      </w:r>
      <w:r>
        <w:t xml:space="preserve">1:10; </w:t>
      </w:r>
      <w:r w:rsidRPr="009E5B51">
        <w:t xml:space="preserve">clone 1A5; </w:t>
      </w:r>
      <w:proofErr w:type="spellStart"/>
      <w:r w:rsidRPr="009E5B51">
        <w:t>Novocastra</w:t>
      </w:r>
      <w:proofErr w:type="spellEnd"/>
      <w:r w:rsidRPr="009E5B51">
        <w:t xml:space="preserve"> Reagents; Leica Microsystems; </w:t>
      </w:r>
      <w:proofErr w:type="spellStart"/>
      <w:r w:rsidRPr="009E5B51">
        <w:t>Wetzlar</w:t>
      </w:r>
      <w:proofErr w:type="spellEnd"/>
      <w:r w:rsidRPr="009E5B51">
        <w:t>; Germany)</w:t>
      </w:r>
      <w:r w:rsidRPr="009E5B51">
        <w:rPr>
          <w:lang w:val="en-GB"/>
        </w:rPr>
        <w:t xml:space="preserve">, </w:t>
      </w:r>
      <w:r>
        <w:rPr>
          <w:lang w:val="en-GB"/>
        </w:rPr>
        <w:t>mouse anti-</w:t>
      </w:r>
      <w:r w:rsidRPr="009E5B51">
        <w:rPr>
          <w:lang w:val="en-GB"/>
        </w:rPr>
        <w:t xml:space="preserve">CD20 </w:t>
      </w:r>
      <w:r w:rsidRPr="009E5B51">
        <w:t>(</w:t>
      </w:r>
      <w:r>
        <w:t xml:space="preserve">1:400; </w:t>
      </w:r>
      <w:r w:rsidRPr="009E5B51">
        <w:t xml:space="preserve">clone L26; </w:t>
      </w:r>
      <w:r w:rsidRPr="00642A7E">
        <w:t>Agilent Technologies</w:t>
      </w:r>
      <w:r w:rsidRPr="009E5B51">
        <w:t>)</w:t>
      </w:r>
      <w:r>
        <w:t>,</w:t>
      </w:r>
      <w:r w:rsidRPr="009E5B51">
        <w:rPr>
          <w:lang w:val="en-GB"/>
        </w:rPr>
        <w:t xml:space="preserve"> </w:t>
      </w:r>
      <w:r>
        <w:rPr>
          <w:lang w:val="en-GB"/>
        </w:rPr>
        <w:t>or</w:t>
      </w:r>
      <w:r w:rsidRPr="009E5B51">
        <w:rPr>
          <w:lang w:val="en-GB"/>
        </w:rPr>
        <w:t xml:space="preserve"> </w:t>
      </w:r>
      <w:r>
        <w:rPr>
          <w:lang w:val="en-GB"/>
        </w:rPr>
        <w:t>rabbit anti-</w:t>
      </w:r>
      <w:r w:rsidRPr="009E5B51">
        <w:rPr>
          <w:lang w:val="en-GB"/>
        </w:rPr>
        <w:t xml:space="preserve">CD4 </w:t>
      </w:r>
      <w:r>
        <w:t xml:space="preserve">(ready-to-use; clone SP35; </w:t>
      </w:r>
      <w:proofErr w:type="spellStart"/>
      <w:r>
        <w:t>Ventana</w:t>
      </w:r>
      <w:proofErr w:type="spellEnd"/>
      <w:r>
        <w:t>; Tucson; AZ; USA)</w:t>
      </w:r>
      <w:r w:rsidRPr="009E5B51">
        <w:rPr>
          <w:lang w:val="en-GB"/>
        </w:rPr>
        <w:t>.</w:t>
      </w:r>
      <w:r>
        <w:rPr>
          <w:lang w:val="en-GB"/>
        </w:rPr>
        <w:t xml:space="preserve"> </w:t>
      </w:r>
      <w:r w:rsidRPr="0E1EFC6A">
        <w:rPr>
          <w:lang w:val="en-GB"/>
        </w:rPr>
        <w:t xml:space="preserve">(3) To quantify proliferating </w:t>
      </w:r>
      <w:r w:rsidRPr="0E1EFC6A">
        <w:rPr>
          <w:rFonts w:cs="Cambria"/>
          <w:lang w:val="en-GB"/>
        </w:rPr>
        <w:t xml:space="preserve">beta </w:t>
      </w:r>
      <w:r w:rsidRPr="0E1EFC6A">
        <w:rPr>
          <w:lang w:val="en-GB"/>
        </w:rPr>
        <w:t xml:space="preserve">cells, we used double immunofluorescent staining for </w:t>
      </w:r>
      <w:r>
        <w:rPr>
          <w:lang w:val="en-GB"/>
        </w:rPr>
        <w:t>guinea pig anti-</w:t>
      </w:r>
      <w:r w:rsidRPr="0E1EFC6A">
        <w:rPr>
          <w:lang w:val="en-GB"/>
        </w:rPr>
        <w:t xml:space="preserve">insulin and </w:t>
      </w:r>
      <w:r>
        <w:t xml:space="preserve">rabbit anti-Ki67 (1:100; clone SP6; </w:t>
      </w:r>
      <w:proofErr w:type="spellStart"/>
      <w:r>
        <w:t>Acris</w:t>
      </w:r>
      <w:proofErr w:type="spellEnd"/>
      <w:r>
        <w:t xml:space="preserve"> Antibodies GmbH; Herford; </w:t>
      </w:r>
      <w:r>
        <w:lastRenderedPageBreak/>
        <w:t>Germany) on paraffin sections from both the corpus and tail part of the pancreas</w:t>
      </w:r>
      <w:r w:rsidRPr="0E1EFC6A">
        <w:rPr>
          <w:lang w:val="en-GB"/>
        </w:rPr>
        <w:t xml:space="preserve">. </w:t>
      </w:r>
      <w:r>
        <w:rPr>
          <w:lang w:val="en-GB"/>
        </w:rPr>
        <w:t xml:space="preserve">(4) To screen for massive </w:t>
      </w:r>
      <w:proofErr w:type="spellStart"/>
      <w:r>
        <w:rPr>
          <w:lang w:val="en-GB"/>
        </w:rPr>
        <w:t>leucocytic</w:t>
      </w:r>
      <w:proofErr w:type="spellEnd"/>
      <w:r>
        <w:rPr>
          <w:lang w:val="en-GB"/>
        </w:rPr>
        <w:t xml:space="preserve"> infiltrates, every 40</w:t>
      </w:r>
      <w:r w:rsidRPr="006C0C32">
        <w:rPr>
          <w:vertAlign w:val="superscript"/>
          <w:lang w:val="en-GB"/>
        </w:rPr>
        <w:t>th</w:t>
      </w:r>
      <w:r>
        <w:rPr>
          <w:lang w:val="en-GB"/>
        </w:rPr>
        <w:t xml:space="preserve"> section of five (4 paraffin and 1 frozen) tissue blocks from the tail was stained for mouse anti-CD45 in combination with rabbit anti-</w:t>
      </w:r>
      <w:proofErr w:type="spellStart"/>
      <w:r>
        <w:rPr>
          <w:lang w:val="en-GB"/>
        </w:rPr>
        <w:t>synaptophysin</w:t>
      </w:r>
      <w:proofErr w:type="spellEnd"/>
      <w:r>
        <w:rPr>
          <w:lang w:val="en-GB"/>
        </w:rPr>
        <w:t xml:space="preserve"> (1:5000; </w:t>
      </w:r>
      <w:proofErr w:type="spellStart"/>
      <w:r>
        <w:rPr>
          <w:lang w:val="en-GB"/>
        </w:rPr>
        <w:t>Acris</w:t>
      </w:r>
      <w:proofErr w:type="spellEnd"/>
      <w:r>
        <w:rPr>
          <w:lang w:val="en-GB"/>
        </w:rPr>
        <w:t xml:space="preserve">). </w:t>
      </w:r>
      <w:r w:rsidRPr="0E1EFC6A">
        <w:rPr>
          <w:lang w:val="en-GB"/>
        </w:rPr>
        <w:t>(</w:t>
      </w:r>
      <w:r>
        <w:rPr>
          <w:lang w:val="en-GB"/>
        </w:rPr>
        <w:t>5</w:t>
      </w:r>
      <w:r w:rsidRPr="0E1EFC6A">
        <w:rPr>
          <w:lang w:val="en-GB"/>
        </w:rPr>
        <w:t xml:space="preserve">) </w:t>
      </w:r>
      <w:r>
        <w:rPr>
          <w:lang w:val="en-GB"/>
        </w:rPr>
        <w:t xml:space="preserve">Of two out of three tissues with </w:t>
      </w:r>
      <w:r w:rsidRPr="0E1EFC6A">
        <w:rPr>
          <w:lang w:val="en-GB"/>
        </w:rPr>
        <w:t xml:space="preserve">massive </w:t>
      </w:r>
      <w:proofErr w:type="spellStart"/>
      <w:r w:rsidRPr="0E1EFC6A">
        <w:rPr>
          <w:lang w:val="en-GB"/>
        </w:rPr>
        <w:t>leucocytic</w:t>
      </w:r>
      <w:proofErr w:type="spellEnd"/>
      <w:r w:rsidRPr="0E1EFC6A">
        <w:rPr>
          <w:lang w:val="en-GB"/>
        </w:rPr>
        <w:t xml:space="preserve"> infiltrates </w:t>
      </w:r>
      <w:r>
        <w:rPr>
          <w:lang w:val="en-GB"/>
        </w:rPr>
        <w:t>suspect for TLSs, sufficient sections remained to</w:t>
      </w:r>
      <w:r w:rsidRPr="0E1EFC6A">
        <w:rPr>
          <w:lang w:val="en-GB"/>
        </w:rPr>
        <w:t xml:space="preserve"> characterize </w:t>
      </w:r>
      <w:r>
        <w:rPr>
          <w:lang w:val="en-GB"/>
        </w:rPr>
        <w:t xml:space="preserve">these structures in detail by using </w:t>
      </w:r>
      <w:r w:rsidRPr="0E1EFC6A">
        <w:rPr>
          <w:lang w:val="en-GB"/>
        </w:rPr>
        <w:t xml:space="preserve">consecutive paraffin- and </w:t>
      </w:r>
      <w:proofErr w:type="spellStart"/>
      <w:r w:rsidRPr="0E1EFC6A">
        <w:rPr>
          <w:lang w:val="en-GB"/>
        </w:rPr>
        <w:t>cryo</w:t>
      </w:r>
      <w:proofErr w:type="spellEnd"/>
      <w:r w:rsidRPr="0E1EFC6A">
        <w:rPr>
          <w:lang w:val="en-GB"/>
        </w:rPr>
        <w:t>-sections</w:t>
      </w:r>
      <w:r>
        <w:rPr>
          <w:lang w:val="en-GB"/>
        </w:rPr>
        <w:t xml:space="preserve"> through</w:t>
      </w:r>
      <w:r w:rsidRPr="0E1EFC6A">
        <w:rPr>
          <w:lang w:val="en-GB"/>
        </w:rPr>
        <w:t xml:space="preserve"> stain</w:t>
      </w:r>
      <w:r>
        <w:rPr>
          <w:lang w:val="en-GB"/>
        </w:rPr>
        <w:t>ing</w:t>
      </w:r>
      <w:r w:rsidRPr="0E1EFC6A">
        <w:rPr>
          <w:lang w:val="en-GB"/>
        </w:rPr>
        <w:t xml:space="preserve"> </w:t>
      </w:r>
      <w:r>
        <w:rPr>
          <w:lang w:val="en-GB"/>
        </w:rPr>
        <w:t>with</w:t>
      </w:r>
      <w:r w:rsidRPr="0E1EFC6A">
        <w:rPr>
          <w:lang w:val="en-GB"/>
        </w:rPr>
        <w:t xml:space="preserve"> </w:t>
      </w:r>
      <w:r>
        <w:rPr>
          <w:lang w:val="en-GB"/>
        </w:rPr>
        <w:t>guinea pig anti-</w:t>
      </w:r>
      <w:r w:rsidRPr="0E1EFC6A">
        <w:rPr>
          <w:lang w:val="en-GB"/>
        </w:rPr>
        <w:t xml:space="preserve">insulin, </w:t>
      </w:r>
      <w:r>
        <w:t>rabbit anti-</w:t>
      </w:r>
      <w:r w:rsidRPr="0E1EFC6A">
        <w:rPr>
          <w:color w:val="000000" w:themeColor="text1"/>
        </w:rPr>
        <w:t>CD3,</w:t>
      </w:r>
      <w:r w:rsidRPr="0E1EFC6A">
        <w:rPr>
          <w:lang w:val="en-GB"/>
        </w:rPr>
        <w:t xml:space="preserve"> </w:t>
      </w:r>
      <w:r>
        <w:t>mouse anti-CD20</w:t>
      </w:r>
      <w:r w:rsidRPr="0E1EFC6A">
        <w:rPr>
          <w:lang w:val="en-GB"/>
        </w:rPr>
        <w:t xml:space="preserve">, </w:t>
      </w:r>
      <w:r>
        <w:t>rat anti-MECA-79 (1:50; Santa Cruz Biotechnology; Dallas; TX; USA)</w:t>
      </w:r>
      <w:r w:rsidRPr="0E1EFC6A">
        <w:rPr>
          <w:lang w:val="en-GB"/>
        </w:rPr>
        <w:t xml:space="preserve">, </w:t>
      </w:r>
      <w:r>
        <w:t xml:space="preserve">rabbit anti-CD23 (ready-to-use; clone SP23; </w:t>
      </w:r>
      <w:proofErr w:type="spellStart"/>
      <w:r>
        <w:t>Ventana</w:t>
      </w:r>
      <w:proofErr w:type="spellEnd"/>
      <w:r>
        <w:t>)</w:t>
      </w:r>
      <w:r w:rsidRPr="0E1EFC6A">
        <w:rPr>
          <w:lang w:val="en-GB"/>
        </w:rPr>
        <w:t xml:space="preserve"> and </w:t>
      </w:r>
      <w:r>
        <w:t xml:space="preserve">rabbit anti-CD21 (ready-to-use; clone EP3093; </w:t>
      </w:r>
      <w:proofErr w:type="spellStart"/>
      <w:r>
        <w:t>Ventana</w:t>
      </w:r>
      <w:proofErr w:type="spellEnd"/>
      <w:r>
        <w:t>) antibodies</w:t>
      </w:r>
      <w:r w:rsidRPr="0E1EFC6A">
        <w:rPr>
          <w:lang w:val="en-GB"/>
        </w:rPr>
        <w:t>.</w:t>
      </w:r>
      <w:r>
        <w:rPr>
          <w:lang w:val="en-GB"/>
        </w:rPr>
        <w:t xml:space="preserve"> (6) One massive </w:t>
      </w:r>
      <w:proofErr w:type="spellStart"/>
      <w:r>
        <w:rPr>
          <w:lang w:val="en-GB"/>
        </w:rPr>
        <w:t>leucocytic</w:t>
      </w:r>
      <w:proofErr w:type="spellEnd"/>
      <w:r>
        <w:rPr>
          <w:lang w:val="en-GB"/>
        </w:rPr>
        <w:t xml:space="preserve"> infiltrate was found in a 50 µm thick </w:t>
      </w:r>
      <w:proofErr w:type="spellStart"/>
      <w:r>
        <w:rPr>
          <w:lang w:val="en-GB"/>
        </w:rPr>
        <w:t>cryo</w:t>
      </w:r>
      <w:proofErr w:type="spellEnd"/>
      <w:r>
        <w:rPr>
          <w:lang w:val="en-GB"/>
        </w:rPr>
        <w:t>-section stained for guinea pig anti-insulin, rabbit anti-</w:t>
      </w:r>
      <w:r w:rsidRPr="009E5B51">
        <w:rPr>
          <w:lang w:val="en-GB"/>
        </w:rPr>
        <w:t>CD3</w:t>
      </w:r>
      <w:r>
        <w:rPr>
          <w:lang w:val="en-GB"/>
        </w:rPr>
        <w:t xml:space="preserve"> and mouse anti-CD31 </w:t>
      </w:r>
      <w:r w:rsidRPr="009E5B51">
        <w:rPr>
          <w:lang w:val="en-GB"/>
        </w:rPr>
        <w:t>(</w:t>
      </w:r>
      <w:r>
        <w:rPr>
          <w:lang w:val="en-GB"/>
        </w:rPr>
        <w:t xml:space="preserve">1:50; </w:t>
      </w:r>
      <w:r w:rsidRPr="009E5B51">
        <w:rPr>
          <w:lang w:val="en-GB"/>
        </w:rPr>
        <w:t>clone</w:t>
      </w:r>
      <w:r>
        <w:rPr>
          <w:lang w:val="en-GB"/>
        </w:rPr>
        <w:t xml:space="preserve"> </w:t>
      </w:r>
      <w:r w:rsidRPr="001F6DDC">
        <w:rPr>
          <w:lang w:val="en-GB"/>
        </w:rPr>
        <w:t>JC/70A</w:t>
      </w:r>
      <w:r w:rsidRPr="009E5B51">
        <w:rPr>
          <w:lang w:val="en-GB"/>
        </w:rPr>
        <w:t xml:space="preserve">; </w:t>
      </w:r>
      <w:r w:rsidRPr="00642A7E">
        <w:t>Agilent Technologies</w:t>
      </w:r>
      <w:r w:rsidRPr="009E5B51">
        <w:rPr>
          <w:lang w:val="en-GB"/>
        </w:rPr>
        <w:t>)</w:t>
      </w:r>
      <w:r>
        <w:rPr>
          <w:lang w:val="en-GB"/>
        </w:rPr>
        <w:t>.</w:t>
      </w:r>
    </w:p>
    <w:p w:rsidR="00E9516D" w:rsidRDefault="00E9516D" w:rsidP="00E9516D">
      <w:pPr>
        <w:spacing w:line="480" w:lineRule="auto"/>
        <w:jc w:val="both"/>
      </w:pPr>
      <w:r>
        <w:t>Pretreatment was</w:t>
      </w:r>
      <w:r w:rsidRPr="009E5B51">
        <w:t xml:space="preserve"> carried out with Citrate Buffer (pH 6.0; </w:t>
      </w:r>
      <w:proofErr w:type="spellStart"/>
      <w:r w:rsidRPr="009E5B51">
        <w:t>ScyTek</w:t>
      </w:r>
      <w:proofErr w:type="spellEnd"/>
      <w:r w:rsidRPr="009E5B51">
        <w:t xml:space="preserve"> Laboratories; Logan; UT; USA) for anti-Ki67</w:t>
      </w:r>
      <w:r>
        <w:t xml:space="preserve"> and anti-</w:t>
      </w:r>
      <w:proofErr w:type="spellStart"/>
      <w:r>
        <w:t>synaptophysin</w:t>
      </w:r>
      <w:proofErr w:type="spellEnd"/>
      <w:r w:rsidRPr="009E5B51">
        <w:t xml:space="preserve"> or with </w:t>
      </w:r>
      <w:proofErr w:type="spellStart"/>
      <w:r w:rsidRPr="009E5B51">
        <w:t>Tris</w:t>
      </w:r>
      <w:proofErr w:type="spellEnd"/>
      <w:r w:rsidRPr="009E5B51">
        <w:t xml:space="preserve"> EDTA Buffer (</w:t>
      </w:r>
      <w:proofErr w:type="spellStart"/>
      <w:r w:rsidRPr="009E5B51">
        <w:t>Klinipath</w:t>
      </w:r>
      <w:proofErr w:type="spellEnd"/>
      <w:r w:rsidRPr="009E5B51">
        <w:t>; Olen; Belgium) for anti-CD3, anti-CD68, anti-CD8, anti-CD20, anti-CD4</w:t>
      </w:r>
      <w:r>
        <w:t>,</w:t>
      </w:r>
      <w:r w:rsidRPr="009E5B51">
        <w:t xml:space="preserve"> anti-MECA-79</w:t>
      </w:r>
      <w:r>
        <w:t>, and anti-CD31</w:t>
      </w:r>
      <w:r w:rsidRPr="009E5B51">
        <w:t>.</w:t>
      </w:r>
    </w:p>
    <w:p w:rsidR="00E9516D" w:rsidRPr="00642A7E" w:rsidRDefault="00E9516D" w:rsidP="00E9516D">
      <w:pPr>
        <w:spacing w:line="480" w:lineRule="auto"/>
        <w:jc w:val="both"/>
      </w:pPr>
      <w:r>
        <w:t xml:space="preserve">Binding of primary antibodies was detected with immunofluorescence: </w:t>
      </w:r>
      <w:proofErr w:type="spellStart"/>
      <w:r>
        <w:t>DyLight</w:t>
      </w:r>
      <w:proofErr w:type="spellEnd"/>
      <w:r>
        <w:t xml:space="preserve"> 488, </w:t>
      </w:r>
      <w:proofErr w:type="spellStart"/>
      <w:r>
        <w:t>DyLight</w:t>
      </w:r>
      <w:proofErr w:type="spellEnd"/>
      <w:r>
        <w:t xml:space="preserve"> 549 or Alexa Fluor 647 (1:500; Jackson </w:t>
      </w:r>
      <w:proofErr w:type="spellStart"/>
      <w:r>
        <w:t>ImmunoResearch</w:t>
      </w:r>
      <w:proofErr w:type="spellEnd"/>
      <w:r>
        <w:t xml:space="preserve"> Laboratories; West Grove; PA; USA) or with immunohistochemistry: biotinylated Ig (Vector Laboratories; Burlingame; CA; USA) in combination with </w:t>
      </w:r>
      <w:proofErr w:type="spellStart"/>
      <w:r>
        <w:t>Vectastain</w:t>
      </w:r>
      <w:proofErr w:type="spellEnd"/>
      <w:r>
        <w:t xml:space="preserve"> Elite ABC kit or ABC-AP kit (Vector Laboratories) using Liquid DAB+ Substrate Chromogen System and </w:t>
      </w:r>
      <w:proofErr w:type="spellStart"/>
      <w:r>
        <w:t>Fuchsin</w:t>
      </w:r>
      <w:proofErr w:type="spellEnd"/>
      <w:r>
        <w:t>+ Substrate Chromogen System (</w:t>
      </w:r>
      <w:r w:rsidRPr="00642A7E">
        <w:t>Agilent Technologies</w:t>
      </w:r>
      <w:r>
        <w:t>) as substrate.</w:t>
      </w:r>
      <w:r>
        <w:rPr>
          <w:lang w:val="en-GB"/>
        </w:rPr>
        <w:t xml:space="preserve"> </w:t>
      </w:r>
      <w:r w:rsidRPr="00642A7E">
        <w:t>Sections were mounted with fluorescent mounting medium (Agilent Technologies) containing DAPI (10 µg/ml; Sigma-Aldrich) or with PERTEX mounting medium (</w:t>
      </w:r>
      <w:proofErr w:type="spellStart"/>
      <w:r w:rsidRPr="00642A7E">
        <w:t>Histolab</w:t>
      </w:r>
      <w:proofErr w:type="spellEnd"/>
      <w:r w:rsidRPr="00642A7E">
        <w:t xml:space="preserve">; </w:t>
      </w:r>
      <w:proofErr w:type="spellStart"/>
      <w:r w:rsidRPr="00642A7E">
        <w:t>Göteborg</w:t>
      </w:r>
      <w:proofErr w:type="spellEnd"/>
      <w:r w:rsidRPr="00642A7E">
        <w:t>; Sweden).</w:t>
      </w:r>
    </w:p>
    <w:p w:rsidR="00E9516D" w:rsidRDefault="00E9516D" w:rsidP="00E9516D">
      <w:pPr>
        <w:rPr>
          <w:rFonts w:eastAsiaTheme="minorEastAsia"/>
          <w:b/>
          <w:bCs/>
          <w:u w:val="single"/>
        </w:rPr>
      </w:pPr>
      <w:r>
        <w:rPr>
          <w:rFonts w:eastAsiaTheme="minorEastAsia"/>
          <w:b/>
          <w:bCs/>
          <w:u w:val="single"/>
        </w:rPr>
        <w:br w:type="page"/>
      </w:r>
    </w:p>
    <w:p w:rsidR="00E9516D" w:rsidRDefault="00E9516D" w:rsidP="00E9516D">
      <w:pPr>
        <w:spacing w:line="480" w:lineRule="auto"/>
        <w:jc w:val="both"/>
        <w:rPr>
          <w:rFonts w:eastAsiaTheme="minorEastAsia"/>
          <w:b/>
          <w:bCs/>
          <w:u w:val="single"/>
        </w:rPr>
      </w:pPr>
      <w:r w:rsidRPr="6ABABA04">
        <w:rPr>
          <w:rFonts w:eastAsiaTheme="minorEastAsia"/>
          <w:b/>
          <w:bCs/>
          <w:u w:val="single"/>
        </w:rPr>
        <w:lastRenderedPageBreak/>
        <w:t xml:space="preserve">Supplementary </w:t>
      </w:r>
      <w:r>
        <w:rPr>
          <w:rFonts w:eastAsiaTheme="minorEastAsia"/>
          <w:b/>
          <w:bCs/>
          <w:u w:val="single"/>
        </w:rPr>
        <w:t>table</w:t>
      </w:r>
    </w:p>
    <w:p w:rsidR="00E9516D" w:rsidRPr="0045183B" w:rsidRDefault="00E9516D" w:rsidP="00E9516D">
      <w:pPr>
        <w:spacing w:line="480" w:lineRule="auto"/>
        <w:jc w:val="both"/>
      </w:pPr>
      <w:r w:rsidRPr="6ABABA04">
        <w:rPr>
          <w:b/>
          <w:bCs/>
        </w:rPr>
        <w:t xml:space="preserve">Table </w:t>
      </w:r>
      <w:r>
        <w:rPr>
          <w:b/>
          <w:bCs/>
        </w:rPr>
        <w:t>S</w:t>
      </w:r>
      <w:r w:rsidRPr="6ABABA04">
        <w:rPr>
          <w:b/>
          <w:bCs/>
        </w:rPr>
        <w:t>1.</w:t>
      </w:r>
      <w:r>
        <w:t xml:space="preserve"> </w:t>
      </w:r>
      <w:proofErr w:type="gramStart"/>
      <w:r>
        <w:t>Clinical data.</w:t>
      </w:r>
      <w:proofErr w:type="gramEnd"/>
    </w:p>
    <w:tbl>
      <w:tblPr>
        <w:tblStyle w:val="Tabelraster1"/>
        <w:tblW w:w="9322" w:type="dxa"/>
        <w:tblLook w:val="04A0" w:firstRow="1" w:lastRow="0" w:firstColumn="1" w:lastColumn="0" w:noHBand="0" w:noVBand="1"/>
      </w:tblPr>
      <w:tblGrid>
        <w:gridCol w:w="2263"/>
        <w:gridCol w:w="2268"/>
        <w:gridCol w:w="4791"/>
      </w:tblGrid>
      <w:tr w:rsidR="00E9516D" w:rsidRPr="00F80D1F" w:rsidTr="00535CC3"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B02034" w:rsidRDefault="00E9516D" w:rsidP="00535C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4DF8">
              <w:rPr>
                <w:b/>
                <w:lang w:val="en-US"/>
              </w:rPr>
              <w:t>Case number DBB3450, Diabetes Biobank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Brussels</w:t>
            </w:r>
          </w:p>
        </w:tc>
      </w:tr>
      <w:tr w:rsidR="00E9516D" w:rsidRPr="00F80D1F" w:rsidTr="00535CC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80D1F">
              <w:rPr>
                <w:rFonts w:ascii="Times New Roman" w:hAnsi="Times New Roman" w:cs="Times New Roman"/>
                <w:b/>
                <w:lang w:val="en-US"/>
              </w:rPr>
              <w:t>Age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(years)</w:t>
            </w:r>
          </w:p>
        </w:tc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>66</w:t>
            </w:r>
          </w:p>
        </w:tc>
      </w:tr>
      <w:tr w:rsidR="00E9516D" w:rsidRPr="00F80D1F" w:rsidTr="00535CC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80D1F">
              <w:rPr>
                <w:rFonts w:ascii="Times New Roman" w:hAnsi="Times New Roman" w:cs="Times New Roman"/>
                <w:b/>
                <w:lang w:val="en-US"/>
              </w:rPr>
              <w:t>BMI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(weight, length)</w:t>
            </w:r>
          </w:p>
        </w:tc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>22</w:t>
            </w:r>
            <w:r>
              <w:rPr>
                <w:rFonts w:ascii="Times New Roman" w:hAnsi="Times New Roman" w:cs="Times New Roman"/>
                <w:lang w:val="en-US"/>
              </w:rPr>
              <w:t>kg/m²</w:t>
            </w:r>
            <w:r w:rsidRPr="00F80D1F">
              <w:rPr>
                <w:rFonts w:ascii="Times New Roman" w:hAnsi="Times New Roman" w:cs="Times New Roman"/>
                <w:lang w:val="en-US"/>
              </w:rPr>
              <w:t xml:space="preserve"> (55kg; 1m58)</w:t>
            </w:r>
          </w:p>
        </w:tc>
      </w:tr>
      <w:tr w:rsidR="00E9516D" w:rsidRPr="00F80D1F" w:rsidTr="00535CC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80D1F">
              <w:rPr>
                <w:rFonts w:ascii="Times New Roman" w:hAnsi="Times New Roman" w:cs="Times New Roman"/>
                <w:b/>
                <w:lang w:val="en-US"/>
              </w:rPr>
              <w:t>Ethnicity</w:t>
            </w:r>
          </w:p>
        </w:tc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</w:rPr>
              <w:t>Caucasian</w:t>
            </w:r>
          </w:p>
        </w:tc>
      </w:tr>
      <w:tr w:rsidR="00E9516D" w:rsidRPr="00F80D1F" w:rsidTr="00535CC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80D1F">
              <w:rPr>
                <w:rFonts w:ascii="Times New Roman" w:hAnsi="Times New Roman" w:cs="Times New Roman"/>
                <w:b/>
                <w:lang w:val="en-US"/>
              </w:rPr>
              <w:t>HbA1c</w:t>
            </w:r>
          </w:p>
        </w:tc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>13% (118mmol/</w:t>
            </w:r>
            <w:proofErr w:type="spellStart"/>
            <w:r w:rsidRPr="00F80D1F">
              <w:rPr>
                <w:rFonts w:ascii="Times New Roman" w:hAnsi="Times New Roman" w:cs="Times New Roman"/>
                <w:lang w:val="en-US"/>
              </w:rPr>
              <w:t>mol</w:t>
            </w:r>
            <w:proofErr w:type="spellEnd"/>
            <w:r w:rsidRPr="00F80D1F">
              <w:rPr>
                <w:rFonts w:ascii="Times New Roman" w:hAnsi="Times New Roman" w:cs="Times New Roman"/>
                <w:lang w:val="en-US"/>
              </w:rPr>
              <w:t>) at diagnosis</w:t>
            </w:r>
          </w:p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>8.6% (70mmol/</w:t>
            </w:r>
            <w:proofErr w:type="spellStart"/>
            <w:r w:rsidRPr="00F80D1F">
              <w:rPr>
                <w:rFonts w:ascii="Times New Roman" w:hAnsi="Times New Roman" w:cs="Times New Roman"/>
                <w:lang w:val="en-US"/>
              </w:rPr>
              <w:t>mol</w:t>
            </w:r>
            <w:proofErr w:type="spellEnd"/>
            <w:r w:rsidRPr="00F80D1F">
              <w:rPr>
                <w:rFonts w:ascii="Times New Roman" w:hAnsi="Times New Roman" w:cs="Times New Roman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lang w:val="en-US"/>
              </w:rPr>
              <w:t>18 years after diagnosis (2</w:t>
            </w:r>
            <w:r w:rsidRPr="00F80D1F">
              <w:rPr>
                <w:rFonts w:ascii="Times New Roman" w:hAnsi="Times New Roman" w:cs="Times New Roman"/>
                <w:lang w:val="en-US"/>
              </w:rPr>
              <w:t xml:space="preserve"> months before death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9516D" w:rsidRPr="00F80D1F" w:rsidTr="00535CC3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80D1F">
              <w:rPr>
                <w:rFonts w:ascii="Times New Roman" w:hAnsi="Times New Roman" w:cs="Times New Roman"/>
                <w:b/>
                <w:lang w:val="en-US"/>
              </w:rPr>
              <w:t>Plasma C-peptide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</w:rPr>
            </w:pPr>
            <w:r w:rsidRPr="00F80D1F">
              <w:rPr>
                <w:rFonts w:ascii="Times New Roman" w:hAnsi="Times New Roman" w:cs="Times New Roman"/>
              </w:rPr>
              <w:t>At diagnosis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Fasting</w:t>
            </w:r>
            <w:r w:rsidRPr="00F80D1F">
              <w:rPr>
                <w:rFonts w:ascii="Times New Roman" w:hAnsi="Times New Roman" w:cs="Times New Roman"/>
                <w:lang w:val="en-US"/>
              </w:rPr>
              <w:t>: 0.25nmol/l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80D1F">
              <w:rPr>
                <w:rFonts w:ascii="Times New Roman" w:hAnsi="Times New Roman" w:cs="Times New Roman"/>
                <w:lang w:val="en-US"/>
              </w:rPr>
              <w:t>(normal range: 0.20-0.80)</w:t>
            </w:r>
          </w:p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>IV glucagon</w:t>
            </w:r>
            <w:r>
              <w:rPr>
                <w:rFonts w:ascii="Times New Roman" w:hAnsi="Times New Roman" w:cs="Times New Roman"/>
                <w:lang w:val="en-US"/>
              </w:rPr>
              <w:t>*:</w:t>
            </w:r>
            <w:r w:rsidRPr="00F80D1F">
              <w:rPr>
                <w:rFonts w:ascii="Times New Roman" w:hAnsi="Times New Roman" w:cs="Times New Roman"/>
                <w:lang w:val="en-US"/>
              </w:rPr>
              <w:t xml:space="preserve"> 0.41nmol/l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80D1F">
              <w:rPr>
                <w:rFonts w:ascii="Times New Roman" w:hAnsi="Times New Roman" w:cs="Times New Roman"/>
                <w:lang w:val="en-US"/>
              </w:rPr>
              <w:t>(normal range: 0.90-1.90)</w:t>
            </w:r>
          </w:p>
        </w:tc>
      </w:tr>
      <w:tr w:rsidR="00E9516D" w:rsidRPr="00F80D1F" w:rsidTr="00535CC3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16D" w:rsidRPr="005830E8" w:rsidRDefault="00E9516D" w:rsidP="00535CC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rPr>
                <w:rFonts w:ascii="Times New Roman" w:hAnsi="Times New Roman" w:cs="Times New Roman"/>
              </w:rPr>
            </w:pPr>
            <w:r w:rsidRPr="00F80D1F">
              <w:rPr>
                <w:rFonts w:ascii="Times New Roman" w:hAnsi="Times New Roman" w:cs="Times New Roman"/>
              </w:rPr>
              <w:t>8 years after diagnosis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Fasting</w:t>
            </w:r>
            <w:r w:rsidRPr="00F80D1F">
              <w:rPr>
                <w:rFonts w:ascii="Times New Roman" w:hAnsi="Times New Roman" w:cs="Times New Roman"/>
                <w:lang w:val="en-US"/>
              </w:rPr>
              <w:t>: 0.06nmol/l</w:t>
            </w:r>
          </w:p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>IV glucagon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  <w:r w:rsidRPr="00F80D1F">
              <w:rPr>
                <w:rFonts w:ascii="Times New Roman" w:hAnsi="Times New Roman" w:cs="Times New Roman"/>
                <w:lang w:val="en-US"/>
              </w:rPr>
              <w:t>: 0.08nmol/l</w:t>
            </w:r>
          </w:p>
        </w:tc>
      </w:tr>
      <w:tr w:rsidR="00E9516D" w:rsidRPr="00F80D1F" w:rsidTr="00535CC3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16D" w:rsidRPr="005830E8" w:rsidRDefault="00E9516D" w:rsidP="00535CC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80D1F">
              <w:rPr>
                <w:rFonts w:ascii="Times New Roman" w:hAnsi="Times New Roman" w:cs="Times New Roman"/>
              </w:rPr>
              <w:t xml:space="preserve"> years after diagnosis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 xml:space="preserve">0.19nmol/l at a </w:t>
            </w:r>
            <w:proofErr w:type="spellStart"/>
            <w:r w:rsidRPr="00F80D1F">
              <w:rPr>
                <w:rFonts w:ascii="Times New Roman" w:hAnsi="Times New Roman" w:cs="Times New Roman"/>
                <w:lang w:val="en-US"/>
              </w:rPr>
              <w:t>glycemia</w:t>
            </w:r>
            <w:proofErr w:type="spellEnd"/>
            <w:r w:rsidRPr="00F80D1F">
              <w:rPr>
                <w:rFonts w:ascii="Times New Roman" w:hAnsi="Times New Roman" w:cs="Times New Roman"/>
                <w:lang w:val="en-US"/>
              </w:rPr>
              <w:t xml:space="preserve"> of 279mg/dl</w:t>
            </w:r>
          </w:p>
        </w:tc>
      </w:tr>
      <w:tr w:rsidR="00E9516D" w:rsidRPr="00F80D1F" w:rsidTr="00535CC3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16D" w:rsidRPr="005830E8" w:rsidRDefault="00E9516D" w:rsidP="00535CC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  <w:r w:rsidRPr="00F80D1F">
              <w:rPr>
                <w:rFonts w:ascii="Times New Roman" w:hAnsi="Times New Roman" w:cs="Times New Roman"/>
                <w:lang w:val="en-US"/>
              </w:rPr>
              <w:t xml:space="preserve"> years </w:t>
            </w:r>
            <w:r>
              <w:rPr>
                <w:rFonts w:ascii="Times New Roman" w:hAnsi="Times New Roman" w:cs="Times New Roman"/>
                <w:lang w:val="en-US"/>
              </w:rPr>
              <w:t>after diagnosis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 xml:space="preserve">0.05nmol/l at a </w:t>
            </w:r>
            <w:proofErr w:type="spellStart"/>
            <w:r w:rsidRPr="00F80D1F">
              <w:rPr>
                <w:rFonts w:ascii="Times New Roman" w:hAnsi="Times New Roman" w:cs="Times New Roman"/>
                <w:lang w:val="en-US"/>
              </w:rPr>
              <w:t>glycemia</w:t>
            </w:r>
            <w:proofErr w:type="spellEnd"/>
            <w:r w:rsidRPr="00F80D1F">
              <w:rPr>
                <w:rFonts w:ascii="Times New Roman" w:hAnsi="Times New Roman" w:cs="Times New Roman"/>
                <w:lang w:val="en-US"/>
              </w:rPr>
              <w:t xml:space="preserve"> of 154mg/dl</w:t>
            </w:r>
          </w:p>
        </w:tc>
      </w:tr>
      <w:tr w:rsidR="00E9516D" w:rsidRPr="00F80D1F" w:rsidTr="00535CC3">
        <w:trPr>
          <w:trHeight w:val="503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80D1F">
              <w:rPr>
                <w:rFonts w:ascii="Times New Roman" w:hAnsi="Times New Roman" w:cs="Times New Roman"/>
                <w:b/>
                <w:lang w:val="en-US"/>
              </w:rPr>
              <w:t>Autoantibodies</w:t>
            </w:r>
          </w:p>
        </w:tc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45183B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>GAD: 41U/ml (normal range &lt;1); tested once 6 years after diagnosis</w:t>
            </w:r>
            <w:r>
              <w:rPr>
                <w:rFonts w:ascii="Times New Roman" w:hAnsi="Times New Roman" w:cs="Times New Roman"/>
                <w:lang w:val="en-US"/>
              </w:rPr>
              <w:t xml:space="preserve"> (RIA: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CentAK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anti-GAD65 kit; cut-off value ≥0.9U/ml)</w:t>
            </w:r>
          </w:p>
        </w:tc>
      </w:tr>
      <w:tr w:rsidR="00E9516D" w:rsidRPr="00F80D1F" w:rsidTr="00535CC3">
        <w:trPr>
          <w:trHeight w:val="502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6D" w:rsidRPr="005830E8" w:rsidRDefault="00E9516D" w:rsidP="00535CC3">
            <w:pPr>
              <w:jc w:val="both"/>
              <w:rPr>
                <w:b/>
                <w:lang w:val="en-US"/>
              </w:rPr>
            </w:pPr>
          </w:p>
        </w:tc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6D" w:rsidRPr="0045183B" w:rsidRDefault="00E9516D" w:rsidP="00535CC3">
            <w:pPr>
              <w:jc w:val="both"/>
              <w:rPr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 xml:space="preserve">ICA: negative; only tested </w:t>
            </w:r>
            <w:r>
              <w:rPr>
                <w:rFonts w:ascii="Times New Roman" w:hAnsi="Times New Roman" w:cs="Times New Roman"/>
                <w:lang w:val="en-US"/>
              </w:rPr>
              <w:t xml:space="preserve">once </w:t>
            </w:r>
            <w:r w:rsidRPr="00F80D1F">
              <w:rPr>
                <w:rFonts w:ascii="Times New Roman" w:hAnsi="Times New Roman" w:cs="Times New Roman"/>
                <w:lang w:val="en-US"/>
              </w:rPr>
              <w:t>at time of diagnosis</w:t>
            </w:r>
            <w:r>
              <w:rPr>
                <w:rFonts w:ascii="Times New Roman" w:hAnsi="Times New Roman" w:cs="Times New Roman"/>
                <w:lang w:val="en-US"/>
              </w:rPr>
              <w:t xml:space="preserve"> (indirect immunofluorescence assay with human pancreas as substrate; cutoff value ≥4JDF U)</w:t>
            </w:r>
          </w:p>
        </w:tc>
      </w:tr>
      <w:tr w:rsidR="00E9516D" w:rsidRPr="00F80D1F" w:rsidTr="00535CC3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80D1F">
              <w:rPr>
                <w:rFonts w:ascii="Times New Roman" w:hAnsi="Times New Roman" w:cs="Times New Roman"/>
                <w:b/>
                <w:lang w:val="en-US"/>
              </w:rPr>
              <w:t>Comorbidities</w:t>
            </w:r>
          </w:p>
        </w:tc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6D" w:rsidRPr="00F80D1F" w:rsidRDefault="00E9516D" w:rsidP="00535CC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80D1F">
              <w:rPr>
                <w:rFonts w:ascii="Times New Roman" w:hAnsi="Times New Roman" w:cs="Times New Roman"/>
                <w:lang w:val="en-US"/>
              </w:rPr>
              <w:t xml:space="preserve">Vitiligo, autoimmune gastritis (positive </w:t>
            </w:r>
            <w:r>
              <w:rPr>
                <w:rFonts w:ascii="Times New Roman" w:hAnsi="Times New Roman" w:cs="Times New Roman"/>
                <w:lang w:val="en-US"/>
              </w:rPr>
              <w:t>GPC</w:t>
            </w:r>
            <w:r w:rsidRPr="00F80D1F">
              <w:rPr>
                <w:rFonts w:ascii="Times New Roman" w:hAnsi="Times New Roman" w:cs="Times New Roman"/>
                <w:lang w:val="en-US"/>
              </w:rPr>
              <w:t>) and neuropathy (autonomic and peripheral)</w:t>
            </w:r>
          </w:p>
        </w:tc>
      </w:tr>
    </w:tbl>
    <w:p w:rsidR="00E9516D" w:rsidRPr="00FE5E1B" w:rsidRDefault="00E9516D" w:rsidP="00E9516D">
      <w:pPr>
        <w:jc w:val="both"/>
        <w:rPr>
          <w:rFonts w:eastAsiaTheme="minorEastAsia"/>
          <w:b/>
          <w:bCs/>
          <w:sz w:val="20"/>
          <w:szCs w:val="20"/>
          <w:u w:val="single"/>
        </w:rPr>
      </w:pPr>
      <w:r w:rsidRPr="00FE5E1B">
        <w:rPr>
          <w:rFonts w:eastAsiaTheme="minorEastAsia"/>
          <w:sz w:val="20"/>
          <w:szCs w:val="20"/>
        </w:rPr>
        <w:t>*</w:t>
      </w:r>
      <w:r w:rsidRPr="00FE5E1B">
        <w:rPr>
          <w:sz w:val="20"/>
          <w:szCs w:val="20"/>
        </w:rPr>
        <w:t>Plasma C-peptide concentration in serum 6 minutes after intravenous injection of 1 mg glucagon</w:t>
      </w:r>
      <w:r>
        <w:rPr>
          <w:sz w:val="20"/>
          <w:szCs w:val="20"/>
        </w:rPr>
        <w:t xml:space="preserve">. GAD: antibodies to glutamic acid decarboxylase, ICA: </w:t>
      </w:r>
      <w:r w:rsidRPr="00997D71">
        <w:rPr>
          <w:sz w:val="20"/>
          <w:szCs w:val="20"/>
        </w:rPr>
        <w:t>islet-cell antibodies</w:t>
      </w:r>
      <w:r>
        <w:rPr>
          <w:sz w:val="20"/>
          <w:szCs w:val="20"/>
        </w:rPr>
        <w:t>, GPC: a</w:t>
      </w:r>
      <w:r w:rsidRPr="005A29E1">
        <w:rPr>
          <w:sz w:val="20"/>
          <w:szCs w:val="20"/>
        </w:rPr>
        <w:t>nti-gastric parietal cell antibod</w:t>
      </w:r>
      <w:r>
        <w:rPr>
          <w:sz w:val="20"/>
          <w:szCs w:val="20"/>
        </w:rPr>
        <w:t>ies.</w:t>
      </w:r>
    </w:p>
    <w:p w:rsidR="00E9516D" w:rsidRDefault="00E9516D" w:rsidP="00E9516D">
      <w:pPr>
        <w:rPr>
          <w:rFonts w:eastAsiaTheme="minorEastAsia"/>
          <w:b/>
          <w:bCs/>
          <w:u w:val="single"/>
        </w:rPr>
      </w:pPr>
    </w:p>
    <w:p w:rsidR="00E9516D" w:rsidRDefault="00E9516D" w:rsidP="00E9516D">
      <w:pPr>
        <w:rPr>
          <w:rFonts w:eastAsiaTheme="minorEastAsia"/>
          <w:b/>
          <w:bCs/>
          <w:u w:val="single"/>
        </w:rPr>
      </w:pPr>
      <w:r>
        <w:rPr>
          <w:rFonts w:eastAsiaTheme="minorEastAsia"/>
          <w:b/>
          <w:bCs/>
          <w:u w:val="single"/>
        </w:rPr>
        <w:br w:type="page"/>
      </w:r>
    </w:p>
    <w:p w:rsidR="00E9516D" w:rsidRPr="00431F7B" w:rsidRDefault="00E9516D" w:rsidP="00E9516D">
      <w:pPr>
        <w:spacing w:line="480" w:lineRule="auto"/>
        <w:jc w:val="both"/>
        <w:rPr>
          <w:rFonts w:eastAsiaTheme="minorEastAsia"/>
          <w:b/>
          <w:bCs/>
          <w:u w:val="single"/>
        </w:rPr>
      </w:pPr>
      <w:r w:rsidRPr="00431F7B">
        <w:rPr>
          <w:rFonts w:eastAsiaTheme="minorEastAsia"/>
          <w:b/>
          <w:bCs/>
          <w:u w:val="single"/>
        </w:rPr>
        <w:lastRenderedPageBreak/>
        <w:t>Supplementary figure</w:t>
      </w:r>
    </w:p>
    <w:p w:rsidR="00E9516D" w:rsidRDefault="00E9516D" w:rsidP="00E9516D">
      <w:pPr>
        <w:spacing w:line="480" w:lineRule="auto"/>
        <w:jc w:val="both"/>
      </w:pPr>
      <w:r>
        <w:rPr>
          <w:noProof/>
        </w:rPr>
        <w:drawing>
          <wp:inline distT="0" distB="0" distL="0" distR="0" wp14:anchorId="31BDCEF0" wp14:editId="59B8A4A1">
            <wp:extent cx="5486400" cy="41916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16D" w:rsidRDefault="00E9516D" w:rsidP="00E9516D">
      <w:pPr>
        <w:spacing w:line="480" w:lineRule="auto"/>
        <w:jc w:val="both"/>
        <w:rPr>
          <w:rFonts w:eastAsiaTheme="minorEastAsia"/>
        </w:rPr>
      </w:pPr>
      <w:r w:rsidRPr="6ABABA04">
        <w:rPr>
          <w:rFonts w:eastAsiaTheme="minorEastAsia"/>
          <w:b/>
          <w:bCs/>
        </w:rPr>
        <w:t xml:space="preserve">Figure </w:t>
      </w:r>
      <w:r>
        <w:rPr>
          <w:rFonts w:eastAsiaTheme="minorEastAsia"/>
          <w:b/>
          <w:bCs/>
        </w:rPr>
        <w:t>S</w:t>
      </w:r>
      <w:r w:rsidRPr="6ABABA04">
        <w:rPr>
          <w:rFonts w:eastAsiaTheme="minorEastAsia"/>
          <w:b/>
          <w:bCs/>
        </w:rPr>
        <w:t>1.</w:t>
      </w:r>
    </w:p>
    <w:p w:rsidR="00E9516D" w:rsidRPr="00590903" w:rsidRDefault="00E9516D" w:rsidP="00E9516D">
      <w:pPr>
        <w:spacing w:line="480" w:lineRule="auto"/>
        <w:jc w:val="both"/>
        <w:rPr>
          <w:rFonts w:ascii="Arial" w:hAnsi="Arial" w:cs="Arial"/>
          <w:b/>
          <w:bCs/>
        </w:rPr>
      </w:pPr>
      <w:r>
        <w:br w:type="page"/>
      </w:r>
      <w:r w:rsidRPr="6ABABA04">
        <w:rPr>
          <w:rFonts w:ascii="Arial" w:hAnsi="Arial" w:cs="Arial"/>
          <w:b/>
          <w:bCs/>
        </w:rPr>
        <w:lastRenderedPageBreak/>
        <w:t xml:space="preserve">Legends for </w:t>
      </w:r>
      <w:r>
        <w:rPr>
          <w:rFonts w:ascii="Arial" w:hAnsi="Arial" w:cs="Arial"/>
          <w:b/>
          <w:bCs/>
        </w:rPr>
        <w:t xml:space="preserve">supplementary </w:t>
      </w:r>
      <w:r w:rsidRPr="6ABABA04">
        <w:rPr>
          <w:rFonts w:ascii="Arial" w:hAnsi="Arial" w:cs="Arial"/>
          <w:b/>
          <w:bCs/>
        </w:rPr>
        <w:t>figure</w:t>
      </w:r>
    </w:p>
    <w:p w:rsidR="00E9516D" w:rsidRDefault="00E9516D" w:rsidP="00E9516D">
      <w:pPr>
        <w:spacing w:line="480" w:lineRule="auto"/>
        <w:jc w:val="both"/>
        <w:rPr>
          <w:rFonts w:eastAsiaTheme="minorEastAsia"/>
          <w:b/>
          <w:bCs/>
        </w:rPr>
      </w:pPr>
    </w:p>
    <w:p w:rsidR="00E9516D" w:rsidRPr="00F80D1F" w:rsidRDefault="00E9516D" w:rsidP="00E9516D">
      <w:pPr>
        <w:spacing w:line="480" w:lineRule="auto"/>
        <w:jc w:val="both"/>
      </w:pPr>
      <w:r w:rsidRPr="6ABABA04">
        <w:rPr>
          <w:rFonts w:eastAsiaTheme="minorEastAsia"/>
          <w:b/>
          <w:bCs/>
        </w:rPr>
        <w:t xml:space="preserve">Figure </w:t>
      </w:r>
      <w:r>
        <w:rPr>
          <w:rFonts w:eastAsiaTheme="minorEastAsia"/>
          <w:b/>
          <w:bCs/>
        </w:rPr>
        <w:t>S</w:t>
      </w:r>
      <w:r w:rsidRPr="6ABABA04">
        <w:rPr>
          <w:rFonts w:eastAsiaTheme="minorEastAsia"/>
          <w:b/>
          <w:bCs/>
        </w:rPr>
        <w:t>1.</w:t>
      </w:r>
      <w:r w:rsidRPr="6ABABA04">
        <w:rPr>
          <w:rFonts w:eastAsiaTheme="minorEastAsia"/>
        </w:rPr>
        <w:t xml:space="preserve"> </w:t>
      </w:r>
      <w:r>
        <w:t>(A</w:t>
      </w:r>
      <w:r w:rsidRPr="00552266">
        <w:t xml:space="preserve">) </w:t>
      </w:r>
      <w:r w:rsidRPr="00552266">
        <w:rPr>
          <w:rFonts w:eastAsiaTheme="minorEastAsia"/>
        </w:rPr>
        <w:t>Section stained for insulin (green), CD3 (red) and CD20 (yellow) showing a large lymphocytic infiltrate with a medulla rich in CD20 B-lymphocytes and a peripheral cortex of CD3 T</w:t>
      </w:r>
      <w:r>
        <w:rPr>
          <w:rFonts w:eastAsiaTheme="minorEastAsia"/>
        </w:rPr>
        <w:t xml:space="preserve">-lymphocytes. (B) Staining of </w:t>
      </w:r>
      <w:r w:rsidRPr="00552266">
        <w:rPr>
          <w:rFonts w:eastAsiaTheme="minorEastAsia"/>
        </w:rPr>
        <w:t>consecutive section</w:t>
      </w:r>
      <w:r>
        <w:rPr>
          <w:rFonts w:eastAsiaTheme="minorEastAsia"/>
        </w:rPr>
        <w:t>s</w:t>
      </w:r>
      <w:r w:rsidRPr="00552266">
        <w:rPr>
          <w:rFonts w:eastAsiaTheme="minorEastAsia"/>
        </w:rPr>
        <w:t xml:space="preserve"> for CD3 (green), MECA-79 (red), insulin (yellow) and DAPI (blue) showing MECA-79 positive high-endothelial </w:t>
      </w:r>
      <w:proofErr w:type="spellStart"/>
      <w:r w:rsidRPr="00552266">
        <w:rPr>
          <w:rFonts w:eastAsiaTheme="minorEastAsia"/>
        </w:rPr>
        <w:t>venules</w:t>
      </w:r>
      <w:proofErr w:type="spellEnd"/>
      <w:r w:rsidRPr="00552266">
        <w:rPr>
          <w:rFonts w:eastAsiaTheme="minorEastAsia"/>
        </w:rPr>
        <w:t xml:space="preserve"> in the cortex and CD23 (</w:t>
      </w:r>
      <w:r>
        <w:rPr>
          <w:rFonts w:eastAsiaTheme="minorEastAsia"/>
        </w:rPr>
        <w:t>C</w:t>
      </w:r>
      <w:r w:rsidRPr="00552266">
        <w:rPr>
          <w:rFonts w:eastAsiaTheme="minorEastAsia"/>
        </w:rPr>
        <w:t>) or CD21 (</w:t>
      </w:r>
      <w:r>
        <w:rPr>
          <w:rFonts w:eastAsiaTheme="minorEastAsia"/>
        </w:rPr>
        <w:t>D</w:t>
      </w:r>
      <w:r w:rsidRPr="00552266">
        <w:rPr>
          <w:rFonts w:eastAsiaTheme="minorEastAsia"/>
        </w:rPr>
        <w:t xml:space="preserve">) positive follicular </w:t>
      </w:r>
      <w:r>
        <w:rPr>
          <w:rFonts w:eastAsiaTheme="minorEastAsia"/>
        </w:rPr>
        <w:t xml:space="preserve">dendritic </w:t>
      </w:r>
      <w:r w:rsidRPr="00552266">
        <w:rPr>
          <w:rFonts w:eastAsiaTheme="minorEastAsia"/>
        </w:rPr>
        <w:t>cells in the medulla, indicating the presence of a</w:t>
      </w:r>
      <w:r>
        <w:rPr>
          <w:rFonts w:eastAsiaTheme="minorEastAsia"/>
        </w:rPr>
        <w:t>nother TLS-like structure</w:t>
      </w:r>
      <w:r w:rsidRPr="00552266">
        <w:rPr>
          <w:rFonts w:eastAsiaTheme="minorEastAsia"/>
        </w:rPr>
        <w:t xml:space="preserve"> (bar 100 </w:t>
      </w:r>
      <w:r w:rsidRPr="00DA6896">
        <w:rPr>
          <w:rFonts w:eastAsiaTheme="minorEastAsia"/>
        </w:rPr>
        <w:t>µm)</w:t>
      </w:r>
      <w:r w:rsidRPr="00552266">
        <w:rPr>
          <w:rFonts w:eastAsiaTheme="minorEastAsia"/>
        </w:rPr>
        <w:t>.</w:t>
      </w:r>
    </w:p>
    <w:p w:rsidR="00FF2686" w:rsidRDefault="00FF2686">
      <w:bookmarkStart w:id="0" w:name="_GoBack"/>
      <w:bookmarkEnd w:id="0"/>
    </w:p>
    <w:sectPr w:rsidR="00FF26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6D"/>
    <w:rsid w:val="00041F0E"/>
    <w:rsid w:val="00E9516D"/>
    <w:rsid w:val="00FF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raster1">
    <w:name w:val="Tabelraster1"/>
    <w:basedOn w:val="TableNormal"/>
    <w:uiPriority w:val="39"/>
    <w:rsid w:val="00E9516D"/>
    <w:pPr>
      <w:spacing w:after="0" w:line="240" w:lineRule="auto"/>
    </w:pPr>
    <w:rPr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5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1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raster1">
    <w:name w:val="Tabelraster1"/>
    <w:basedOn w:val="TableNormal"/>
    <w:uiPriority w:val="39"/>
    <w:rsid w:val="00E9516D"/>
    <w:pPr>
      <w:spacing w:after="0" w:line="240" w:lineRule="auto"/>
    </w:pPr>
    <w:rPr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5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749630</dc:creator>
  <cp:lastModifiedBy>749630</cp:lastModifiedBy>
  <cp:revision>1</cp:revision>
  <dcterms:created xsi:type="dcterms:W3CDTF">2020-08-18T19:36:00Z</dcterms:created>
  <dcterms:modified xsi:type="dcterms:W3CDTF">2020-08-18T19:37:00Z</dcterms:modified>
</cp:coreProperties>
</file>