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1AE54" w14:textId="04ED5113" w:rsidR="00687D21" w:rsidRPr="00687D21" w:rsidRDefault="00687D21" w:rsidP="00687D21">
      <w:pPr>
        <w:spacing w:line="480" w:lineRule="auto"/>
        <w:jc w:val="both"/>
        <w:rPr>
          <w:rFonts w:ascii="Times New Roman" w:eastAsia="Times New Roman" w:hAnsi="Times New Roman" w:cs="Times New Roman"/>
          <w:b/>
          <w:noProof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 w:val="0"/>
          <w:sz w:val="20"/>
          <w:szCs w:val="20"/>
        </w:rPr>
        <w:t>Supplementary Methods</w:t>
      </w:r>
    </w:p>
    <w:p w14:paraId="36F9A0D0" w14:textId="77777777" w:rsidR="00687D21" w:rsidRPr="00687D21" w:rsidRDefault="00687D21" w:rsidP="00687D21">
      <w:pPr>
        <w:spacing w:line="480" w:lineRule="auto"/>
        <w:jc w:val="both"/>
        <w:rPr>
          <w:rFonts w:ascii="Times New Roman" w:eastAsia="Times New Roman" w:hAnsi="Times New Roman" w:cs="Times New Roman"/>
          <w:b/>
          <w:noProof w:val="0"/>
          <w:sz w:val="20"/>
          <w:szCs w:val="20"/>
        </w:rPr>
      </w:pPr>
    </w:p>
    <w:p w14:paraId="64F3C4FF" w14:textId="7715D332" w:rsidR="00E335BD" w:rsidRPr="00DB452E" w:rsidRDefault="00E335BD" w:rsidP="00E335BD">
      <w:pPr>
        <w:spacing w:line="48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</w:rPr>
      </w:pPr>
      <w:r w:rsidRPr="00DB452E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Immunohistochemistry: IHC was performed using a CD73-specific antibody (D7F9A, rabbit monoclonal, #13160, Cell Signaling), using the Ventana </w:t>
      </w:r>
      <w:proofErr w:type="spellStart"/>
      <w:r w:rsidRPr="00DB452E">
        <w:rPr>
          <w:rFonts w:ascii="Times New Roman" w:eastAsia="Times New Roman" w:hAnsi="Times New Roman" w:cs="Times New Roman"/>
          <w:noProof w:val="0"/>
          <w:sz w:val="20"/>
          <w:szCs w:val="20"/>
        </w:rPr>
        <w:t>BenchMark</w:t>
      </w:r>
      <w:proofErr w:type="spellEnd"/>
      <w:r w:rsidRPr="00DB452E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automated stainer. Briefly, deparaffinized slides were pre-treated with CC1 and then incubated with the anti-CD73 antibody. The </w:t>
      </w:r>
      <w:proofErr w:type="spellStart"/>
      <w:r w:rsidRPr="00DB452E">
        <w:rPr>
          <w:rFonts w:ascii="Times New Roman" w:eastAsia="Times New Roman" w:hAnsi="Times New Roman" w:cs="Times New Roman"/>
          <w:noProof w:val="0"/>
          <w:sz w:val="20"/>
          <w:szCs w:val="20"/>
        </w:rPr>
        <w:t>Ultraview</w:t>
      </w:r>
      <w:proofErr w:type="spellEnd"/>
      <w:r w:rsidRPr="00DB452E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DAB detection kit (ref. 760–500) was used.</w:t>
      </w:r>
    </w:p>
    <w:p w14:paraId="34333D91" w14:textId="77777777" w:rsidR="00E335BD" w:rsidRDefault="00E335BD" w:rsidP="00E335BD">
      <w:pPr>
        <w:spacing w:line="48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</w:rPr>
      </w:pPr>
      <w:r w:rsidRPr="00DB452E">
        <w:rPr>
          <w:rFonts w:ascii="Times New Roman" w:eastAsia="Times New Roman" w:hAnsi="Times New Roman" w:cs="Times New Roman"/>
          <w:noProof w:val="0"/>
          <w:sz w:val="20"/>
          <w:szCs w:val="20"/>
        </w:rPr>
        <w:t>We qualified the cellular staining distribution (membrane, cytoplasmic or both). For each specimen, we evaluated the percentage of CD73-positive cells (0-100%) and the staining intensity (negative=0, mild=1 or 1.5, moderate=2, strong=2.5 or 3). An H-score was calculated as the percentage of tumors cells staining multiplied by the intensity of staining (score ranging from 0 to 300). Comparisons of H-score were performed using Mann Whitney U tests. All cases were scored by IM or AS and reviewed with LDL or CS. Staining in endothelium and stroma was used as positive internal control.</w:t>
      </w:r>
    </w:p>
    <w:p w14:paraId="0A757AB0" w14:textId="08AEC7CA" w:rsidR="00687D21" w:rsidRPr="00687D21" w:rsidRDefault="00687D21" w:rsidP="00E335BD">
      <w:pPr>
        <w:spacing w:line="480" w:lineRule="auto"/>
        <w:jc w:val="both"/>
        <w:rPr>
          <w:rFonts w:ascii="Times New Roman" w:eastAsia="Times New Roman" w:hAnsi="Times New Roman" w:cs="Arial"/>
          <w:noProof w:val="0"/>
          <w:sz w:val="20"/>
          <w:szCs w:val="20"/>
        </w:rPr>
      </w:pPr>
      <w:r w:rsidRPr="00687D21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RNA profiling using HTG </w:t>
      </w:r>
      <w:proofErr w:type="spellStart"/>
      <w:r w:rsidRPr="00687D21">
        <w:rPr>
          <w:rFonts w:ascii="Times New Roman" w:eastAsia="Times New Roman" w:hAnsi="Times New Roman" w:cs="Times New Roman"/>
          <w:noProof w:val="0"/>
          <w:sz w:val="20"/>
          <w:szCs w:val="20"/>
        </w:rPr>
        <w:t>EdgeSeq</w:t>
      </w:r>
      <w:proofErr w:type="spellEnd"/>
      <w:r w:rsidRPr="00687D21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Oncology Biomarker Panel: 21 of the 142 FFPE specimens were selected for RNA profiling. Representative cases of the main diagnostic categories were randomly selected (3 normal thyroids, 2 multinodular goiters, 4 follicular adenomas, 4 follicular carcinomas, 4 papillary carcinomas and 4 anaplastic carcinomas). HTG </w:t>
      </w:r>
      <w:proofErr w:type="spellStart"/>
      <w:r w:rsidRPr="00687D21">
        <w:rPr>
          <w:rFonts w:ascii="Times New Roman" w:eastAsia="Times New Roman" w:hAnsi="Times New Roman" w:cs="Times New Roman"/>
          <w:noProof w:val="0"/>
          <w:sz w:val="20"/>
          <w:szCs w:val="20"/>
        </w:rPr>
        <w:t>EdgeSeq</w:t>
      </w:r>
      <w:proofErr w:type="spellEnd"/>
      <w:r w:rsidRPr="00687D21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libraries were generated according to the HTG </w:t>
      </w:r>
      <w:proofErr w:type="spellStart"/>
      <w:r w:rsidRPr="00687D21">
        <w:rPr>
          <w:rFonts w:ascii="Times New Roman" w:eastAsia="Times New Roman" w:hAnsi="Times New Roman" w:cs="Times New Roman"/>
          <w:noProof w:val="0"/>
          <w:sz w:val="20"/>
          <w:szCs w:val="20"/>
        </w:rPr>
        <w:t>EdgeSeq</w:t>
      </w:r>
      <w:proofErr w:type="spellEnd"/>
      <w:r w:rsidRPr="00687D21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workflow. The area of interest for molecular profiling </w:t>
      </w:r>
      <w:r w:rsidRPr="00687D21">
        <w:rPr>
          <w:rFonts w:ascii="Times New Roman" w:eastAsia="Times New Roman" w:hAnsi="Times New Roman" w:cs="Arial"/>
          <w:noProof w:val="0"/>
          <w:sz w:val="20"/>
          <w:szCs w:val="20"/>
        </w:rPr>
        <w:t>(minimal area 6mm</w:t>
      </w:r>
      <w:r w:rsidRPr="00687D21">
        <w:rPr>
          <w:rFonts w:ascii="Times New Roman" w:eastAsia="Times New Roman" w:hAnsi="Times New Roman" w:cs="Arial"/>
          <w:noProof w:val="0"/>
          <w:sz w:val="20"/>
          <w:szCs w:val="20"/>
          <w:vertAlign w:val="superscript"/>
        </w:rPr>
        <w:t>2</w:t>
      </w:r>
      <w:r w:rsidRPr="00687D21">
        <w:rPr>
          <w:rFonts w:ascii="Times New Roman" w:eastAsia="Times New Roman" w:hAnsi="Times New Roman" w:cs="Arial"/>
          <w:noProof w:val="0"/>
          <w:sz w:val="20"/>
          <w:szCs w:val="20"/>
        </w:rPr>
        <w:t xml:space="preserve"> with a 5µm thickness) </w:t>
      </w:r>
      <w:r w:rsidRPr="00687D21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was selected using adjacent </w:t>
      </w:r>
      <w:r w:rsidRPr="00687D21">
        <w:rPr>
          <w:rFonts w:ascii="Times New Roman" w:eastAsia="Times New Roman" w:hAnsi="Times New Roman" w:cs="Arial"/>
          <w:noProof w:val="0"/>
          <w:sz w:val="20"/>
          <w:szCs w:val="20"/>
        </w:rPr>
        <w:t xml:space="preserve">HE stained slides, collected by scraping and put in HTG lysis buffer and proteinase K for RNA extraction. Libraries were prepared with the HTG </w:t>
      </w:r>
      <w:proofErr w:type="spellStart"/>
      <w:r w:rsidRPr="00687D21">
        <w:rPr>
          <w:rFonts w:ascii="Times New Roman" w:eastAsia="Times New Roman" w:hAnsi="Times New Roman" w:cs="Arial"/>
          <w:noProof w:val="0"/>
          <w:sz w:val="20"/>
          <w:szCs w:val="20"/>
        </w:rPr>
        <w:t>EdgeSeq</w:t>
      </w:r>
      <w:proofErr w:type="spellEnd"/>
      <w:r w:rsidRPr="00687D21">
        <w:rPr>
          <w:rFonts w:ascii="Times New Roman" w:eastAsia="Times New Roman" w:hAnsi="Times New Roman" w:cs="Arial"/>
          <w:noProof w:val="0"/>
          <w:sz w:val="20"/>
          <w:szCs w:val="20"/>
        </w:rPr>
        <w:t xml:space="preserve"> system using the Oncology Biomarker Panel kit, followed by sample barcoding using PCR-based amplification. Final libraries were cleaned up with </w:t>
      </w:r>
      <w:proofErr w:type="spellStart"/>
      <w:r w:rsidRPr="00687D21">
        <w:rPr>
          <w:rFonts w:ascii="Times New Roman" w:eastAsia="Times New Roman" w:hAnsi="Times New Roman" w:cs="Arial"/>
          <w:noProof w:val="0"/>
          <w:sz w:val="20"/>
          <w:szCs w:val="20"/>
        </w:rPr>
        <w:t>AMPure</w:t>
      </w:r>
      <w:proofErr w:type="spellEnd"/>
      <w:r w:rsidRPr="00687D21">
        <w:rPr>
          <w:rFonts w:ascii="Times New Roman" w:eastAsia="Times New Roman" w:hAnsi="Times New Roman" w:cs="Arial"/>
          <w:noProof w:val="0"/>
          <w:sz w:val="20"/>
          <w:szCs w:val="20"/>
        </w:rPr>
        <w:t xml:space="preserve"> beads, quantified by qPCR with KAPA Library Quantification Kits and pooled according to the manufacturer’s protocol. Sequencing was performed by </w:t>
      </w:r>
      <w:proofErr w:type="spellStart"/>
      <w:r w:rsidRPr="00687D21">
        <w:rPr>
          <w:rFonts w:ascii="Times New Roman" w:eastAsia="Times New Roman" w:hAnsi="Times New Roman" w:cs="Arial"/>
          <w:noProof w:val="0"/>
          <w:sz w:val="20"/>
          <w:szCs w:val="20"/>
        </w:rPr>
        <w:t>NextSeq</w:t>
      </w:r>
      <w:proofErr w:type="spellEnd"/>
      <w:r w:rsidRPr="00687D21">
        <w:rPr>
          <w:rFonts w:ascii="Times New Roman" w:eastAsia="Times New Roman" w:hAnsi="Times New Roman" w:cs="Arial"/>
          <w:noProof w:val="0"/>
          <w:sz w:val="20"/>
          <w:szCs w:val="20"/>
        </w:rPr>
        <w:t xml:space="preserve"> (Illumina) and FASTQ files were analyzed by HTG software. Raw counts were imported in R software (v.3.6.0) and normalized by size factor using DESeq2 package (v.1.26.0). Correlation between normalized RNA counts and H-score was assessed using non-parametric Spearman’s rank correlation test in R. Post-sequencing quality controls were used to detect and exclude samples with either degraded RNA, insufficient read depth or minimal expression variability.</w:t>
      </w:r>
    </w:p>
    <w:p w14:paraId="323F8424" w14:textId="44CF8C09" w:rsidR="00B90AB7" w:rsidRPr="006D67AC" w:rsidRDefault="00687D21" w:rsidP="006D67AC">
      <w:pPr>
        <w:spacing w:line="48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</w:rPr>
      </w:pPr>
      <w:r w:rsidRPr="00687D21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Quantification of tumor-infiltrating mononuclear cells (TIMC): Using </w:t>
      </w:r>
      <w:r w:rsidRPr="00687D21">
        <w:rPr>
          <w:rFonts w:ascii="Times New Roman" w:eastAsia="Times New Roman" w:hAnsi="Times New Roman" w:cs="Arial"/>
          <w:noProof w:val="0"/>
          <w:sz w:val="20"/>
          <w:szCs w:val="20"/>
        </w:rPr>
        <w:t xml:space="preserve">Hematoxylin &amp; Eosin (HE) </w:t>
      </w:r>
      <w:r w:rsidRPr="00687D21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slides, the quantity of TIMC in primary malignant lesions was reported semi-quantitatively in four groups (none (0), scarce (1), moderate (2), abundant (3)). TIMC were considered if they were intratumoral or peritumoral in case of capsular invasion. TIMC </w:t>
      </w:r>
      <w:r w:rsidRPr="00687D21">
        <w:rPr>
          <w:rFonts w:ascii="Times New Roman" w:eastAsia="Times New Roman" w:hAnsi="Times New Roman" w:cs="Times New Roman"/>
          <w:noProof w:val="0"/>
          <w:sz w:val="20"/>
          <w:szCs w:val="20"/>
        </w:rPr>
        <w:lastRenderedPageBreak/>
        <w:t xml:space="preserve">surrounding areas of intact capsule were not considered. For each of the diagnostic categories, the H-score of the tumors was compared between TIMC groups using a Kruskal-Wallis test. </w:t>
      </w:r>
    </w:p>
    <w:sectPr w:rsidR="00B90AB7" w:rsidRPr="006D67AC" w:rsidSect="00176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21"/>
    <w:rsid w:val="00114FFA"/>
    <w:rsid w:val="00154E49"/>
    <w:rsid w:val="00176C84"/>
    <w:rsid w:val="00282A67"/>
    <w:rsid w:val="00282D63"/>
    <w:rsid w:val="002C594C"/>
    <w:rsid w:val="002F38C5"/>
    <w:rsid w:val="00352770"/>
    <w:rsid w:val="003872C7"/>
    <w:rsid w:val="00413AB6"/>
    <w:rsid w:val="00516FA5"/>
    <w:rsid w:val="00540BF8"/>
    <w:rsid w:val="00687D21"/>
    <w:rsid w:val="006D67AC"/>
    <w:rsid w:val="007277DB"/>
    <w:rsid w:val="007E67B9"/>
    <w:rsid w:val="00826F37"/>
    <w:rsid w:val="008C67B4"/>
    <w:rsid w:val="00977251"/>
    <w:rsid w:val="009E5F2C"/>
    <w:rsid w:val="00A52C48"/>
    <w:rsid w:val="00B366ED"/>
    <w:rsid w:val="00BD4B4F"/>
    <w:rsid w:val="00BF1F86"/>
    <w:rsid w:val="00BF7D0F"/>
    <w:rsid w:val="00C15E89"/>
    <w:rsid w:val="00DB452E"/>
    <w:rsid w:val="00DE551B"/>
    <w:rsid w:val="00E3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A1EFAD"/>
  <w14:defaultImageDpi w14:val="32767"/>
  <w15:chartTrackingRefBased/>
  <w15:docId w15:val="{4C7D68FB-2B07-3641-9F4F-2DF9E33D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2021-03-21T16:19:00Z</dcterms:created>
  <dcterms:modified xsi:type="dcterms:W3CDTF">2021-03-21T18:13:00Z</dcterms:modified>
</cp:coreProperties>
</file>