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44" w:rsidRPr="001D6CE5" w:rsidRDefault="003E01C3" w:rsidP="00FA7E44">
      <w:pPr>
        <w:pStyle w:val="Beschriftung"/>
        <w:keepNext/>
        <w:spacing w:before="240" w:after="0"/>
        <w:rPr>
          <w:lang w:val="en-US"/>
        </w:rPr>
      </w:pPr>
      <w:r>
        <w:rPr>
          <w:lang w:val="en-US"/>
        </w:rPr>
        <w:t>Suppl. t</w:t>
      </w:r>
      <w:bookmarkStart w:id="0" w:name="_GoBack"/>
      <w:bookmarkEnd w:id="0"/>
      <w:r w:rsidR="00FA7E44" w:rsidRPr="001D6CE5">
        <w:rPr>
          <w:lang w:val="en-US"/>
        </w:rPr>
        <w:t xml:space="preserve">able </w:t>
      </w:r>
      <w:r w:rsidR="00FA7E44">
        <w:fldChar w:fldCharType="begin"/>
      </w:r>
      <w:r w:rsidR="00FA7E44" w:rsidRPr="001D6CE5">
        <w:rPr>
          <w:lang w:val="en-US"/>
        </w:rPr>
        <w:instrText xml:space="preserve"> SEQ Table \* ARABIC </w:instrText>
      </w:r>
      <w:r w:rsidR="00FA7E44">
        <w:fldChar w:fldCharType="separate"/>
      </w:r>
      <w:r w:rsidR="00FA7E44">
        <w:rPr>
          <w:noProof/>
          <w:lang w:val="en-US"/>
        </w:rPr>
        <w:t>1</w:t>
      </w:r>
      <w:r w:rsidR="00FA7E44">
        <w:fldChar w:fldCharType="end"/>
      </w:r>
      <w:r w:rsidR="00FA7E44" w:rsidRPr="001D6CE5">
        <w:rPr>
          <w:lang w:val="en-US"/>
        </w:rPr>
        <w:t xml:space="preserve">: Methods used for </w:t>
      </w:r>
      <w:r w:rsidR="00FA7E44">
        <w:rPr>
          <w:lang w:val="en-US"/>
        </w:rPr>
        <w:t xml:space="preserve">tissue </w:t>
      </w:r>
      <w:r w:rsidR="00FA7E44" w:rsidRPr="001D6CE5">
        <w:rPr>
          <w:lang w:val="en-US"/>
        </w:rPr>
        <w:t>internal proficiency testing</w:t>
      </w:r>
      <w:r w:rsidR="00FA7E44">
        <w:rPr>
          <w:lang w:val="en-US"/>
        </w:rPr>
        <w:t xml:space="preserve">; OFA: </w:t>
      </w:r>
      <w:proofErr w:type="spellStart"/>
      <w:r w:rsidR="00FA7E44">
        <w:rPr>
          <w:lang w:val="en-US"/>
        </w:rPr>
        <w:t>Oncomine</w:t>
      </w:r>
      <w:proofErr w:type="spellEnd"/>
      <w:r w:rsidR="00FA7E44">
        <w:rPr>
          <w:lang w:val="en-US"/>
        </w:rPr>
        <w:t xml:space="preserve"> Focus Assay, FFPE: formalin-fixed paraffin-embedded tissue</w:t>
      </w:r>
    </w:p>
    <w:tbl>
      <w:tblPr>
        <w:tblStyle w:val="Tabellenraster"/>
        <w:tblW w:w="9164" w:type="dxa"/>
        <w:tblLayout w:type="fixed"/>
        <w:tblLook w:val="04A0" w:firstRow="1" w:lastRow="0" w:firstColumn="1" w:lastColumn="0" w:noHBand="0" w:noVBand="1"/>
      </w:tblPr>
      <w:tblGrid>
        <w:gridCol w:w="1506"/>
        <w:gridCol w:w="1560"/>
        <w:gridCol w:w="1477"/>
        <w:gridCol w:w="1477"/>
        <w:gridCol w:w="1477"/>
        <w:gridCol w:w="1667"/>
      </w:tblGrid>
      <w:tr w:rsidR="00FA7E44" w:rsidRPr="001D46CA" w:rsidTr="004945EF">
        <w:trPr>
          <w:trHeight w:val="287"/>
          <w:tblHeader/>
        </w:trPr>
        <w:tc>
          <w:tcPr>
            <w:tcW w:w="1506" w:type="dxa"/>
            <w:vMerge w:val="restart"/>
            <w:tcBorders>
              <w:top w:val="nil"/>
              <w:left w:val="nil"/>
            </w:tcBorders>
            <w:vAlign w:val="center"/>
          </w:tcPr>
          <w:p w:rsidR="00FA7E44" w:rsidRPr="00E60037" w:rsidRDefault="00FA7E44" w:rsidP="004945EF">
            <w:pPr>
              <w:spacing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7658" w:type="dxa"/>
            <w:gridSpan w:val="5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  <w:highlight w:val="yellow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Participant</w:t>
            </w:r>
          </w:p>
        </w:tc>
      </w:tr>
      <w:tr w:rsidR="00FA7E44" w:rsidRPr="001D46CA" w:rsidTr="004945EF">
        <w:trPr>
          <w:trHeight w:val="287"/>
          <w:tblHeader/>
        </w:trPr>
        <w:tc>
          <w:tcPr>
            <w:tcW w:w="1506" w:type="dxa"/>
            <w:vMerge/>
            <w:tcBorders>
              <w:left w:val="nil"/>
            </w:tcBorders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Lead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Panel 1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Panel 2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Panel 3</w:t>
            </w:r>
          </w:p>
        </w:tc>
        <w:tc>
          <w:tcPr>
            <w:tcW w:w="166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</w:rPr>
              <w:t>Panel 4</w:t>
            </w:r>
          </w:p>
        </w:tc>
      </w:tr>
      <w:tr w:rsidR="00FA7E44" w:rsidRPr="003E01C3" w:rsidTr="004945EF">
        <w:trPr>
          <w:trHeight w:val="287"/>
        </w:trPr>
        <w:tc>
          <w:tcPr>
            <w:tcW w:w="1506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 xml:space="preserve">DNA 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extraction</w:t>
            </w:r>
          </w:p>
        </w:tc>
        <w:tc>
          <w:tcPr>
            <w:tcW w:w="1560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Maxwell RSC DNA FFPE Kit  (</w:t>
            </w:r>
            <w:proofErr w:type="spellStart"/>
            <w:r w:rsidRPr="00E60037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Promega</w:t>
            </w:r>
            <w:proofErr w:type="spellEnd"/>
            <w:r w:rsidRPr="00E60037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Maxwell RSC DNA FFPE Kit  (</w:t>
            </w:r>
            <w:proofErr w:type="spellStart"/>
            <w:r w:rsidRPr="00E60037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Promega</w:t>
            </w:r>
            <w:proofErr w:type="spellEnd"/>
            <w:r w:rsidRPr="00E60037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QIAamp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DSP DNA FFPE Tissue Kit 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>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 xml:space="preserve">Maxwell RSC DNA FFPE Kit 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Promega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>)</w:t>
            </w:r>
          </w:p>
        </w:tc>
        <w:tc>
          <w:tcPr>
            <w:tcW w:w="166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GeneRead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DNA FFPE Kit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highlight w:val="yellow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>)</w:t>
            </w:r>
          </w:p>
        </w:tc>
      </w:tr>
      <w:tr w:rsidR="00FA7E44" w:rsidRPr="001D46CA" w:rsidTr="004945EF">
        <w:trPr>
          <w:trHeight w:val="287"/>
        </w:trPr>
        <w:tc>
          <w:tcPr>
            <w:tcW w:w="1506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DNA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quantification</w:t>
            </w:r>
          </w:p>
        </w:tc>
        <w:tc>
          <w:tcPr>
            <w:tcW w:w="1560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</w:rPr>
              <w:t>Fluorometric</w:t>
            </w:r>
            <w:proofErr w:type="spellEnd"/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qPCR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</w:rPr>
              <w:t>Fluorometric</w:t>
            </w:r>
            <w:proofErr w:type="spellEnd"/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20"/>
              </w:rPr>
            </w:pPr>
            <w:proofErr w:type="spellStart"/>
            <w:r w:rsidRPr="00E60037">
              <w:rPr>
                <w:rFonts w:cs="Arial"/>
                <w:color w:val="000000"/>
                <w:sz w:val="18"/>
                <w:szCs w:val="20"/>
              </w:rPr>
              <w:t>Spectro</w:t>
            </w:r>
            <w:proofErr w:type="spellEnd"/>
            <w:r w:rsidRPr="00E60037">
              <w:rPr>
                <w:rFonts w:cs="Arial"/>
                <w:color w:val="000000"/>
                <w:sz w:val="18"/>
                <w:szCs w:val="20"/>
              </w:rPr>
              <w:t>-photometric</w:t>
            </w:r>
          </w:p>
        </w:tc>
        <w:tc>
          <w:tcPr>
            <w:tcW w:w="166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highlight w:val="yellow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</w:rPr>
              <w:t>Fluorometric</w:t>
            </w:r>
            <w:proofErr w:type="spellEnd"/>
          </w:p>
        </w:tc>
      </w:tr>
      <w:tr w:rsidR="00FA7E44" w:rsidRPr="001D46CA" w:rsidTr="004945EF">
        <w:trPr>
          <w:trHeight w:val="287"/>
        </w:trPr>
        <w:tc>
          <w:tcPr>
            <w:tcW w:w="1506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Method</w:t>
            </w:r>
          </w:p>
        </w:tc>
        <w:tc>
          <w:tcPr>
            <w:tcW w:w="1560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 xml:space="preserve">Ion S5 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(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Themo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 Fisher Scientific)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</w:rPr>
              <w:t>MiSeq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/ 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NextSeq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 (Illumina)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Allele specific PCR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Rotor-Gene Q (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>)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&amp;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Illumina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PCR &amp; Sanger-Sequencing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 xml:space="preserve">(Genetic 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Analyzer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Thermo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 Fisher Scientific)</w:t>
            </w:r>
          </w:p>
        </w:tc>
        <w:tc>
          <w:tcPr>
            <w:tcW w:w="166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Ion S5/PGM (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Thermo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FisherScientific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>) &amp;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highlight w:val="yellow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</w:rPr>
              <w:t>PyroMark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 (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>)</w:t>
            </w:r>
          </w:p>
        </w:tc>
      </w:tr>
      <w:tr w:rsidR="00FA7E44" w:rsidRPr="001D46CA" w:rsidTr="004945EF">
        <w:trPr>
          <w:trHeight w:val="287"/>
        </w:trPr>
        <w:tc>
          <w:tcPr>
            <w:tcW w:w="1506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Assay</w:t>
            </w:r>
          </w:p>
        </w:tc>
        <w:tc>
          <w:tcPr>
            <w:tcW w:w="1560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OFA 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ThermoFisher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Scientific)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GeneRead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Custom Panel 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>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therascreen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PIK3CA RGQ PCR Kit (</w:t>
            </w: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Qiagen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>)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&amp;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sz w:val="18"/>
                <w:szCs w:val="20"/>
                <w:lang w:val="en-US"/>
              </w:rPr>
              <w:t>TruSight</w:t>
            </w:r>
            <w:proofErr w:type="spellEnd"/>
            <w:r w:rsidRPr="00E60037">
              <w:rPr>
                <w:rFonts w:cs="Arial"/>
                <w:sz w:val="18"/>
                <w:szCs w:val="20"/>
                <w:lang w:val="en-US"/>
              </w:rPr>
              <w:t xml:space="preserve"> Tumor15 Panel (Illumina)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Customized</w:t>
            </w:r>
          </w:p>
        </w:tc>
        <w:tc>
          <w:tcPr>
            <w:tcW w:w="166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 xml:space="preserve">OFA </w:t>
            </w:r>
          </w:p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highlight w:val="yellow"/>
              </w:rPr>
            </w:pPr>
            <w:r w:rsidRPr="00E60037">
              <w:rPr>
                <w:rFonts w:cs="Arial"/>
                <w:sz w:val="18"/>
                <w:szCs w:val="20"/>
              </w:rPr>
              <w:t>(</w:t>
            </w:r>
            <w:proofErr w:type="spellStart"/>
            <w:r w:rsidRPr="00E60037">
              <w:rPr>
                <w:rFonts w:cs="Arial"/>
                <w:sz w:val="18"/>
                <w:szCs w:val="20"/>
              </w:rPr>
              <w:t>Thermo</w:t>
            </w:r>
            <w:proofErr w:type="spellEnd"/>
            <w:r w:rsidRPr="00E60037">
              <w:rPr>
                <w:rFonts w:cs="Arial"/>
                <w:sz w:val="18"/>
                <w:szCs w:val="20"/>
              </w:rPr>
              <w:t xml:space="preserve"> Fisher Scientific)</w:t>
            </w:r>
          </w:p>
        </w:tc>
      </w:tr>
      <w:tr w:rsidR="00FA7E44" w:rsidRPr="001D46CA" w:rsidTr="004945EF">
        <w:trPr>
          <w:trHeight w:val="287"/>
        </w:trPr>
        <w:tc>
          <w:tcPr>
            <w:tcW w:w="1506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Split</w:t>
            </w:r>
          </w:p>
        </w:tc>
        <w:tc>
          <w:tcPr>
            <w:tcW w:w="1560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1, 2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1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1, 2</w:t>
            </w:r>
          </w:p>
        </w:tc>
        <w:tc>
          <w:tcPr>
            <w:tcW w:w="147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:rsidR="00FA7E44" w:rsidRPr="00E60037" w:rsidRDefault="00FA7E44" w:rsidP="004945EF">
            <w:pPr>
              <w:spacing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2</w:t>
            </w:r>
          </w:p>
        </w:tc>
      </w:tr>
    </w:tbl>
    <w:p w:rsidR="0030372C" w:rsidRDefault="0030372C"/>
    <w:sectPr w:rsidR="003037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44"/>
    <w:rsid w:val="001869C2"/>
    <w:rsid w:val="001B34D5"/>
    <w:rsid w:val="0030372C"/>
    <w:rsid w:val="003E01C3"/>
    <w:rsid w:val="004E780A"/>
    <w:rsid w:val="006A5323"/>
    <w:rsid w:val="00886658"/>
    <w:rsid w:val="008F25BE"/>
    <w:rsid w:val="00980913"/>
    <w:rsid w:val="00CD2E86"/>
    <w:rsid w:val="00DD7818"/>
    <w:rsid w:val="00FA7E44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7820"/>
  <w15:chartTrackingRefBased/>
  <w15:docId w15:val="{0971DA46-252D-4A61-B9F4-4E76343B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7E44"/>
    <w:pPr>
      <w:spacing w:after="0" w:line="360" w:lineRule="auto"/>
      <w:contextualSpacing/>
      <w:jc w:val="both"/>
    </w:pPr>
    <w:rPr>
      <w:rFonts w:ascii="Arial" w:eastAsiaTheme="minorEastAsia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A7E4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FA7E44"/>
    <w:pPr>
      <w:spacing w:after="240" w:line="240" w:lineRule="auto"/>
    </w:pPr>
    <w:rPr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vollbrec</dc:creator>
  <cp:keywords/>
  <dc:description/>
  <cp:lastModifiedBy>vollbrec</cp:lastModifiedBy>
  <cp:revision>2</cp:revision>
  <dcterms:created xsi:type="dcterms:W3CDTF">2022-03-31T12:30:00Z</dcterms:created>
  <dcterms:modified xsi:type="dcterms:W3CDTF">2022-06-22T10:09:00Z</dcterms:modified>
</cp:coreProperties>
</file>