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A0E" w:rsidRPr="00CA3A79" w:rsidRDefault="00607A0E" w:rsidP="00607A0E">
      <w:pPr>
        <w:snapToGrid w:val="0"/>
        <w:spacing w:line="480" w:lineRule="auto"/>
        <w:rPr>
          <w:rFonts w:ascii="Times New Roman" w:hAnsi="Times New Roman" w:cs="Times New Roman"/>
          <w:sz w:val="24"/>
          <w:szCs w:val="24"/>
        </w:rPr>
      </w:pPr>
      <w:bookmarkStart w:id="0" w:name="_Hlk155549946"/>
      <w:r w:rsidRPr="00CA3A79">
        <w:rPr>
          <w:rFonts w:ascii="Times New Roman" w:hAnsi="Times New Roman" w:cs="Times New Roman"/>
          <w:sz w:val="24"/>
          <w:szCs w:val="24"/>
        </w:rPr>
        <w:t>Supporting Information 1</w:t>
      </w:r>
    </w:p>
    <w:p w:rsidR="00607A0E" w:rsidRPr="00CA3A79" w:rsidRDefault="00607A0E" w:rsidP="00607A0E">
      <w:pPr>
        <w:snapToGrid w:val="0"/>
        <w:spacing w:line="48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2896"/>
        <w:gridCol w:w="2962"/>
        <w:gridCol w:w="4017"/>
        <w:gridCol w:w="3029"/>
      </w:tblGrid>
      <w:tr w:rsidR="00607A0E" w:rsidRPr="00AA7F77" w:rsidTr="00AC2128">
        <w:trPr>
          <w:trHeight w:val="720"/>
        </w:trPr>
        <w:tc>
          <w:tcPr>
            <w:tcW w:w="0" w:type="auto"/>
            <w:tcBorders>
              <w:top w:val="single" w:sz="4" w:space="0" w:color="auto"/>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Papillary thyroid carcinoma</w:t>
            </w:r>
            <w:r w:rsidRPr="00CA3A79">
              <w:rPr>
                <w:rFonts w:ascii="Times New Roman" w:hAnsi="Times New Roman" w:cs="Times New Roman"/>
                <w:sz w:val="24"/>
                <w:szCs w:val="24"/>
              </w:rPr>
              <w:br/>
              <w:t>(n=66)</w:t>
            </w: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Follicular thyroid carcinoma</w:t>
            </w:r>
            <w:r w:rsidRPr="00CA3A79">
              <w:rPr>
                <w:rFonts w:ascii="Times New Roman" w:hAnsi="Times New Roman" w:cs="Times New Roman"/>
                <w:sz w:val="24"/>
                <w:szCs w:val="24"/>
              </w:rPr>
              <w:br/>
              <w:t>(n=3)</w:t>
            </w: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Poorly differentiated thyroid carcinoma</w:t>
            </w:r>
            <w:r w:rsidRPr="00CA3A79">
              <w:rPr>
                <w:rFonts w:ascii="Times New Roman" w:hAnsi="Times New Roman" w:cs="Times New Roman"/>
                <w:sz w:val="24"/>
                <w:szCs w:val="24"/>
              </w:rPr>
              <w:br/>
              <w:t>(n=4)</w:t>
            </w: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Medullary thyroid carcinoma</w:t>
            </w:r>
            <w:r w:rsidRPr="00CA3A79">
              <w:rPr>
                <w:rFonts w:ascii="Times New Roman" w:hAnsi="Times New Roman" w:cs="Times New Roman"/>
                <w:sz w:val="24"/>
                <w:szCs w:val="24"/>
              </w:rPr>
              <w:br/>
              <w:t>(n=1)</w:t>
            </w:r>
          </w:p>
        </w:tc>
      </w:tr>
      <w:tr w:rsidR="00607A0E" w:rsidRPr="00AA7F77" w:rsidTr="00AC2128">
        <w:trPr>
          <w:trHeight w:val="360"/>
        </w:trPr>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i/>
                <w:iCs/>
                <w:sz w:val="24"/>
                <w:szCs w:val="24"/>
              </w:rPr>
              <w:t>BRAF</w:t>
            </w:r>
            <w:r w:rsidRPr="00CA3A79">
              <w:rPr>
                <w:rFonts w:ascii="Times New Roman" w:hAnsi="Times New Roman" w:cs="Times New Roman"/>
                <w:sz w:val="24"/>
                <w:szCs w:val="24"/>
              </w:rPr>
              <w:t xml:space="preserve"> V600E</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47 (71.2%)</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1 (25%)</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i/>
                <w:iCs/>
                <w:sz w:val="24"/>
                <w:szCs w:val="24"/>
              </w:rPr>
              <w:t>RAS</w:t>
            </w:r>
            <w:r w:rsidRPr="00CA3A79">
              <w:rPr>
                <w:rFonts w:ascii="Times New Roman" w:hAnsi="Times New Roman" w:cs="Times New Roman"/>
                <w:sz w:val="24"/>
                <w:szCs w:val="24"/>
              </w:rPr>
              <w:t xml:space="preserve"> mutation</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1 (1.5%)</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3 (100%)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1 (25%)</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i/>
                <w:iCs/>
                <w:sz w:val="24"/>
                <w:szCs w:val="24"/>
              </w:rPr>
              <w:t>RET</w:t>
            </w:r>
            <w:r w:rsidRPr="00CA3A79">
              <w:rPr>
                <w:rFonts w:ascii="Times New Roman" w:hAnsi="Times New Roman" w:cs="Times New Roman"/>
                <w:sz w:val="24"/>
                <w:szCs w:val="24"/>
              </w:rPr>
              <w:t xml:space="preserve"> fusion</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7 (10.6%)</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1 (25%)</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i/>
                <w:iCs/>
                <w:sz w:val="24"/>
                <w:szCs w:val="24"/>
              </w:rPr>
              <w:t>RET</w:t>
            </w:r>
            <w:r w:rsidRPr="00CA3A79">
              <w:rPr>
                <w:rFonts w:ascii="Times New Roman" w:hAnsi="Times New Roman" w:cs="Times New Roman"/>
                <w:sz w:val="24"/>
                <w:szCs w:val="24"/>
              </w:rPr>
              <w:t xml:space="preserve"> mutation</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1 (100%)</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i/>
                <w:iCs/>
                <w:sz w:val="24"/>
                <w:szCs w:val="24"/>
              </w:rPr>
              <w:t>NTRK</w:t>
            </w:r>
            <w:r w:rsidRPr="00CA3A79">
              <w:rPr>
                <w:rFonts w:ascii="Times New Roman" w:hAnsi="Times New Roman" w:cs="Times New Roman"/>
                <w:sz w:val="24"/>
                <w:szCs w:val="24"/>
              </w:rPr>
              <w:t xml:space="preserve"> fusion</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1 (1.5%)</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i/>
                <w:iCs/>
                <w:sz w:val="24"/>
                <w:szCs w:val="24"/>
              </w:rPr>
              <w:t xml:space="preserve">ALK </w:t>
            </w:r>
            <w:r w:rsidRPr="00CA3A79">
              <w:rPr>
                <w:rFonts w:ascii="Times New Roman" w:hAnsi="Times New Roman" w:cs="Times New Roman"/>
                <w:sz w:val="24"/>
                <w:szCs w:val="24"/>
              </w:rPr>
              <w:t>fusion</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w:t>
            </w:r>
          </w:p>
        </w:tc>
      </w:tr>
      <w:tr w:rsidR="00607A0E" w:rsidRPr="00AA7F77" w:rsidTr="00AC2128">
        <w:trPr>
          <w:trHeight w:val="360"/>
        </w:trPr>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Genetic alterations were not detected</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10 (15.2%)</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 (0%)</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1 (25%)</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0</w:t>
            </w:r>
          </w:p>
        </w:tc>
      </w:tr>
    </w:tbl>
    <w:p w:rsidR="00607A0E" w:rsidRPr="00CA3A79" w:rsidRDefault="00607A0E" w:rsidP="00607A0E">
      <w:pPr>
        <w:snapToGrid w:val="0"/>
        <w:spacing w:line="480" w:lineRule="auto"/>
        <w:rPr>
          <w:rFonts w:ascii="Times New Roman" w:hAnsi="Times New Roman" w:cs="Times New Roman"/>
          <w:sz w:val="24"/>
          <w:szCs w:val="24"/>
        </w:rPr>
      </w:pPr>
    </w:p>
    <w:p w:rsidR="00607A0E" w:rsidRPr="00CA3A79" w:rsidRDefault="00607A0E" w:rsidP="00607A0E">
      <w:pPr>
        <w:snapToGrid w:val="0"/>
        <w:spacing w:line="480" w:lineRule="auto"/>
        <w:rPr>
          <w:rFonts w:ascii="Times New Roman" w:hAnsi="Times New Roman" w:cs="Times New Roman"/>
          <w:sz w:val="24"/>
          <w:szCs w:val="24"/>
        </w:rPr>
      </w:pPr>
      <w:proofErr w:type="gramStart"/>
      <w:r w:rsidRPr="00CA3A79">
        <w:rPr>
          <w:rFonts w:ascii="Times New Roman" w:hAnsi="Times New Roman" w:cs="Times New Roman"/>
          <w:sz w:val="24"/>
          <w:szCs w:val="24"/>
        </w:rPr>
        <w:t>b</w:t>
      </w:r>
      <w:proofErr w:type="gramEnd"/>
      <w:r w:rsidRPr="00CA3A79">
        <w:rPr>
          <w:rFonts w:ascii="Times New Roman" w:hAnsi="Times New Roman" w:cs="Times New Roman"/>
          <w:sz w:val="24"/>
          <w:szCs w:val="24"/>
        </w:rPr>
        <w:t xml:space="preserve">: This Supporting Information 1 provides the genetic analysis results of 74 patients submitted to the </w:t>
      </w:r>
      <w:proofErr w:type="spellStart"/>
      <w:r w:rsidRPr="00CA3A79">
        <w:rPr>
          <w:rFonts w:ascii="Times New Roman" w:hAnsi="Times New Roman" w:cs="Times New Roman"/>
          <w:sz w:val="24"/>
          <w:szCs w:val="24"/>
        </w:rPr>
        <w:t>Oncomine</w:t>
      </w:r>
      <w:proofErr w:type="spellEnd"/>
      <w:r w:rsidRPr="00CA3A79">
        <w:rPr>
          <w:rFonts w:ascii="Times New Roman" w:hAnsi="Times New Roman" w:cs="Times New Roman"/>
          <w:sz w:val="24"/>
          <w:szCs w:val="24"/>
        </w:rPr>
        <w:t xml:space="preserve"> </w:t>
      </w:r>
      <w:proofErr w:type="spellStart"/>
      <w:r w:rsidRPr="00CA3A79">
        <w:rPr>
          <w:rFonts w:ascii="Times New Roman" w:hAnsi="Times New Roman" w:cs="Times New Roman"/>
          <w:sz w:val="24"/>
          <w:szCs w:val="24"/>
        </w:rPr>
        <w:t>Dx</w:t>
      </w:r>
      <w:proofErr w:type="spellEnd"/>
      <w:r w:rsidRPr="00CA3A79">
        <w:rPr>
          <w:rFonts w:ascii="Times New Roman" w:hAnsi="Times New Roman" w:cs="Times New Roman"/>
          <w:sz w:val="24"/>
          <w:szCs w:val="24"/>
        </w:rPr>
        <w:t xml:space="preserve"> Target Test. Papillary thyroid carcinoma (PTC) predominantly exhibited the BRAF V600E mutation, while follicular thyroid carcinoma showed RAS mutations alone. Among the analyzed cases, RET and NTRK fusion genes were identified in 9 patients: 8 with PTC and 1 with poorly differentiated thyroid carcinoma. No other fusion genes, including </w:t>
      </w:r>
      <w:r w:rsidRPr="00CA3A79">
        <w:rPr>
          <w:rFonts w:ascii="Times New Roman" w:hAnsi="Times New Roman" w:cs="Times New Roman"/>
          <w:i/>
          <w:iCs/>
          <w:sz w:val="24"/>
          <w:szCs w:val="24"/>
        </w:rPr>
        <w:t>ALK</w:t>
      </w:r>
      <w:r w:rsidRPr="00CA3A79">
        <w:rPr>
          <w:rFonts w:ascii="Times New Roman" w:hAnsi="Times New Roman" w:cs="Times New Roman"/>
          <w:sz w:val="24"/>
          <w:szCs w:val="24"/>
        </w:rPr>
        <w:t xml:space="preserve">, </w:t>
      </w:r>
      <w:r w:rsidRPr="00CA3A79">
        <w:rPr>
          <w:rFonts w:ascii="Times New Roman" w:hAnsi="Times New Roman" w:cs="Times New Roman"/>
          <w:i/>
          <w:iCs/>
          <w:sz w:val="24"/>
          <w:szCs w:val="24"/>
        </w:rPr>
        <w:t>ROS1</w:t>
      </w:r>
      <w:r w:rsidRPr="00CA3A79">
        <w:rPr>
          <w:rFonts w:ascii="Times New Roman" w:hAnsi="Times New Roman" w:cs="Times New Roman"/>
          <w:sz w:val="24"/>
          <w:szCs w:val="24"/>
        </w:rPr>
        <w:t xml:space="preserve">, and </w:t>
      </w:r>
      <w:r w:rsidRPr="00CA3A79">
        <w:rPr>
          <w:rFonts w:ascii="Times New Roman" w:hAnsi="Times New Roman" w:cs="Times New Roman"/>
          <w:i/>
          <w:iCs/>
          <w:sz w:val="24"/>
          <w:szCs w:val="24"/>
        </w:rPr>
        <w:t>PPARG</w:t>
      </w:r>
      <w:r w:rsidRPr="00CA3A79">
        <w:rPr>
          <w:rFonts w:ascii="Times New Roman" w:hAnsi="Times New Roman" w:cs="Times New Roman"/>
          <w:sz w:val="24"/>
          <w:szCs w:val="24"/>
        </w:rPr>
        <w:t xml:space="preserve">, were detected in this cohort (Notably, </w:t>
      </w:r>
      <w:r w:rsidRPr="00CA3A79">
        <w:rPr>
          <w:rFonts w:ascii="Times New Roman" w:hAnsi="Times New Roman" w:cs="Times New Roman"/>
          <w:i/>
          <w:iCs/>
          <w:sz w:val="24"/>
          <w:szCs w:val="24"/>
        </w:rPr>
        <w:t>PPARG</w:t>
      </w:r>
      <w:r w:rsidRPr="00CA3A79">
        <w:rPr>
          <w:rFonts w:ascii="Times New Roman" w:hAnsi="Times New Roman" w:cs="Times New Roman"/>
          <w:sz w:val="24"/>
          <w:szCs w:val="24"/>
        </w:rPr>
        <w:t xml:space="preserve"> was not included in the </w:t>
      </w:r>
      <w:proofErr w:type="spellStart"/>
      <w:r w:rsidRPr="00CA3A79">
        <w:rPr>
          <w:rFonts w:ascii="Times New Roman" w:hAnsi="Times New Roman" w:cs="Times New Roman"/>
          <w:sz w:val="24"/>
          <w:szCs w:val="24"/>
        </w:rPr>
        <w:t>Oncomine</w:t>
      </w:r>
      <w:proofErr w:type="spellEnd"/>
      <w:r w:rsidRPr="00CA3A79">
        <w:rPr>
          <w:rFonts w:ascii="Times New Roman" w:hAnsi="Times New Roman" w:cs="Times New Roman"/>
          <w:sz w:val="24"/>
          <w:szCs w:val="24"/>
        </w:rPr>
        <w:t xml:space="preserve"> </w:t>
      </w:r>
      <w:proofErr w:type="spellStart"/>
      <w:r w:rsidRPr="00CA3A79">
        <w:rPr>
          <w:rFonts w:ascii="Times New Roman" w:hAnsi="Times New Roman" w:cs="Times New Roman"/>
          <w:sz w:val="24"/>
          <w:szCs w:val="24"/>
        </w:rPr>
        <w:t>Dx</w:t>
      </w:r>
      <w:proofErr w:type="spellEnd"/>
      <w:r w:rsidRPr="00CA3A79">
        <w:rPr>
          <w:rFonts w:ascii="Times New Roman" w:hAnsi="Times New Roman" w:cs="Times New Roman"/>
          <w:sz w:val="24"/>
          <w:szCs w:val="24"/>
        </w:rPr>
        <w:t xml:space="preserve"> Target Test panel). Additionally, there were instances of analysis failures, with 2 cases in DNA-based analysis and 7 in RNA-based analysis.</w:t>
      </w:r>
      <w:bookmarkEnd w:id="0"/>
    </w:p>
    <w:p w:rsidR="00607A0E" w:rsidRPr="00CA3A79" w:rsidRDefault="00607A0E" w:rsidP="00607A0E">
      <w:pPr>
        <w:widowControl/>
        <w:jc w:val="left"/>
        <w:rPr>
          <w:rFonts w:ascii="Times New Roman" w:hAnsi="Times New Roman" w:cs="Times New Roman"/>
          <w:sz w:val="24"/>
          <w:szCs w:val="24"/>
        </w:rPr>
      </w:pPr>
      <w:r w:rsidRPr="00CA3A79">
        <w:rPr>
          <w:rFonts w:ascii="Times New Roman" w:hAnsi="Times New Roman" w:cs="Times New Roman"/>
          <w:sz w:val="24"/>
          <w:szCs w:val="24"/>
        </w:rPr>
        <w:br w:type="page"/>
      </w:r>
    </w:p>
    <w:p w:rsidR="00607A0E" w:rsidRPr="00CA3A79" w:rsidRDefault="00607A0E" w:rsidP="00607A0E">
      <w:pPr>
        <w:snapToGrid w:val="0"/>
        <w:spacing w:line="480" w:lineRule="auto"/>
        <w:rPr>
          <w:rFonts w:ascii="Times New Roman" w:hAnsi="Times New Roman" w:cs="Times New Roman"/>
          <w:sz w:val="24"/>
          <w:szCs w:val="24"/>
        </w:rPr>
      </w:pPr>
    </w:p>
    <w:p w:rsidR="00607A0E" w:rsidRPr="00CA3A79" w:rsidRDefault="00607A0E" w:rsidP="00607A0E">
      <w:pPr>
        <w:snapToGrid w:val="0"/>
        <w:spacing w:line="480" w:lineRule="auto"/>
        <w:rPr>
          <w:rFonts w:ascii="Times New Roman" w:hAnsi="Times New Roman" w:cs="Times New Roman"/>
          <w:sz w:val="24"/>
          <w:szCs w:val="24"/>
        </w:rPr>
      </w:pPr>
      <w:r w:rsidRPr="00CA3A79">
        <w:rPr>
          <w:rFonts w:ascii="Times New Roman" w:hAnsi="Times New Roman" w:cs="Times New Roman"/>
          <w:sz w:val="24"/>
          <w:szCs w:val="24"/>
        </w:rPr>
        <w:t xml:space="preserve">Supporting Information 2 Assessing agreement with the criteria for diffuse </w:t>
      </w:r>
      <w:proofErr w:type="spellStart"/>
      <w:r w:rsidRPr="00CA3A79">
        <w:rPr>
          <w:rFonts w:ascii="Times New Roman" w:hAnsi="Times New Roman" w:cs="Times New Roman"/>
          <w:sz w:val="24"/>
          <w:szCs w:val="24"/>
        </w:rPr>
        <w:t>sclerosing</w:t>
      </w:r>
      <w:proofErr w:type="spellEnd"/>
      <w:r w:rsidRPr="00CA3A79">
        <w:rPr>
          <w:rFonts w:ascii="Times New Roman" w:hAnsi="Times New Roman" w:cs="Times New Roman"/>
          <w:sz w:val="24"/>
          <w:szCs w:val="24"/>
        </w:rPr>
        <w:t xml:space="preserve"> variant papillary thyroid </w:t>
      </w:r>
      <w:proofErr w:type="spellStart"/>
      <w:r w:rsidRPr="00CA3A79">
        <w:rPr>
          <w:rFonts w:ascii="Times New Roman" w:hAnsi="Times New Roman" w:cs="Times New Roman"/>
          <w:sz w:val="24"/>
          <w:szCs w:val="24"/>
        </w:rPr>
        <w:t>carcinoma</w:t>
      </w:r>
      <w:r w:rsidRPr="00CA3A79">
        <w:rPr>
          <w:rFonts w:ascii="Times New Roman" w:hAnsi="Times New Roman" w:cs="Times New Roman"/>
          <w:sz w:val="24"/>
          <w:szCs w:val="24"/>
          <w:vertAlign w:val="superscript"/>
        </w:rPr>
        <w:t>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585"/>
        <w:gridCol w:w="868"/>
        <w:gridCol w:w="3447"/>
        <w:gridCol w:w="1162"/>
        <w:gridCol w:w="1248"/>
        <w:gridCol w:w="1285"/>
        <w:gridCol w:w="1236"/>
        <w:gridCol w:w="1316"/>
        <w:gridCol w:w="1114"/>
        <w:gridCol w:w="2255"/>
        <w:gridCol w:w="1893"/>
      </w:tblGrid>
      <w:tr w:rsidR="00607A0E" w:rsidRPr="00AA7F77" w:rsidTr="00AC2128">
        <w:trPr>
          <w:trHeight w:val="2520"/>
        </w:trPr>
        <w:tc>
          <w:tcPr>
            <w:tcW w:w="0" w:type="auto"/>
            <w:tcBorders>
              <w:top w:val="single" w:sz="4" w:space="0" w:color="auto"/>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p>
        </w:tc>
        <w:tc>
          <w:tcPr>
            <w:tcW w:w="0" w:type="auto"/>
            <w:tcBorders>
              <w:top w:val="single" w:sz="4" w:space="0" w:color="auto"/>
              <w:bottom w:val="single" w:sz="4" w:space="0" w:color="auto"/>
            </w:tcBorders>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Age</w:t>
            </w:r>
          </w:p>
        </w:tc>
        <w:tc>
          <w:tcPr>
            <w:tcW w:w="0" w:type="auto"/>
            <w:tcBorders>
              <w:top w:val="single" w:sz="4" w:space="0" w:color="auto"/>
              <w:bottom w:val="single" w:sz="4" w:space="0" w:color="auto"/>
            </w:tcBorders>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Sex</w:t>
            </w: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 xml:space="preserve">Diffuse involvement of </w:t>
            </w:r>
            <w:r w:rsidRPr="00CA3A79">
              <w:rPr>
                <w:rFonts w:ascii="Times New Roman" w:hAnsi="Times New Roman" w:cs="Times New Roman"/>
                <w:sz w:val="24"/>
                <w:szCs w:val="24"/>
              </w:rPr>
              <w:br/>
              <w:t>1 or both lobes of thyroid</w:t>
            </w: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Lymphatic invasion in stroma away from main tumor mass</w:t>
            </w: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proofErr w:type="spellStart"/>
            <w:r w:rsidRPr="00CA3A79">
              <w:rPr>
                <w:rFonts w:ascii="Times New Roman" w:hAnsi="Times New Roman" w:cs="Times New Roman"/>
                <w:sz w:val="24"/>
                <w:szCs w:val="24"/>
              </w:rPr>
              <w:t>Psammoma</w:t>
            </w:r>
            <w:proofErr w:type="spellEnd"/>
            <w:r w:rsidRPr="00CA3A79">
              <w:rPr>
                <w:rFonts w:ascii="Times New Roman" w:hAnsi="Times New Roman" w:cs="Times New Roman"/>
                <w:sz w:val="24"/>
                <w:szCs w:val="24"/>
              </w:rPr>
              <w:t xml:space="preserve"> bodies in stroma away from main tumor mass</w:t>
            </w: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Absence of high-grade features</w:t>
            </w: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 xml:space="preserve">Numerous </w:t>
            </w:r>
            <w:r w:rsidRPr="00CA3A79">
              <w:rPr>
                <w:rFonts w:ascii="Times New Roman" w:hAnsi="Times New Roman" w:cs="Times New Roman"/>
                <w:sz w:val="24"/>
                <w:szCs w:val="24"/>
              </w:rPr>
              <w:br/>
            </w:r>
            <w:proofErr w:type="spellStart"/>
            <w:r w:rsidRPr="00CA3A79">
              <w:rPr>
                <w:rFonts w:ascii="Times New Roman" w:hAnsi="Times New Roman" w:cs="Times New Roman"/>
                <w:sz w:val="24"/>
                <w:szCs w:val="24"/>
              </w:rPr>
              <w:t>psammoma</w:t>
            </w:r>
            <w:proofErr w:type="spellEnd"/>
            <w:r w:rsidRPr="00CA3A79">
              <w:rPr>
                <w:rFonts w:ascii="Times New Roman" w:hAnsi="Times New Roman" w:cs="Times New Roman"/>
                <w:sz w:val="24"/>
                <w:szCs w:val="24"/>
              </w:rPr>
              <w:t xml:space="preserve"> bodies</w:t>
            </w:r>
          </w:p>
        </w:tc>
        <w:tc>
          <w:tcPr>
            <w:tcW w:w="0" w:type="auto"/>
            <w:tcBorders>
              <w:top w:val="single" w:sz="4" w:space="0" w:color="auto"/>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Fibrosis (%)</w:t>
            </w: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proofErr w:type="spellStart"/>
            <w:r w:rsidRPr="00CA3A79">
              <w:rPr>
                <w:rFonts w:ascii="Times New Roman" w:hAnsi="Times New Roman" w:cs="Times New Roman"/>
                <w:sz w:val="24"/>
                <w:szCs w:val="24"/>
              </w:rPr>
              <w:t>Squamoid</w:t>
            </w:r>
            <w:proofErr w:type="spellEnd"/>
            <w:r w:rsidRPr="00CA3A79">
              <w:rPr>
                <w:rFonts w:ascii="Times New Roman" w:hAnsi="Times New Roman" w:cs="Times New Roman"/>
                <w:sz w:val="24"/>
                <w:szCs w:val="24"/>
              </w:rPr>
              <w:t xml:space="preserve"> </w:t>
            </w:r>
            <w:r w:rsidRPr="00CA3A79">
              <w:rPr>
                <w:rFonts w:ascii="Times New Roman" w:hAnsi="Times New Roman" w:cs="Times New Roman"/>
                <w:sz w:val="24"/>
                <w:szCs w:val="24"/>
              </w:rPr>
              <w:br/>
              <w:t>solid nests</w:t>
            </w:r>
          </w:p>
        </w:tc>
        <w:tc>
          <w:tcPr>
            <w:tcW w:w="0" w:type="auto"/>
            <w:tcBorders>
              <w:top w:val="single" w:sz="4" w:space="0" w:color="auto"/>
              <w:bottom w:val="single" w:sz="4" w:space="0" w:color="auto"/>
            </w:tcBorders>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Follicular or solid/trabecular/insular architecture (%)</w:t>
            </w:r>
          </w:p>
        </w:tc>
        <w:tc>
          <w:tcPr>
            <w:tcW w:w="0" w:type="auto"/>
            <w:tcBorders>
              <w:top w:val="single" w:sz="4" w:space="0" w:color="auto"/>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Chronic thyroiditis</w:t>
            </w:r>
          </w:p>
        </w:tc>
      </w:tr>
      <w:tr w:rsidR="00607A0E" w:rsidRPr="00AA7F77" w:rsidTr="00AC2128">
        <w:trPr>
          <w:trHeight w:val="360"/>
        </w:trPr>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Case1</w:t>
            </w:r>
          </w:p>
        </w:tc>
        <w:tc>
          <w:tcPr>
            <w:tcW w:w="0" w:type="auto"/>
            <w:tcBorders>
              <w:top w:val="single" w:sz="4" w:space="0" w:color="auto"/>
            </w:tcBorders>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16</w:t>
            </w:r>
          </w:p>
        </w:tc>
        <w:tc>
          <w:tcPr>
            <w:tcW w:w="0" w:type="auto"/>
            <w:tcBorders>
              <w:top w:val="single" w:sz="4" w:space="0" w:color="auto"/>
            </w:tcBorders>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Female</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proofErr w:type="spellStart"/>
            <w:r w:rsidRPr="00CA3A79">
              <w:rPr>
                <w:rFonts w:ascii="Times New Roman" w:hAnsi="Times New Roman" w:cs="Times New Roman"/>
                <w:sz w:val="24"/>
                <w:szCs w:val="24"/>
              </w:rPr>
              <w:t>Intraglandular</w:t>
            </w:r>
            <w:proofErr w:type="spellEnd"/>
            <w:r w:rsidRPr="00CA3A79">
              <w:rPr>
                <w:rFonts w:ascii="Times New Roman" w:hAnsi="Times New Roman" w:cs="Times New Roman"/>
                <w:sz w:val="24"/>
                <w:szCs w:val="24"/>
              </w:rPr>
              <w:t xml:space="preserve"> dissemination present</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Consistent</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40</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10</w:t>
            </w:r>
          </w:p>
        </w:tc>
        <w:tc>
          <w:tcPr>
            <w:tcW w:w="0" w:type="auto"/>
            <w:tcBorders>
              <w:top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Case2</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22</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Female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proofErr w:type="spellStart"/>
            <w:r w:rsidRPr="00CA3A79">
              <w:rPr>
                <w:rFonts w:ascii="Times New Roman" w:hAnsi="Times New Roman" w:cs="Times New Roman"/>
                <w:sz w:val="24"/>
                <w:szCs w:val="24"/>
              </w:rPr>
              <w:t>Intraglandular</w:t>
            </w:r>
            <w:proofErr w:type="spellEnd"/>
            <w:r w:rsidRPr="00CA3A79">
              <w:rPr>
                <w:rFonts w:ascii="Times New Roman" w:hAnsi="Times New Roman" w:cs="Times New Roman"/>
                <w:sz w:val="24"/>
                <w:szCs w:val="24"/>
              </w:rPr>
              <w:t xml:space="preserve"> dissemination present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Consistent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20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50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Case3</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29</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Male</w:t>
            </w:r>
          </w:p>
        </w:tc>
        <w:tc>
          <w:tcPr>
            <w:tcW w:w="0" w:type="auto"/>
            <w:gridSpan w:val="9"/>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ND</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Case4</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51</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Female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proofErr w:type="spellStart"/>
            <w:r w:rsidRPr="00CA3A79">
              <w:rPr>
                <w:rFonts w:ascii="Times New Roman" w:hAnsi="Times New Roman" w:cs="Times New Roman"/>
                <w:sz w:val="24"/>
                <w:szCs w:val="24"/>
              </w:rPr>
              <w:t>Intraglandular</w:t>
            </w:r>
            <w:proofErr w:type="spellEnd"/>
            <w:r w:rsidRPr="00CA3A79">
              <w:rPr>
                <w:rFonts w:ascii="Times New Roman" w:hAnsi="Times New Roman" w:cs="Times New Roman"/>
                <w:sz w:val="24"/>
                <w:szCs w:val="24"/>
              </w:rPr>
              <w:t xml:space="preserve"> dissemination present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Consistent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20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10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Case</w:t>
            </w:r>
            <w:r w:rsidRPr="00CA3A79">
              <w:rPr>
                <w:rFonts w:ascii="Times New Roman" w:hAnsi="Times New Roman" w:cs="Times New Roman"/>
                <w:sz w:val="24"/>
                <w:szCs w:val="24"/>
              </w:rPr>
              <w:lastRenderedPageBreak/>
              <w:t>5</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lastRenderedPageBreak/>
              <w:t>53</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Femal</w:t>
            </w:r>
            <w:r w:rsidRPr="00CA3A79">
              <w:rPr>
                <w:rFonts w:ascii="Times New Roman" w:eastAsia="Yu Gothic" w:hAnsi="Times New Roman" w:cs="Times New Roman"/>
                <w:color w:val="000000"/>
                <w:kern w:val="0"/>
                <w:sz w:val="24"/>
                <w:szCs w:val="24"/>
              </w:rPr>
              <w:lastRenderedPageBreak/>
              <w:t>e</w:t>
            </w:r>
          </w:p>
        </w:tc>
        <w:tc>
          <w:tcPr>
            <w:tcW w:w="0" w:type="auto"/>
            <w:gridSpan w:val="9"/>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lastRenderedPageBreak/>
              <w:t>ND</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lastRenderedPageBreak/>
              <w:t>Case6</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57</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Female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Consistent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40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50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Case7</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59</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Male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Consistent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80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40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r>
      <w:tr w:rsidR="00607A0E" w:rsidRPr="00AA7F77" w:rsidTr="00AC2128">
        <w:trPr>
          <w:trHeight w:val="360"/>
        </w:trPr>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Case8</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70</w:t>
            </w:r>
          </w:p>
        </w:tc>
        <w:tc>
          <w:tcPr>
            <w:tcW w:w="0" w:type="auto"/>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Female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Consistent</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40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90</w:t>
            </w:r>
          </w:p>
        </w:tc>
        <w:tc>
          <w:tcPr>
            <w:tcW w:w="0" w:type="auto"/>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r>
      <w:tr w:rsidR="00607A0E" w:rsidRPr="00AA7F77" w:rsidTr="00AC2128">
        <w:trPr>
          <w:trHeight w:val="360"/>
        </w:trPr>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Case9</w:t>
            </w:r>
          </w:p>
        </w:tc>
        <w:tc>
          <w:tcPr>
            <w:tcW w:w="0" w:type="auto"/>
            <w:tcBorders>
              <w:bottom w:val="single" w:sz="4" w:space="0" w:color="auto"/>
            </w:tcBorders>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72</w:t>
            </w:r>
          </w:p>
        </w:tc>
        <w:tc>
          <w:tcPr>
            <w:tcW w:w="0" w:type="auto"/>
            <w:tcBorders>
              <w:bottom w:val="single" w:sz="4" w:space="0" w:color="auto"/>
            </w:tcBorders>
            <w:vAlign w:val="center"/>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eastAsia="Yu Gothic" w:hAnsi="Times New Roman" w:cs="Times New Roman"/>
                <w:color w:val="000000"/>
                <w:kern w:val="0"/>
                <w:sz w:val="24"/>
                <w:szCs w:val="24"/>
              </w:rPr>
              <w:t>Female</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proofErr w:type="spellStart"/>
            <w:r w:rsidRPr="00CA3A79">
              <w:rPr>
                <w:rFonts w:ascii="Times New Roman" w:hAnsi="Times New Roman" w:cs="Times New Roman"/>
                <w:sz w:val="24"/>
                <w:szCs w:val="24"/>
              </w:rPr>
              <w:t>Intraglandular</w:t>
            </w:r>
            <w:proofErr w:type="spellEnd"/>
            <w:r w:rsidRPr="00CA3A79">
              <w:rPr>
                <w:rFonts w:ascii="Times New Roman" w:hAnsi="Times New Roman" w:cs="Times New Roman"/>
                <w:sz w:val="24"/>
                <w:szCs w:val="24"/>
              </w:rPr>
              <w:t xml:space="preserve"> dissemination present</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Inconsistent</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90</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None</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90</w:t>
            </w:r>
          </w:p>
        </w:tc>
        <w:tc>
          <w:tcPr>
            <w:tcW w:w="0" w:type="auto"/>
            <w:tcBorders>
              <w:bottom w:val="single" w:sz="4" w:space="0" w:color="auto"/>
            </w:tcBorders>
            <w:noWrap/>
            <w:vAlign w:val="center"/>
            <w:hideMark/>
          </w:tcPr>
          <w:p w:rsidR="00607A0E" w:rsidRPr="00CA3A79" w:rsidRDefault="00607A0E" w:rsidP="00AC2128">
            <w:pPr>
              <w:snapToGrid w:val="0"/>
              <w:spacing w:line="480" w:lineRule="auto"/>
              <w:jc w:val="center"/>
              <w:rPr>
                <w:rFonts w:ascii="Times New Roman" w:hAnsi="Times New Roman" w:cs="Times New Roman"/>
                <w:sz w:val="24"/>
                <w:szCs w:val="24"/>
              </w:rPr>
            </w:pPr>
            <w:r w:rsidRPr="00CA3A79">
              <w:rPr>
                <w:rFonts w:ascii="Times New Roman" w:hAnsi="Times New Roman" w:cs="Times New Roman"/>
                <w:sz w:val="24"/>
                <w:szCs w:val="24"/>
              </w:rPr>
              <w:t>Present</w:t>
            </w:r>
          </w:p>
        </w:tc>
      </w:tr>
    </w:tbl>
    <w:p w:rsidR="00607A0E" w:rsidRPr="00CA3A79" w:rsidRDefault="00607A0E" w:rsidP="00607A0E">
      <w:pPr>
        <w:snapToGrid w:val="0"/>
        <w:spacing w:line="480" w:lineRule="auto"/>
        <w:rPr>
          <w:rFonts w:ascii="Times New Roman" w:hAnsi="Times New Roman" w:cs="Times New Roman"/>
          <w:sz w:val="24"/>
          <w:szCs w:val="24"/>
        </w:rPr>
      </w:pPr>
      <w:r w:rsidRPr="00CA3A79">
        <w:rPr>
          <w:rFonts w:ascii="Times New Roman" w:hAnsi="Times New Roman" w:cs="Times New Roman"/>
          <w:sz w:val="24"/>
          <w:szCs w:val="24"/>
        </w:rPr>
        <w:t xml:space="preserve">a: This Supporting Information 2 provides a comprehensive table detailing various characteristics in accordance with the diagnostic criteria for diffuse </w:t>
      </w:r>
      <w:proofErr w:type="spellStart"/>
      <w:r w:rsidRPr="00CA3A79">
        <w:rPr>
          <w:rFonts w:ascii="Times New Roman" w:hAnsi="Times New Roman" w:cs="Times New Roman"/>
          <w:sz w:val="24"/>
          <w:szCs w:val="24"/>
        </w:rPr>
        <w:t>sclerosing</w:t>
      </w:r>
      <w:proofErr w:type="spellEnd"/>
      <w:r w:rsidRPr="00CA3A79">
        <w:rPr>
          <w:rFonts w:ascii="Times New Roman" w:hAnsi="Times New Roman" w:cs="Times New Roman"/>
          <w:sz w:val="24"/>
          <w:szCs w:val="24"/>
        </w:rPr>
        <w:t xml:space="preserve"> variant papillary thyroid carcinoma by Chou A </w:t>
      </w:r>
      <w:r w:rsidRPr="00CA3A79">
        <w:rPr>
          <w:rFonts w:ascii="Times New Roman" w:hAnsi="Times New Roman" w:cs="Times New Roman"/>
          <w:i/>
          <w:iCs/>
          <w:sz w:val="24"/>
          <w:szCs w:val="24"/>
        </w:rPr>
        <w:t>et al</w:t>
      </w:r>
      <w:r w:rsidRPr="00CA3A79">
        <w:rPr>
          <w:rFonts w:ascii="Times New Roman" w:hAnsi="Times New Roman" w:cs="Times New Roman"/>
          <w:sz w:val="24"/>
          <w:szCs w:val="24"/>
        </w:rPr>
        <w:t xml:space="preserve"> (reference number 34</w:t>
      </w:r>
      <w:r w:rsidRPr="00CA3A79">
        <w:rPr>
          <w:rFonts w:ascii="Times New Roman" w:hAnsi="Times New Roman" w:cs="Times New Roman"/>
          <w:i/>
          <w:iCs/>
          <w:sz w:val="24"/>
          <w:szCs w:val="24"/>
        </w:rPr>
        <w:t>)</w:t>
      </w:r>
      <w:r w:rsidRPr="00CA3A79">
        <w:rPr>
          <w:rFonts w:ascii="Times New Roman" w:hAnsi="Times New Roman" w:cs="Times New Roman"/>
          <w:sz w:val="24"/>
          <w:szCs w:val="24"/>
        </w:rPr>
        <w:t xml:space="preserve">. Namely, it provides data such as age, sex, and key characteristics including diffuse involvement of the thyroid lobes, lymphatic involvement, </w:t>
      </w:r>
      <w:proofErr w:type="gramStart"/>
      <w:r w:rsidRPr="00CA3A79">
        <w:rPr>
          <w:rFonts w:ascii="Times New Roman" w:hAnsi="Times New Roman" w:cs="Times New Roman"/>
          <w:sz w:val="24"/>
          <w:szCs w:val="24"/>
        </w:rPr>
        <w:t>presence</w:t>
      </w:r>
      <w:proofErr w:type="gramEnd"/>
      <w:r w:rsidRPr="00CA3A79">
        <w:rPr>
          <w:rFonts w:ascii="Times New Roman" w:hAnsi="Times New Roman" w:cs="Times New Roman"/>
          <w:sz w:val="24"/>
          <w:szCs w:val="24"/>
        </w:rPr>
        <w:t xml:space="preserve"> of </w:t>
      </w:r>
      <w:proofErr w:type="spellStart"/>
      <w:r w:rsidRPr="00CA3A79">
        <w:rPr>
          <w:rFonts w:ascii="Times New Roman" w:hAnsi="Times New Roman" w:cs="Times New Roman"/>
          <w:sz w:val="24"/>
          <w:szCs w:val="24"/>
        </w:rPr>
        <w:t>psammoma</w:t>
      </w:r>
      <w:proofErr w:type="spellEnd"/>
      <w:r w:rsidRPr="00CA3A79">
        <w:rPr>
          <w:rFonts w:ascii="Times New Roman" w:hAnsi="Times New Roman" w:cs="Times New Roman"/>
          <w:sz w:val="24"/>
          <w:szCs w:val="24"/>
        </w:rPr>
        <w:t xml:space="preserve"> bodies, absence of high-grade features, percentage of fibrosis, presence of </w:t>
      </w:r>
      <w:proofErr w:type="spellStart"/>
      <w:r w:rsidRPr="00CA3A79">
        <w:rPr>
          <w:rFonts w:ascii="Times New Roman" w:hAnsi="Times New Roman" w:cs="Times New Roman"/>
          <w:sz w:val="24"/>
          <w:szCs w:val="24"/>
        </w:rPr>
        <w:t>squamoid</w:t>
      </w:r>
      <w:proofErr w:type="spellEnd"/>
      <w:r w:rsidRPr="00CA3A79">
        <w:rPr>
          <w:rFonts w:ascii="Times New Roman" w:hAnsi="Times New Roman" w:cs="Times New Roman"/>
          <w:sz w:val="24"/>
          <w:szCs w:val="24"/>
        </w:rPr>
        <w:t xml:space="preserve"> solid nests, and percentage of follicular or solid/trabecular/insular architecture. Although none of the nine cases fully met the essential criteria for diffuse </w:t>
      </w:r>
      <w:proofErr w:type="spellStart"/>
      <w:r w:rsidRPr="00CA3A79">
        <w:rPr>
          <w:rFonts w:ascii="Times New Roman" w:hAnsi="Times New Roman" w:cs="Times New Roman"/>
          <w:sz w:val="24"/>
          <w:szCs w:val="24"/>
        </w:rPr>
        <w:t>sclerosing</w:t>
      </w:r>
      <w:proofErr w:type="spellEnd"/>
      <w:r w:rsidRPr="00CA3A79">
        <w:rPr>
          <w:rFonts w:ascii="Times New Roman" w:hAnsi="Times New Roman" w:cs="Times New Roman"/>
          <w:sz w:val="24"/>
          <w:szCs w:val="24"/>
        </w:rPr>
        <w:t xml:space="preserve"> variant of papillary thyroid carcinoma, partial agreement with these criteria was observed and summarized.</w:t>
      </w:r>
    </w:p>
    <w:p w:rsidR="00607A0E" w:rsidRPr="00CA3A79" w:rsidRDefault="00607A0E" w:rsidP="00607A0E">
      <w:pPr>
        <w:snapToGrid w:val="0"/>
        <w:spacing w:line="480" w:lineRule="auto"/>
        <w:rPr>
          <w:rFonts w:ascii="Times New Roman" w:hAnsi="Times New Roman" w:cs="Times New Roman"/>
          <w:sz w:val="24"/>
          <w:szCs w:val="24"/>
        </w:rPr>
      </w:pPr>
    </w:p>
    <w:p w:rsidR="00607A0E" w:rsidRPr="00CA3A79" w:rsidRDefault="00607A0E" w:rsidP="00607A0E">
      <w:pPr>
        <w:widowControl/>
        <w:jc w:val="left"/>
        <w:rPr>
          <w:rFonts w:ascii="Times New Roman" w:hAnsi="Times New Roman" w:cs="Times New Roman"/>
          <w:sz w:val="24"/>
          <w:szCs w:val="24"/>
        </w:rPr>
        <w:sectPr w:rsidR="00607A0E" w:rsidRPr="00CA3A79" w:rsidSect="00DD2FF9">
          <w:pgSz w:w="20636" w:h="14570" w:orient="landscape" w:code="12"/>
          <w:pgMar w:top="1701" w:right="1985" w:bottom="1701" w:left="1701" w:header="851" w:footer="992" w:gutter="0"/>
          <w:cols w:space="425"/>
          <w:docGrid w:type="lines" w:linePitch="360"/>
        </w:sectPr>
      </w:pPr>
    </w:p>
    <w:p w:rsidR="00607A0E" w:rsidRPr="00CA3A79" w:rsidRDefault="00607A0E" w:rsidP="00607A0E">
      <w:pPr>
        <w:widowControl/>
        <w:jc w:val="left"/>
        <w:rPr>
          <w:rFonts w:ascii="Times New Roman" w:hAnsi="Times New Roman" w:cs="Times New Roman"/>
          <w:sz w:val="24"/>
          <w:szCs w:val="24"/>
        </w:rPr>
      </w:pPr>
      <w:r w:rsidRPr="00CA3A79">
        <w:rPr>
          <w:rFonts w:ascii="Times New Roman" w:hAnsi="Times New Roman" w:cs="Times New Roman"/>
          <w:sz w:val="24"/>
          <w:szCs w:val="24"/>
        </w:rPr>
        <w:lastRenderedPageBreak/>
        <w:t>Supporting Information 3</w:t>
      </w:r>
    </w:p>
    <w:p w:rsidR="00607A0E" w:rsidRPr="00CA3A79" w:rsidRDefault="00607A0E" w:rsidP="00607A0E">
      <w:pPr>
        <w:widowControl/>
        <w:jc w:val="left"/>
        <w:rPr>
          <w:rFonts w:ascii="Times New Roman" w:hAnsi="Times New Roman" w:cs="Times New Roman"/>
          <w:sz w:val="24"/>
          <w:szCs w:val="24"/>
        </w:rPr>
      </w:pPr>
      <w:r w:rsidRPr="00CA3A79">
        <w:rPr>
          <w:rFonts w:ascii="Times New Roman" w:hAnsi="Times New Roman" w:cs="Times New Roman"/>
          <w:sz w:val="24"/>
          <w:szCs w:val="24"/>
        </w:rPr>
        <w:t>Title: Efficient analysis process for papillary thyroid carcinoma with fusion genes</w:t>
      </w:r>
    </w:p>
    <w:p w:rsidR="00607A0E" w:rsidRPr="00CA3A79" w:rsidRDefault="00607A0E" w:rsidP="00607A0E">
      <w:pPr>
        <w:rPr>
          <w:rFonts w:ascii="Times New Roman" w:hAnsi="Times New Roman" w:cs="Times New Roman"/>
          <w:sz w:val="24"/>
          <w:szCs w:val="24"/>
        </w:rPr>
      </w:pPr>
      <w:r w:rsidRPr="00CA3A79">
        <w:rPr>
          <w:rFonts w:ascii="Times New Roman" w:hAnsi="Times New Roman" w:cs="Times New Roman"/>
          <w:sz w:val="24"/>
          <w:szCs w:val="24"/>
        </w:rPr>
        <w:t xml:space="preserve">Legend: Review of clinical data, including patient age and disease progression, is essential to identify cases potentially benefiting from genetic analysis. For accurate genetic testing, strategic incisions for tissue samples and removing adipose tissue around lymph nodes may be required. The decision to decalcification procedure should balance nucleic acid preservation against sample visibility. Histologically, features often associated with fusion genes, such as non-papillary structures, dysmorphic clear cells, and </w:t>
      </w:r>
      <w:proofErr w:type="spellStart"/>
      <w:r w:rsidRPr="00CA3A79">
        <w:rPr>
          <w:rFonts w:ascii="Times New Roman" w:hAnsi="Times New Roman" w:cs="Times New Roman"/>
          <w:sz w:val="24"/>
          <w:szCs w:val="24"/>
        </w:rPr>
        <w:t>psammoma</w:t>
      </w:r>
      <w:proofErr w:type="spellEnd"/>
      <w:r w:rsidRPr="00CA3A79">
        <w:rPr>
          <w:rFonts w:ascii="Times New Roman" w:hAnsi="Times New Roman" w:cs="Times New Roman"/>
          <w:sz w:val="24"/>
          <w:szCs w:val="24"/>
        </w:rPr>
        <w:t xml:space="preserve"> bodies/calcifications, warrant careful examination. Resemblance to the diffuse </w:t>
      </w:r>
      <w:proofErr w:type="spellStart"/>
      <w:r w:rsidRPr="00CA3A79">
        <w:rPr>
          <w:rFonts w:ascii="Times New Roman" w:hAnsi="Times New Roman" w:cs="Times New Roman"/>
          <w:sz w:val="24"/>
          <w:szCs w:val="24"/>
        </w:rPr>
        <w:t>sclerosing</w:t>
      </w:r>
      <w:proofErr w:type="spellEnd"/>
      <w:r w:rsidRPr="00CA3A79">
        <w:rPr>
          <w:rFonts w:ascii="Times New Roman" w:hAnsi="Times New Roman" w:cs="Times New Roman"/>
          <w:sz w:val="24"/>
          <w:szCs w:val="24"/>
        </w:rPr>
        <w:t xml:space="preserve"> variant of papillary thyroid carcinoma is an important consideration. Assess the nuclear characteristics for signs of “</w:t>
      </w:r>
      <w:r w:rsidRPr="00CA3A79">
        <w:rPr>
          <w:rFonts w:ascii="Times New Roman" w:hAnsi="Times New Roman" w:cs="Times New Roman"/>
          <w:i/>
          <w:iCs/>
          <w:sz w:val="24"/>
          <w:szCs w:val="24"/>
        </w:rPr>
        <w:t>BRAF</w:t>
      </w:r>
      <w:r w:rsidRPr="00CA3A79">
        <w:rPr>
          <w:rFonts w:ascii="Times New Roman" w:hAnsi="Times New Roman" w:cs="Times New Roman"/>
          <w:sz w:val="24"/>
          <w:szCs w:val="24"/>
        </w:rPr>
        <w:t>-like” or “</w:t>
      </w:r>
      <w:r w:rsidRPr="00CA3A79">
        <w:rPr>
          <w:rFonts w:ascii="Times New Roman" w:hAnsi="Times New Roman" w:cs="Times New Roman"/>
          <w:i/>
          <w:iCs/>
          <w:sz w:val="24"/>
          <w:szCs w:val="24"/>
        </w:rPr>
        <w:t>RAS</w:t>
      </w:r>
      <w:r w:rsidRPr="00CA3A79">
        <w:rPr>
          <w:rFonts w:ascii="Times New Roman" w:hAnsi="Times New Roman" w:cs="Times New Roman"/>
          <w:sz w:val="24"/>
          <w:szCs w:val="24"/>
        </w:rPr>
        <w:t xml:space="preserve">-like” atypia. The evaluation of </w:t>
      </w:r>
      <w:r w:rsidRPr="00CA3A79">
        <w:rPr>
          <w:rFonts w:ascii="Times New Roman" w:hAnsi="Times New Roman" w:cs="Times New Roman"/>
          <w:i/>
          <w:iCs/>
          <w:sz w:val="24"/>
          <w:szCs w:val="24"/>
        </w:rPr>
        <w:t>BRAF</w:t>
      </w:r>
      <w:r w:rsidRPr="00CA3A79">
        <w:rPr>
          <w:rFonts w:ascii="Times New Roman" w:hAnsi="Times New Roman" w:cs="Times New Roman"/>
          <w:sz w:val="24"/>
          <w:szCs w:val="24"/>
        </w:rPr>
        <w:t xml:space="preserve"> V600E mutation immunoreactivity is crucial, as </w:t>
      </w:r>
      <w:r w:rsidRPr="00CA3A79">
        <w:rPr>
          <w:rFonts w:ascii="Times New Roman" w:hAnsi="Times New Roman" w:cs="Times New Roman"/>
          <w:i/>
          <w:iCs/>
          <w:sz w:val="24"/>
          <w:szCs w:val="24"/>
        </w:rPr>
        <w:t>BRAF</w:t>
      </w:r>
      <w:r w:rsidRPr="00CA3A79">
        <w:rPr>
          <w:rFonts w:ascii="Times New Roman" w:hAnsi="Times New Roman" w:cs="Times New Roman"/>
          <w:sz w:val="24"/>
          <w:szCs w:val="24"/>
        </w:rPr>
        <w:t xml:space="preserve"> mutations typically exclude the presence of </w:t>
      </w:r>
      <w:r w:rsidRPr="00CA3A79">
        <w:rPr>
          <w:rFonts w:ascii="Times New Roman" w:hAnsi="Times New Roman" w:cs="Times New Roman"/>
          <w:i/>
          <w:iCs/>
          <w:sz w:val="24"/>
          <w:szCs w:val="24"/>
        </w:rPr>
        <w:t>RET</w:t>
      </w:r>
      <w:r w:rsidRPr="00CA3A79">
        <w:rPr>
          <w:rFonts w:ascii="Times New Roman" w:hAnsi="Times New Roman" w:cs="Times New Roman"/>
          <w:sz w:val="24"/>
          <w:szCs w:val="24"/>
        </w:rPr>
        <w:t xml:space="preserve"> and/or </w:t>
      </w:r>
      <w:r w:rsidRPr="00CA3A79">
        <w:rPr>
          <w:rFonts w:ascii="Times New Roman" w:hAnsi="Times New Roman" w:cs="Times New Roman"/>
          <w:i/>
          <w:iCs/>
          <w:sz w:val="24"/>
          <w:szCs w:val="24"/>
        </w:rPr>
        <w:t>NTRK</w:t>
      </w:r>
      <w:r w:rsidRPr="00CA3A79">
        <w:rPr>
          <w:rFonts w:ascii="Times New Roman" w:hAnsi="Times New Roman" w:cs="Times New Roman"/>
          <w:sz w:val="24"/>
          <w:szCs w:val="24"/>
        </w:rPr>
        <w:t xml:space="preserve"> fusion genes. This </w:t>
      </w:r>
      <w:proofErr w:type="spellStart"/>
      <w:r w:rsidRPr="00CA3A79">
        <w:rPr>
          <w:rFonts w:ascii="Times New Roman" w:hAnsi="Times New Roman" w:cs="Times New Roman"/>
          <w:sz w:val="24"/>
          <w:szCs w:val="24"/>
        </w:rPr>
        <w:t>immunohistochemical</w:t>
      </w:r>
      <w:proofErr w:type="spellEnd"/>
      <w:r w:rsidRPr="00CA3A79">
        <w:rPr>
          <w:rFonts w:ascii="Times New Roman" w:hAnsi="Times New Roman" w:cs="Times New Roman"/>
          <w:sz w:val="24"/>
          <w:szCs w:val="24"/>
        </w:rPr>
        <w:t xml:space="preserve"> analysis assists in confirming the </w:t>
      </w:r>
      <w:r w:rsidRPr="00CA3A79">
        <w:rPr>
          <w:rFonts w:ascii="Times New Roman" w:hAnsi="Times New Roman" w:cs="Times New Roman"/>
          <w:i/>
          <w:iCs/>
          <w:sz w:val="24"/>
          <w:szCs w:val="24"/>
        </w:rPr>
        <w:t>BRAF</w:t>
      </w:r>
      <w:r w:rsidRPr="00CA3A79">
        <w:rPr>
          <w:rFonts w:ascii="Times New Roman" w:hAnsi="Times New Roman" w:cs="Times New Roman"/>
          <w:sz w:val="24"/>
          <w:szCs w:val="24"/>
        </w:rPr>
        <w:t xml:space="preserve"> V600E mutation status. Upon receiving the final genetic analysis results, cases with specific mutations will be re-evaluated. At this stage, a detailed examination of the association between any detected genetic alterations and histological findings is undertaken. This analysis aims to gain detailed insights into the relationship between genetic mutations and histological findings.</w:t>
      </w:r>
    </w:p>
    <w:p w:rsidR="00515072" w:rsidRDefault="00515072">
      <w:bookmarkStart w:id="1" w:name="_GoBack"/>
      <w:bookmarkEnd w:id="1"/>
    </w:p>
    <w:sectPr w:rsidR="00515072" w:rsidSect="00DD2FF9">
      <w:pgSz w:w="11906" w:h="16838"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A0E"/>
    <w:rsid w:val="00000018"/>
    <w:rsid w:val="00006EE7"/>
    <w:rsid w:val="0002083E"/>
    <w:rsid w:val="00036C50"/>
    <w:rsid w:val="000E5DCD"/>
    <w:rsid w:val="000E5F8B"/>
    <w:rsid w:val="0010127D"/>
    <w:rsid w:val="001424B6"/>
    <w:rsid w:val="00153E4D"/>
    <w:rsid w:val="001658F5"/>
    <w:rsid w:val="001B03C3"/>
    <w:rsid w:val="00217117"/>
    <w:rsid w:val="0023015C"/>
    <w:rsid w:val="0025719F"/>
    <w:rsid w:val="0028115F"/>
    <w:rsid w:val="002A6856"/>
    <w:rsid w:val="003576FE"/>
    <w:rsid w:val="00365209"/>
    <w:rsid w:val="003E30CB"/>
    <w:rsid w:val="003E3BAE"/>
    <w:rsid w:val="00473A34"/>
    <w:rsid w:val="00484F57"/>
    <w:rsid w:val="004A38F6"/>
    <w:rsid w:val="004B2D81"/>
    <w:rsid w:val="004B5C6F"/>
    <w:rsid w:val="004F0340"/>
    <w:rsid w:val="00507E6D"/>
    <w:rsid w:val="00515072"/>
    <w:rsid w:val="005569EF"/>
    <w:rsid w:val="00561E66"/>
    <w:rsid w:val="0059176B"/>
    <w:rsid w:val="005D5BB3"/>
    <w:rsid w:val="00600F39"/>
    <w:rsid w:val="006029CE"/>
    <w:rsid w:val="00607A0E"/>
    <w:rsid w:val="00632FF3"/>
    <w:rsid w:val="00667D84"/>
    <w:rsid w:val="00816E30"/>
    <w:rsid w:val="0082013F"/>
    <w:rsid w:val="00830AD2"/>
    <w:rsid w:val="00846737"/>
    <w:rsid w:val="0089582E"/>
    <w:rsid w:val="00987E9E"/>
    <w:rsid w:val="009E4838"/>
    <w:rsid w:val="00A07278"/>
    <w:rsid w:val="00A35EA3"/>
    <w:rsid w:val="00A77871"/>
    <w:rsid w:val="00AB65AF"/>
    <w:rsid w:val="00B01EF0"/>
    <w:rsid w:val="00B02E6E"/>
    <w:rsid w:val="00B769E3"/>
    <w:rsid w:val="00B77AB7"/>
    <w:rsid w:val="00BE211A"/>
    <w:rsid w:val="00BF3B38"/>
    <w:rsid w:val="00C10401"/>
    <w:rsid w:val="00C82F23"/>
    <w:rsid w:val="00CA221F"/>
    <w:rsid w:val="00CA6391"/>
    <w:rsid w:val="00CB4179"/>
    <w:rsid w:val="00D41534"/>
    <w:rsid w:val="00DA0C3A"/>
    <w:rsid w:val="00DA5D5F"/>
    <w:rsid w:val="00DB137E"/>
    <w:rsid w:val="00DC46FE"/>
    <w:rsid w:val="00DE1471"/>
    <w:rsid w:val="00E0353C"/>
    <w:rsid w:val="00E05D58"/>
    <w:rsid w:val="00E529BE"/>
    <w:rsid w:val="00E57E2C"/>
    <w:rsid w:val="00E70747"/>
    <w:rsid w:val="00E8351A"/>
    <w:rsid w:val="00F45DD1"/>
    <w:rsid w:val="00F62B55"/>
    <w:rsid w:val="00F93E93"/>
    <w:rsid w:val="00FE1084"/>
    <w:rsid w:val="00FE3621"/>
    <w:rsid w:val="00FF2A9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A0E"/>
    <w:pPr>
      <w:widowControl w:val="0"/>
      <w:spacing w:after="0" w:line="240" w:lineRule="auto"/>
      <w:jc w:val="both"/>
    </w:pPr>
    <w:rPr>
      <w:rFonts w:eastAsiaTheme="minorEastAsia"/>
      <w:kern w:val="2"/>
      <w:sz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5AF"/>
    <w:pPr>
      <w:widowControl/>
      <w:jc w:val="left"/>
    </w:pPr>
    <w:rPr>
      <w:rFonts w:ascii="Tahoma" w:eastAsiaTheme="minorHAnsi" w:hAnsi="Tahoma" w:cs="Tahoma"/>
      <w:kern w:val="0"/>
      <w:sz w:val="16"/>
      <w:szCs w:val="16"/>
      <w:lang w:val="en-PH" w:eastAsia="en-US"/>
    </w:rPr>
  </w:style>
  <w:style w:type="character" w:customStyle="1" w:styleId="BalloonTextChar">
    <w:name w:val="Balloon Text Char"/>
    <w:basedOn w:val="DefaultParagraphFont"/>
    <w:link w:val="BalloonText"/>
    <w:uiPriority w:val="99"/>
    <w:semiHidden/>
    <w:rsid w:val="00AB65AF"/>
    <w:rPr>
      <w:rFonts w:ascii="Tahoma" w:hAnsi="Tahoma" w:cs="Tahoma"/>
      <w:sz w:val="16"/>
      <w:szCs w:val="16"/>
    </w:rPr>
  </w:style>
  <w:style w:type="table" w:styleId="TableGrid">
    <w:name w:val="Table Grid"/>
    <w:basedOn w:val="TableNormal"/>
    <w:uiPriority w:val="39"/>
    <w:rsid w:val="00607A0E"/>
    <w:pPr>
      <w:spacing w:after="0" w:line="240" w:lineRule="auto"/>
    </w:pPr>
    <w:rPr>
      <w:rFonts w:eastAsiaTheme="minorEastAsia"/>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A0E"/>
    <w:pPr>
      <w:widowControl w:val="0"/>
      <w:spacing w:after="0" w:line="240" w:lineRule="auto"/>
      <w:jc w:val="both"/>
    </w:pPr>
    <w:rPr>
      <w:rFonts w:eastAsiaTheme="minorEastAsia"/>
      <w:kern w:val="2"/>
      <w:sz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5AF"/>
    <w:pPr>
      <w:widowControl/>
      <w:jc w:val="left"/>
    </w:pPr>
    <w:rPr>
      <w:rFonts w:ascii="Tahoma" w:eastAsiaTheme="minorHAnsi" w:hAnsi="Tahoma" w:cs="Tahoma"/>
      <w:kern w:val="0"/>
      <w:sz w:val="16"/>
      <w:szCs w:val="16"/>
      <w:lang w:val="en-PH" w:eastAsia="en-US"/>
    </w:rPr>
  </w:style>
  <w:style w:type="character" w:customStyle="1" w:styleId="BalloonTextChar">
    <w:name w:val="Balloon Text Char"/>
    <w:basedOn w:val="DefaultParagraphFont"/>
    <w:link w:val="BalloonText"/>
    <w:uiPriority w:val="99"/>
    <w:semiHidden/>
    <w:rsid w:val="00AB65AF"/>
    <w:rPr>
      <w:rFonts w:ascii="Tahoma" w:hAnsi="Tahoma" w:cs="Tahoma"/>
      <w:sz w:val="16"/>
      <w:szCs w:val="16"/>
    </w:rPr>
  </w:style>
  <w:style w:type="table" w:styleId="TableGrid">
    <w:name w:val="Table Grid"/>
    <w:basedOn w:val="TableNormal"/>
    <w:uiPriority w:val="39"/>
    <w:rsid w:val="00607A0E"/>
    <w:pPr>
      <w:spacing w:after="0" w:line="240" w:lineRule="auto"/>
    </w:pPr>
    <w:rPr>
      <w:rFonts w:eastAsiaTheme="minorEastAsia"/>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NiÃ±o Horel</dc:creator>
  <cp:lastModifiedBy>NiÃ±o Horel</cp:lastModifiedBy>
  <cp:revision>1</cp:revision>
  <dcterms:created xsi:type="dcterms:W3CDTF">2024-03-09T00:37:00Z</dcterms:created>
  <dcterms:modified xsi:type="dcterms:W3CDTF">2024-03-09T00:37:00Z</dcterms:modified>
</cp:coreProperties>
</file>