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65" w:rsidRPr="00E370B7" w:rsidRDefault="00487C65" w:rsidP="00487C65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</w:rPr>
      </w:pPr>
      <w:r w:rsidRPr="00E370B7">
        <w:rPr>
          <w:b/>
          <w:bCs/>
          <w:color w:val="000000" w:themeColor="text1"/>
          <w:sz w:val="20"/>
          <w:szCs w:val="20"/>
        </w:rPr>
        <w:t>Supplementary information</w:t>
      </w:r>
    </w:p>
    <w:p w:rsidR="00487C65" w:rsidRPr="00E370B7" w:rsidRDefault="00487C65" w:rsidP="00487C65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</w:rPr>
      </w:pPr>
      <w:r w:rsidRPr="00E370B7">
        <w:rPr>
          <w:b/>
          <w:bCs/>
          <w:color w:val="000000" w:themeColor="text1"/>
          <w:sz w:val="20"/>
          <w:szCs w:val="20"/>
        </w:rPr>
        <w:t>Detailed treatment protocol</w:t>
      </w:r>
    </w:p>
    <w:p w:rsidR="00487C65" w:rsidRPr="00E370B7" w:rsidRDefault="00487C65" w:rsidP="00487C65">
      <w:pPr>
        <w:widowControl w:val="0"/>
        <w:autoSpaceDE w:val="0"/>
        <w:autoSpaceDN w:val="0"/>
        <w:adjustRightInd w:val="0"/>
        <w:ind w:firstLine="142"/>
        <w:jc w:val="both"/>
        <w:rPr>
          <w:color w:val="000000" w:themeColor="text1"/>
          <w:sz w:val="20"/>
          <w:szCs w:val="20"/>
        </w:rPr>
      </w:pPr>
      <w:r w:rsidRPr="00E370B7">
        <w:rPr>
          <w:b/>
          <w:bCs/>
          <w:color w:val="000000" w:themeColor="text1"/>
          <w:sz w:val="20"/>
          <w:szCs w:val="20"/>
        </w:rPr>
        <w:t>Case 1</w:t>
      </w:r>
      <w:r w:rsidRPr="00E370B7">
        <w:rPr>
          <w:color w:val="000000" w:themeColor="text1"/>
          <w:sz w:val="20"/>
          <w:szCs w:val="20"/>
        </w:rPr>
        <w:t xml:space="preserve">: </w:t>
      </w:r>
      <w:r w:rsidRPr="00E370B7">
        <w:rPr>
          <w:color w:val="000000" w:themeColor="text1"/>
          <w:sz w:val="20"/>
          <w:szCs w:val="20"/>
          <w:shd w:val="clear" w:color="auto" w:fill="FFFFFF"/>
        </w:rPr>
        <w:t xml:space="preserve">In the absence of a standard of care, the patient benefited from conventional </w:t>
      </w:r>
      <w:proofErr w:type="spellStart"/>
      <w:r w:rsidRPr="00E370B7">
        <w:rPr>
          <w:color w:val="000000" w:themeColor="text1"/>
          <w:sz w:val="20"/>
          <w:szCs w:val="20"/>
          <w:shd w:val="clear" w:color="auto" w:fill="FFFFFF"/>
        </w:rPr>
        <w:t>polychemotherapy</w:t>
      </w:r>
      <w:proofErr w:type="spellEnd"/>
      <w:r w:rsidRPr="00E370B7">
        <w:rPr>
          <w:color w:val="000000"/>
          <w:sz w:val="20"/>
          <w:szCs w:val="20"/>
        </w:rPr>
        <w:t>, which is</w:t>
      </w:r>
      <w:r w:rsidRPr="00E370B7">
        <w:rPr>
          <w:color w:val="000000" w:themeColor="text1"/>
          <w:sz w:val="20"/>
          <w:szCs w:val="20"/>
          <w:shd w:val="clear" w:color="auto" w:fill="FFFFFF"/>
        </w:rPr>
        <w:t xml:space="preserve"> usually used for round cell sarcomas and desmoplastic small round cell tumors. This chemotherapy was delivered in a </w:t>
      </w:r>
      <w:r w:rsidRPr="00E370B7">
        <w:rPr>
          <w:color w:val="000000"/>
          <w:sz w:val="20"/>
          <w:szCs w:val="20"/>
        </w:rPr>
        <w:t>neoadjuvant</w:t>
      </w:r>
      <w:r w:rsidRPr="00E370B7">
        <w:rPr>
          <w:color w:val="000000" w:themeColor="text1"/>
          <w:sz w:val="20"/>
          <w:szCs w:val="20"/>
          <w:shd w:val="clear" w:color="auto" w:fill="FFFFFF"/>
        </w:rPr>
        <w:t xml:space="preserve"> fashion with 3 cycles </w:t>
      </w:r>
      <w:r w:rsidRPr="00E370B7">
        <w:rPr>
          <w:color w:val="000000" w:themeColor="text1"/>
          <w:sz w:val="20"/>
          <w:szCs w:val="20"/>
        </w:rPr>
        <w:t xml:space="preserve">of </w:t>
      </w:r>
      <w:proofErr w:type="spellStart"/>
      <w:proofErr w:type="gramStart"/>
      <w:r w:rsidRPr="00E370B7">
        <w:rPr>
          <w:color w:val="000000"/>
          <w:sz w:val="20"/>
          <w:szCs w:val="20"/>
        </w:rPr>
        <w:t>adriamycin</w:t>
      </w:r>
      <w:proofErr w:type="spellEnd"/>
      <w:proofErr w:type="gramEnd"/>
      <w:r w:rsidRPr="00E370B7">
        <w:rPr>
          <w:color w:val="000000"/>
          <w:sz w:val="20"/>
          <w:szCs w:val="20"/>
        </w:rPr>
        <w:t xml:space="preserve">, </w:t>
      </w:r>
      <w:proofErr w:type="spellStart"/>
      <w:r w:rsidRPr="00E370B7">
        <w:rPr>
          <w:color w:val="000000"/>
          <w:sz w:val="20"/>
          <w:szCs w:val="20"/>
        </w:rPr>
        <w:t>ifosfamide</w:t>
      </w:r>
      <w:proofErr w:type="spellEnd"/>
      <w:r w:rsidRPr="00E370B7">
        <w:rPr>
          <w:color w:val="000000"/>
          <w:sz w:val="20"/>
          <w:szCs w:val="20"/>
        </w:rPr>
        <w:t xml:space="preserve">, </w:t>
      </w:r>
      <w:proofErr w:type="spellStart"/>
      <w:r w:rsidRPr="00E370B7">
        <w:rPr>
          <w:color w:val="000000"/>
          <w:sz w:val="20"/>
          <w:szCs w:val="20"/>
        </w:rPr>
        <w:t>dacarbazine</w:t>
      </w:r>
      <w:proofErr w:type="spellEnd"/>
      <w:r w:rsidRPr="00E370B7">
        <w:rPr>
          <w:color w:val="000000"/>
          <w:sz w:val="20"/>
          <w:szCs w:val="20"/>
        </w:rPr>
        <w:t>, and vincristine</w:t>
      </w:r>
      <w:r w:rsidRPr="00E370B7">
        <w:rPr>
          <w:color w:val="000000" w:themeColor="text1"/>
          <w:sz w:val="20"/>
          <w:szCs w:val="20"/>
        </w:rPr>
        <w:t xml:space="preserve"> (MAID–ONCOVIN protocol) alternated with 3 cycles of cisplatin, </w:t>
      </w:r>
      <w:proofErr w:type="spellStart"/>
      <w:r w:rsidRPr="00E370B7">
        <w:rPr>
          <w:color w:val="000000" w:themeColor="text1"/>
          <w:sz w:val="20"/>
          <w:szCs w:val="20"/>
        </w:rPr>
        <w:t>ifosfamide</w:t>
      </w:r>
      <w:proofErr w:type="spellEnd"/>
      <w:r w:rsidRPr="00E370B7">
        <w:rPr>
          <w:color w:val="000000" w:themeColor="text1"/>
          <w:sz w:val="20"/>
          <w:szCs w:val="20"/>
        </w:rPr>
        <w:t xml:space="preserve"> and etoposide (VIP protocol). Because of ER </w:t>
      </w:r>
      <w:r w:rsidRPr="00E370B7">
        <w:rPr>
          <w:color w:val="000000"/>
          <w:sz w:val="20"/>
          <w:szCs w:val="20"/>
        </w:rPr>
        <w:t>tumor</w:t>
      </w:r>
      <w:r w:rsidRPr="00E370B7">
        <w:rPr>
          <w:color w:val="000000" w:themeColor="text1"/>
          <w:sz w:val="20"/>
          <w:szCs w:val="20"/>
        </w:rPr>
        <w:t xml:space="preserve"> expression, hormone therapy with </w:t>
      </w:r>
      <w:proofErr w:type="spellStart"/>
      <w:r w:rsidRPr="00E370B7">
        <w:rPr>
          <w:color w:val="000000" w:themeColor="text1"/>
          <w:sz w:val="20"/>
          <w:szCs w:val="20"/>
        </w:rPr>
        <w:t>triptorelin</w:t>
      </w:r>
      <w:proofErr w:type="spellEnd"/>
      <w:r w:rsidRPr="00E370B7">
        <w:rPr>
          <w:color w:val="000000" w:themeColor="text1"/>
          <w:sz w:val="20"/>
          <w:szCs w:val="20"/>
        </w:rPr>
        <w:t xml:space="preserve"> and </w:t>
      </w:r>
      <w:proofErr w:type="spellStart"/>
      <w:r w:rsidRPr="00E370B7">
        <w:rPr>
          <w:color w:val="000000" w:themeColor="text1"/>
          <w:sz w:val="20"/>
          <w:szCs w:val="20"/>
        </w:rPr>
        <w:t>letrozole</w:t>
      </w:r>
      <w:proofErr w:type="spellEnd"/>
      <w:r w:rsidRPr="00E370B7">
        <w:rPr>
          <w:color w:val="000000" w:themeColor="text1"/>
          <w:sz w:val="20"/>
          <w:szCs w:val="20"/>
        </w:rPr>
        <w:t xml:space="preserve"> was </w:t>
      </w:r>
      <w:r w:rsidRPr="00E370B7">
        <w:rPr>
          <w:color w:val="000000"/>
          <w:sz w:val="20"/>
          <w:szCs w:val="20"/>
        </w:rPr>
        <w:t>administered</w:t>
      </w:r>
      <w:r w:rsidRPr="00E370B7">
        <w:rPr>
          <w:color w:val="000000" w:themeColor="text1"/>
          <w:sz w:val="20"/>
          <w:szCs w:val="20"/>
        </w:rPr>
        <w:t xml:space="preserve"> during neoadjuvant therapy. No objective response was </w:t>
      </w:r>
      <w:r w:rsidRPr="00E370B7">
        <w:rPr>
          <w:color w:val="000000"/>
          <w:sz w:val="20"/>
          <w:szCs w:val="20"/>
        </w:rPr>
        <w:t>observed</w:t>
      </w:r>
      <w:r w:rsidRPr="00E370B7">
        <w:rPr>
          <w:color w:val="000000" w:themeColor="text1"/>
          <w:sz w:val="20"/>
          <w:szCs w:val="20"/>
        </w:rPr>
        <w:t xml:space="preserve"> under treatment, </w:t>
      </w:r>
      <w:r w:rsidRPr="00E370B7">
        <w:rPr>
          <w:color w:val="000000"/>
          <w:sz w:val="20"/>
          <w:szCs w:val="20"/>
        </w:rPr>
        <w:t xml:space="preserve">with </w:t>
      </w:r>
      <w:r w:rsidRPr="00E370B7">
        <w:rPr>
          <w:color w:val="000000" w:themeColor="text1"/>
          <w:sz w:val="20"/>
          <w:szCs w:val="20"/>
        </w:rPr>
        <w:t xml:space="preserve">the best response being stable disease. </w:t>
      </w:r>
      <w:r w:rsidRPr="00E370B7">
        <w:rPr>
          <w:color w:val="000000"/>
          <w:sz w:val="20"/>
          <w:szCs w:val="20"/>
        </w:rPr>
        <w:t xml:space="preserve">Two </w:t>
      </w:r>
      <w:r w:rsidRPr="00E370B7">
        <w:rPr>
          <w:color w:val="000000" w:themeColor="text1"/>
          <w:sz w:val="20"/>
          <w:szCs w:val="20"/>
        </w:rPr>
        <w:t xml:space="preserve">months after </w:t>
      </w:r>
      <w:proofErr w:type="spellStart"/>
      <w:r w:rsidRPr="00E370B7">
        <w:rPr>
          <w:color w:val="000000" w:themeColor="text1"/>
          <w:sz w:val="20"/>
          <w:szCs w:val="20"/>
        </w:rPr>
        <w:t>cytoreductive</w:t>
      </w:r>
      <w:proofErr w:type="spellEnd"/>
      <w:r w:rsidRPr="00E370B7">
        <w:rPr>
          <w:color w:val="000000" w:themeColor="text1"/>
          <w:sz w:val="20"/>
          <w:szCs w:val="20"/>
        </w:rPr>
        <w:t xml:space="preserve"> surgery</w:t>
      </w:r>
      <w:r w:rsidRPr="00E370B7">
        <w:rPr>
          <w:color w:val="000000"/>
          <w:sz w:val="20"/>
          <w:szCs w:val="20"/>
        </w:rPr>
        <w:t>,</w:t>
      </w:r>
      <w:r w:rsidRPr="00E370B7">
        <w:rPr>
          <w:color w:val="000000" w:themeColor="text1"/>
          <w:sz w:val="20"/>
          <w:szCs w:val="20"/>
        </w:rPr>
        <w:t xml:space="preserve"> </w:t>
      </w:r>
      <w:r w:rsidRPr="00E370B7">
        <w:rPr>
          <w:color w:val="000000"/>
          <w:sz w:val="20"/>
          <w:szCs w:val="20"/>
        </w:rPr>
        <w:t xml:space="preserve">the </w:t>
      </w:r>
      <w:r w:rsidRPr="00E370B7">
        <w:rPr>
          <w:color w:val="000000" w:themeColor="text1"/>
          <w:sz w:val="20"/>
          <w:szCs w:val="20"/>
        </w:rPr>
        <w:t>patient underwent adjuvant radiotherapy of the whole abdomen (23.</w:t>
      </w:r>
      <w:r w:rsidRPr="00E370B7">
        <w:rPr>
          <w:color w:val="000000"/>
          <w:sz w:val="20"/>
          <w:szCs w:val="20"/>
        </w:rPr>
        <w:t>4</w:t>
      </w:r>
      <w:r w:rsidRPr="00E370B7">
        <w:rPr>
          <w:color w:val="000000" w:themeColor="text1"/>
          <w:sz w:val="20"/>
          <w:szCs w:val="20"/>
        </w:rPr>
        <w:t xml:space="preserve"> </w:t>
      </w:r>
      <w:proofErr w:type="spellStart"/>
      <w:r w:rsidRPr="00E370B7">
        <w:rPr>
          <w:color w:val="000000"/>
          <w:sz w:val="20"/>
          <w:szCs w:val="20"/>
        </w:rPr>
        <w:t>Gy</w:t>
      </w:r>
      <w:proofErr w:type="spellEnd"/>
      <w:r w:rsidRPr="00E370B7">
        <w:rPr>
          <w:color w:val="000000"/>
          <w:sz w:val="20"/>
          <w:szCs w:val="20"/>
        </w:rPr>
        <w:t xml:space="preserve"> </w:t>
      </w:r>
      <w:r w:rsidRPr="00E370B7">
        <w:rPr>
          <w:color w:val="000000" w:themeColor="text1"/>
          <w:sz w:val="20"/>
          <w:szCs w:val="20"/>
        </w:rPr>
        <w:t>in 13 fractions) and a sequential boost of 30.</w:t>
      </w:r>
      <w:r w:rsidRPr="00E370B7">
        <w:rPr>
          <w:color w:val="000000"/>
          <w:sz w:val="20"/>
          <w:szCs w:val="20"/>
        </w:rPr>
        <w:t>6</w:t>
      </w:r>
      <w:r w:rsidRPr="00E370B7">
        <w:rPr>
          <w:color w:val="000000" w:themeColor="text1"/>
          <w:sz w:val="20"/>
          <w:szCs w:val="20"/>
        </w:rPr>
        <w:t xml:space="preserve"> </w:t>
      </w:r>
      <w:proofErr w:type="spellStart"/>
      <w:r w:rsidRPr="00E370B7">
        <w:rPr>
          <w:color w:val="000000"/>
          <w:sz w:val="20"/>
          <w:szCs w:val="20"/>
        </w:rPr>
        <w:t>Gy</w:t>
      </w:r>
      <w:proofErr w:type="spellEnd"/>
      <w:r w:rsidRPr="00E370B7">
        <w:rPr>
          <w:color w:val="000000"/>
          <w:sz w:val="20"/>
          <w:szCs w:val="20"/>
        </w:rPr>
        <w:t xml:space="preserve"> </w:t>
      </w:r>
      <w:r w:rsidRPr="00E370B7">
        <w:rPr>
          <w:color w:val="000000" w:themeColor="text1"/>
          <w:sz w:val="20"/>
          <w:szCs w:val="20"/>
        </w:rPr>
        <w:t xml:space="preserve">in 17 fractions on the </w:t>
      </w:r>
      <w:r w:rsidRPr="00E370B7">
        <w:rPr>
          <w:color w:val="000000"/>
          <w:sz w:val="20"/>
          <w:szCs w:val="20"/>
        </w:rPr>
        <w:t>postoperative</w:t>
      </w:r>
      <w:r w:rsidRPr="00E370B7">
        <w:rPr>
          <w:color w:val="000000" w:themeColor="text1"/>
          <w:sz w:val="20"/>
          <w:szCs w:val="20"/>
        </w:rPr>
        <w:t xml:space="preserve"> </w:t>
      </w:r>
      <w:proofErr w:type="spellStart"/>
      <w:r w:rsidRPr="00E370B7">
        <w:rPr>
          <w:color w:val="000000" w:themeColor="text1"/>
          <w:sz w:val="20"/>
          <w:szCs w:val="20"/>
        </w:rPr>
        <w:t>tumoral</w:t>
      </w:r>
      <w:proofErr w:type="spellEnd"/>
      <w:r w:rsidRPr="00E370B7">
        <w:rPr>
          <w:color w:val="000000" w:themeColor="text1"/>
          <w:sz w:val="20"/>
          <w:szCs w:val="20"/>
        </w:rPr>
        <w:t xml:space="preserve"> bed. She relapsed after 9 months of this multimodal treatment. </w:t>
      </w:r>
      <w:r w:rsidRPr="00E370B7">
        <w:t xml:space="preserve"> </w:t>
      </w:r>
      <w:bookmarkStart w:id="0" w:name="_Hlk184222755"/>
      <w:r w:rsidRPr="00E370B7">
        <w:rPr>
          <w:color w:val="000000" w:themeColor="text1"/>
          <w:sz w:val="20"/>
          <w:szCs w:val="20"/>
        </w:rPr>
        <w:t xml:space="preserve">The palliative treatment by </w:t>
      </w:r>
      <w:proofErr w:type="spellStart"/>
      <w:r w:rsidRPr="00E370B7">
        <w:rPr>
          <w:color w:val="000000" w:themeColor="text1"/>
          <w:sz w:val="20"/>
          <w:szCs w:val="20"/>
        </w:rPr>
        <w:t>pembrolizumab</w:t>
      </w:r>
      <w:proofErr w:type="spellEnd"/>
      <w:r w:rsidRPr="00E370B7">
        <w:rPr>
          <w:color w:val="000000" w:themeColor="text1"/>
          <w:sz w:val="20"/>
          <w:szCs w:val="20"/>
        </w:rPr>
        <w:t xml:space="preserve"> was initiated. However, during 3 months of immunotherapy, she continued to develop additional peritoneal and thoracic metastasis. Unfortunately, she died 22 months after the initial diagnosis.</w:t>
      </w:r>
      <w:bookmarkEnd w:id="0"/>
    </w:p>
    <w:p w:rsidR="00487C65" w:rsidRPr="00E370B7" w:rsidRDefault="00487C65" w:rsidP="00487C65">
      <w:pPr>
        <w:widowControl w:val="0"/>
        <w:ind w:firstLine="142"/>
        <w:jc w:val="both"/>
        <w:rPr>
          <w:color w:val="000000" w:themeColor="text1"/>
          <w:sz w:val="20"/>
          <w:szCs w:val="20"/>
        </w:rPr>
      </w:pPr>
    </w:p>
    <w:p w:rsidR="00487C65" w:rsidRPr="00E370B7" w:rsidRDefault="00487C65" w:rsidP="00487C65">
      <w:pPr>
        <w:widowControl w:val="0"/>
        <w:ind w:firstLine="142"/>
        <w:jc w:val="both"/>
        <w:rPr>
          <w:color w:val="000000" w:themeColor="text1"/>
          <w:sz w:val="20"/>
          <w:szCs w:val="20"/>
        </w:rPr>
      </w:pPr>
      <w:r w:rsidRPr="00E370B7">
        <w:rPr>
          <w:b/>
          <w:bCs/>
          <w:color w:val="000000" w:themeColor="text1"/>
          <w:sz w:val="20"/>
          <w:szCs w:val="20"/>
        </w:rPr>
        <w:t>Case 2:</w:t>
      </w:r>
      <w:r w:rsidRPr="00E370B7">
        <w:rPr>
          <w:color w:val="000000" w:themeColor="text1"/>
          <w:sz w:val="20"/>
          <w:szCs w:val="20"/>
        </w:rPr>
        <w:t xml:space="preserve"> Treatment was started with neoadjuvant chemotherapy, initially by ADRIAMYCINE–IFOSFAMID, which was rapidly replaced by second-line treatment TEMIRI because of the significant clinical progression under treatment. After 6 cycles of 2</w:t>
      </w:r>
      <w:r w:rsidRPr="00E370B7">
        <w:rPr>
          <w:color w:val="000000" w:themeColor="text1"/>
          <w:sz w:val="20"/>
          <w:szCs w:val="20"/>
          <w:vertAlign w:val="superscript"/>
        </w:rPr>
        <w:t>nd</w:t>
      </w:r>
      <w:r w:rsidRPr="00E370B7">
        <w:rPr>
          <w:color w:val="000000" w:themeColor="text1"/>
          <w:sz w:val="20"/>
          <w:szCs w:val="20"/>
        </w:rPr>
        <w:t xml:space="preserve"> line poly-chemotherapy regimen (</w:t>
      </w:r>
      <w:proofErr w:type="spellStart"/>
      <w:r w:rsidRPr="00E370B7">
        <w:rPr>
          <w:color w:val="000000" w:themeColor="text1"/>
          <w:sz w:val="20"/>
          <w:szCs w:val="20"/>
        </w:rPr>
        <w:t>temozolomide</w:t>
      </w:r>
      <w:proofErr w:type="spellEnd"/>
      <w:r w:rsidRPr="00E370B7">
        <w:rPr>
          <w:color w:val="000000" w:themeColor="text1"/>
          <w:sz w:val="20"/>
          <w:szCs w:val="20"/>
        </w:rPr>
        <w:t xml:space="preserve"> and irinotecan), </w:t>
      </w:r>
      <w:r w:rsidRPr="00E370B7">
        <w:rPr>
          <w:color w:val="000000"/>
          <w:sz w:val="20"/>
          <w:szCs w:val="20"/>
        </w:rPr>
        <w:t>the patient</w:t>
      </w:r>
      <w:r w:rsidRPr="00E370B7">
        <w:rPr>
          <w:color w:val="000000" w:themeColor="text1"/>
          <w:sz w:val="20"/>
          <w:szCs w:val="20"/>
        </w:rPr>
        <w:t xml:space="preserve"> achieved </w:t>
      </w:r>
      <w:r w:rsidRPr="00E370B7">
        <w:rPr>
          <w:color w:val="000000"/>
          <w:sz w:val="20"/>
          <w:szCs w:val="20"/>
        </w:rPr>
        <w:t xml:space="preserve">a </w:t>
      </w:r>
      <w:r w:rsidRPr="00E370B7">
        <w:rPr>
          <w:color w:val="000000" w:themeColor="text1"/>
          <w:sz w:val="20"/>
          <w:szCs w:val="20"/>
        </w:rPr>
        <w:t xml:space="preserve">partial clinical response with oral maintenance therapy with </w:t>
      </w:r>
      <w:proofErr w:type="spellStart"/>
      <w:r w:rsidRPr="00E370B7">
        <w:rPr>
          <w:color w:val="000000" w:themeColor="text1"/>
          <w:sz w:val="20"/>
          <w:szCs w:val="20"/>
        </w:rPr>
        <w:t>temozolomide</w:t>
      </w:r>
      <w:proofErr w:type="spellEnd"/>
      <w:r w:rsidRPr="00E370B7">
        <w:rPr>
          <w:color w:val="000000" w:themeColor="text1"/>
          <w:sz w:val="20"/>
          <w:szCs w:val="20"/>
        </w:rPr>
        <w:t xml:space="preserve">. The patient relapsed after 6 months of oral maintenance with a proximal pulmonary embolism. Despite effective curative anticoagulation and </w:t>
      </w:r>
      <w:r w:rsidRPr="00E370B7">
        <w:rPr>
          <w:color w:val="000000"/>
          <w:sz w:val="20"/>
          <w:szCs w:val="20"/>
        </w:rPr>
        <w:t xml:space="preserve">a </w:t>
      </w:r>
      <w:r w:rsidRPr="00E370B7">
        <w:rPr>
          <w:color w:val="000000" w:themeColor="text1"/>
          <w:sz w:val="20"/>
          <w:szCs w:val="20"/>
        </w:rPr>
        <w:t>cave filter, increased anticoagulation has led to recurrent digestive hemorrhages</w:t>
      </w:r>
      <w:r w:rsidRPr="00E370B7">
        <w:rPr>
          <w:color w:val="000000"/>
          <w:sz w:val="20"/>
          <w:szCs w:val="20"/>
        </w:rPr>
        <w:t>, indicating</w:t>
      </w:r>
      <w:r w:rsidRPr="00E370B7">
        <w:rPr>
          <w:color w:val="000000" w:themeColor="text1"/>
          <w:sz w:val="20"/>
          <w:szCs w:val="20"/>
        </w:rPr>
        <w:t xml:space="preserve"> gastric progression. Palliative hemostatic gastric irradiation was </w:t>
      </w:r>
      <w:r w:rsidRPr="00E370B7">
        <w:rPr>
          <w:color w:val="000000"/>
          <w:sz w:val="20"/>
          <w:szCs w:val="20"/>
        </w:rPr>
        <w:t>successful</w:t>
      </w:r>
      <w:r w:rsidRPr="00E370B7">
        <w:rPr>
          <w:color w:val="000000" w:themeColor="text1"/>
          <w:sz w:val="20"/>
          <w:szCs w:val="20"/>
        </w:rPr>
        <w:t>, allowing the introduction of a 4</w:t>
      </w:r>
      <w:r w:rsidRPr="00E370B7">
        <w:rPr>
          <w:color w:val="000000" w:themeColor="text1"/>
          <w:sz w:val="20"/>
          <w:szCs w:val="20"/>
          <w:vertAlign w:val="superscript"/>
        </w:rPr>
        <w:t>th</w:t>
      </w:r>
      <w:r w:rsidRPr="00E370B7">
        <w:rPr>
          <w:color w:val="000000" w:themeColor="text1"/>
          <w:sz w:val="20"/>
          <w:szCs w:val="20"/>
        </w:rPr>
        <w:t xml:space="preserve"> palliative systemic treatment by </w:t>
      </w:r>
      <w:proofErr w:type="spellStart"/>
      <w:r w:rsidRPr="00E370B7">
        <w:rPr>
          <w:color w:val="000000" w:themeColor="text1"/>
          <w:sz w:val="20"/>
          <w:szCs w:val="20"/>
        </w:rPr>
        <w:t>pazopanib</w:t>
      </w:r>
      <w:proofErr w:type="spellEnd"/>
      <w:r w:rsidRPr="00E370B7">
        <w:rPr>
          <w:color w:val="000000" w:themeColor="text1"/>
          <w:sz w:val="20"/>
          <w:szCs w:val="20"/>
        </w:rPr>
        <w:t>, a selective tyrosine kinase inhibitor (TKI) targeting vascular endothelial growth factor (VEGF)</w:t>
      </w:r>
      <w:r w:rsidRPr="00E370B7">
        <w:rPr>
          <w:color w:val="000000"/>
          <w:sz w:val="20"/>
          <w:szCs w:val="20"/>
        </w:rPr>
        <w:t>, after multidisciplinary consultation</w:t>
      </w:r>
      <w:r w:rsidRPr="00E370B7">
        <w:rPr>
          <w:rStyle w:val="Strong"/>
          <w:color w:val="000000" w:themeColor="text1"/>
          <w:sz w:val="20"/>
          <w:szCs w:val="20"/>
        </w:rPr>
        <w:t>. Unfortunately, the patient's general condition deteriorated, and she died 16 months after the initial diagnosis.</w:t>
      </w:r>
    </w:p>
    <w:p w:rsidR="00394BFC" w:rsidRDefault="00394BFC">
      <w:bookmarkStart w:id="1" w:name="_GoBack"/>
      <w:bookmarkEnd w:id="1"/>
    </w:p>
    <w:sectPr w:rsidR="00394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65"/>
    <w:rsid w:val="00011AFA"/>
    <w:rsid w:val="00017BF5"/>
    <w:rsid w:val="0002401C"/>
    <w:rsid w:val="00030C8B"/>
    <w:rsid w:val="0005011B"/>
    <w:rsid w:val="0006169A"/>
    <w:rsid w:val="0006515E"/>
    <w:rsid w:val="000858C0"/>
    <w:rsid w:val="0008682E"/>
    <w:rsid w:val="000A220A"/>
    <w:rsid w:val="000B5440"/>
    <w:rsid w:val="000C0FC8"/>
    <w:rsid w:val="000C79A7"/>
    <w:rsid w:val="000D60F3"/>
    <w:rsid w:val="001048FF"/>
    <w:rsid w:val="001151EE"/>
    <w:rsid w:val="00165038"/>
    <w:rsid w:val="001657C3"/>
    <w:rsid w:val="00177621"/>
    <w:rsid w:val="001A705A"/>
    <w:rsid w:val="001C3325"/>
    <w:rsid w:val="001E04B1"/>
    <w:rsid w:val="001F1E50"/>
    <w:rsid w:val="001F2641"/>
    <w:rsid w:val="00205A7E"/>
    <w:rsid w:val="002236A6"/>
    <w:rsid w:val="00225DAA"/>
    <w:rsid w:val="0023057D"/>
    <w:rsid w:val="002347CF"/>
    <w:rsid w:val="00237D52"/>
    <w:rsid w:val="00241CCF"/>
    <w:rsid w:val="00241F79"/>
    <w:rsid w:val="00261669"/>
    <w:rsid w:val="00264B78"/>
    <w:rsid w:val="002759E6"/>
    <w:rsid w:val="00285DC8"/>
    <w:rsid w:val="002A00FF"/>
    <w:rsid w:val="002C1010"/>
    <w:rsid w:val="002C7674"/>
    <w:rsid w:val="002D0F52"/>
    <w:rsid w:val="002D4571"/>
    <w:rsid w:val="00302EB6"/>
    <w:rsid w:val="00305C0C"/>
    <w:rsid w:val="00306129"/>
    <w:rsid w:val="00306E47"/>
    <w:rsid w:val="00324B9F"/>
    <w:rsid w:val="00351761"/>
    <w:rsid w:val="00361460"/>
    <w:rsid w:val="00390E9A"/>
    <w:rsid w:val="0039499D"/>
    <w:rsid w:val="00394BFC"/>
    <w:rsid w:val="003A1956"/>
    <w:rsid w:val="003A48E5"/>
    <w:rsid w:val="003B56BA"/>
    <w:rsid w:val="00403E66"/>
    <w:rsid w:val="0042218F"/>
    <w:rsid w:val="004459F2"/>
    <w:rsid w:val="004536AE"/>
    <w:rsid w:val="00462001"/>
    <w:rsid w:val="00465963"/>
    <w:rsid w:val="00475997"/>
    <w:rsid w:val="00487C65"/>
    <w:rsid w:val="004B2CB9"/>
    <w:rsid w:val="00586E9E"/>
    <w:rsid w:val="005937F9"/>
    <w:rsid w:val="00595F5E"/>
    <w:rsid w:val="005B6B6F"/>
    <w:rsid w:val="005D20F1"/>
    <w:rsid w:val="005F0C9A"/>
    <w:rsid w:val="005F1A23"/>
    <w:rsid w:val="005F7436"/>
    <w:rsid w:val="0060086E"/>
    <w:rsid w:val="00615E87"/>
    <w:rsid w:val="00616DC8"/>
    <w:rsid w:val="0062073D"/>
    <w:rsid w:val="006408BC"/>
    <w:rsid w:val="00653E5C"/>
    <w:rsid w:val="00667890"/>
    <w:rsid w:val="00670D63"/>
    <w:rsid w:val="00695EE6"/>
    <w:rsid w:val="006C0266"/>
    <w:rsid w:val="006C77D7"/>
    <w:rsid w:val="006D506B"/>
    <w:rsid w:val="007154DF"/>
    <w:rsid w:val="00721E09"/>
    <w:rsid w:val="00726C4E"/>
    <w:rsid w:val="00733865"/>
    <w:rsid w:val="00736C63"/>
    <w:rsid w:val="0074131D"/>
    <w:rsid w:val="007604EA"/>
    <w:rsid w:val="007745D6"/>
    <w:rsid w:val="00777A10"/>
    <w:rsid w:val="007849CE"/>
    <w:rsid w:val="007A165E"/>
    <w:rsid w:val="007B1FE3"/>
    <w:rsid w:val="007C451D"/>
    <w:rsid w:val="007D7382"/>
    <w:rsid w:val="007F2CF0"/>
    <w:rsid w:val="00826D53"/>
    <w:rsid w:val="00851188"/>
    <w:rsid w:val="00855692"/>
    <w:rsid w:val="008C567B"/>
    <w:rsid w:val="00980828"/>
    <w:rsid w:val="009B7567"/>
    <w:rsid w:val="009E2CF0"/>
    <w:rsid w:val="00A44484"/>
    <w:rsid w:val="00A55525"/>
    <w:rsid w:val="00A70E3C"/>
    <w:rsid w:val="00A74CA8"/>
    <w:rsid w:val="00A87F46"/>
    <w:rsid w:val="00AA04FF"/>
    <w:rsid w:val="00AA3077"/>
    <w:rsid w:val="00AB0602"/>
    <w:rsid w:val="00AC4BD6"/>
    <w:rsid w:val="00AE2EDF"/>
    <w:rsid w:val="00B007A7"/>
    <w:rsid w:val="00B20955"/>
    <w:rsid w:val="00B332B5"/>
    <w:rsid w:val="00B4206E"/>
    <w:rsid w:val="00B5428F"/>
    <w:rsid w:val="00B653FC"/>
    <w:rsid w:val="00B7164A"/>
    <w:rsid w:val="00B76C27"/>
    <w:rsid w:val="00B91C0A"/>
    <w:rsid w:val="00BB683F"/>
    <w:rsid w:val="00BC018C"/>
    <w:rsid w:val="00BD450A"/>
    <w:rsid w:val="00BD7FA4"/>
    <w:rsid w:val="00BF6319"/>
    <w:rsid w:val="00BF72E4"/>
    <w:rsid w:val="00C00357"/>
    <w:rsid w:val="00C104BB"/>
    <w:rsid w:val="00C10FCF"/>
    <w:rsid w:val="00C11F0B"/>
    <w:rsid w:val="00C12EC2"/>
    <w:rsid w:val="00C32369"/>
    <w:rsid w:val="00C45BA8"/>
    <w:rsid w:val="00C460D5"/>
    <w:rsid w:val="00C724C6"/>
    <w:rsid w:val="00C726DD"/>
    <w:rsid w:val="00C825BC"/>
    <w:rsid w:val="00C8773C"/>
    <w:rsid w:val="00CD362E"/>
    <w:rsid w:val="00CD6CA4"/>
    <w:rsid w:val="00CD7579"/>
    <w:rsid w:val="00CE022F"/>
    <w:rsid w:val="00CE3372"/>
    <w:rsid w:val="00CF6BCC"/>
    <w:rsid w:val="00D15311"/>
    <w:rsid w:val="00D25471"/>
    <w:rsid w:val="00D52D63"/>
    <w:rsid w:val="00D6646B"/>
    <w:rsid w:val="00D67601"/>
    <w:rsid w:val="00D96CE9"/>
    <w:rsid w:val="00DA5E82"/>
    <w:rsid w:val="00DE7C86"/>
    <w:rsid w:val="00DF4798"/>
    <w:rsid w:val="00E1354D"/>
    <w:rsid w:val="00E44363"/>
    <w:rsid w:val="00E5156B"/>
    <w:rsid w:val="00E569D3"/>
    <w:rsid w:val="00E75641"/>
    <w:rsid w:val="00E8375D"/>
    <w:rsid w:val="00EB2905"/>
    <w:rsid w:val="00ED0FD4"/>
    <w:rsid w:val="00ED67BE"/>
    <w:rsid w:val="00EE7410"/>
    <w:rsid w:val="00F003D8"/>
    <w:rsid w:val="00F01D6C"/>
    <w:rsid w:val="00F0276E"/>
    <w:rsid w:val="00F03D01"/>
    <w:rsid w:val="00F16C76"/>
    <w:rsid w:val="00F323CE"/>
    <w:rsid w:val="00F40755"/>
    <w:rsid w:val="00F519C5"/>
    <w:rsid w:val="00F54FF9"/>
    <w:rsid w:val="00F737D7"/>
    <w:rsid w:val="00F904DA"/>
    <w:rsid w:val="00FA07B9"/>
    <w:rsid w:val="00FB397C"/>
    <w:rsid w:val="00FB4C03"/>
    <w:rsid w:val="00FD1751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7C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7C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Mareme Natial</dc:creator>
  <cp:lastModifiedBy>Mareme Natial</cp:lastModifiedBy>
  <cp:revision>1</cp:revision>
  <dcterms:created xsi:type="dcterms:W3CDTF">2025-01-21T08:02:00Z</dcterms:created>
  <dcterms:modified xsi:type="dcterms:W3CDTF">2025-01-21T08:02:00Z</dcterms:modified>
</cp:coreProperties>
</file>