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D7C" w:rsidRDefault="00B811A0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  <w:bookmarkStart w:id="0" w:name="_GoBack"/>
      <w:bookmarkEnd w:id="0"/>
      <w:r>
        <w:rPr>
          <w:color w:val="auto"/>
          <w:szCs w:val="20"/>
          <w:u w:val="single"/>
        </w:rPr>
        <w:t>Supplementary materials:</w:t>
      </w:r>
    </w:p>
    <w:p w:rsidR="00D37D7C" w:rsidRDefault="00B811A0">
      <w:pPr>
        <w:pStyle w:val="MDPI21heading1"/>
        <w:spacing w:before="0" w:after="0" w:line="276" w:lineRule="auto"/>
        <w:ind w:left="0"/>
      </w:pPr>
      <w:r>
        <w:rPr>
          <w:rFonts w:cs="Calibri"/>
          <w:i/>
          <w:iCs/>
          <w:szCs w:val="20"/>
        </w:rPr>
        <w:t xml:space="preserve">Table S1. </w:t>
      </w:r>
      <w:r>
        <w:t>Clinicopathologic characteristics of 138 patients with primarily resected adva</w:t>
      </w:r>
      <w:r>
        <w:t>nced thyroid cancer.</w:t>
      </w:r>
    </w:p>
    <w:tbl>
      <w:tblPr>
        <w:tblStyle w:val="TableGrid"/>
        <w:tblW w:w="5000" w:type="pct"/>
        <w:tblInd w:w="-851" w:type="dxa"/>
        <w:tblLayout w:type="fixed"/>
        <w:tblLook w:val="04A0" w:firstRow="1" w:lastRow="0" w:firstColumn="1" w:lastColumn="0" w:noHBand="0" w:noVBand="1"/>
      </w:tblPr>
      <w:tblGrid>
        <w:gridCol w:w="2058"/>
        <w:gridCol w:w="981"/>
        <w:gridCol w:w="982"/>
        <w:gridCol w:w="1490"/>
        <w:gridCol w:w="1362"/>
        <w:gridCol w:w="893"/>
        <w:gridCol w:w="954"/>
      </w:tblGrid>
      <w:tr w:rsidR="00D37D7C">
        <w:trPr>
          <w:trHeight w:val="227"/>
          <w:tblHeader/>
        </w:trPr>
        <w:tc>
          <w:tcPr>
            <w:tcW w:w="2006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All [n=138]</w:t>
            </w:r>
          </w:p>
        </w:tc>
        <w:tc>
          <w:tcPr>
            <w:tcW w:w="958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DHGTC [n=22]</w:t>
            </w:r>
          </w:p>
        </w:tc>
        <w:tc>
          <w:tcPr>
            <w:tcW w:w="1453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Non-HGDTC [n=106]</w:t>
            </w:r>
          </w:p>
        </w:tc>
        <w:tc>
          <w:tcPr>
            <w:tcW w:w="1328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PDTC</w:t>
            </w:r>
          </w:p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[n=10]</w:t>
            </w:r>
          </w:p>
        </w:tc>
        <w:tc>
          <w:tcPr>
            <w:tcW w:w="871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 value (DHGTC vs non-HG-DTC)</w:t>
            </w:r>
          </w:p>
        </w:tc>
        <w:tc>
          <w:tcPr>
            <w:tcW w:w="930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value</w:t>
            </w:r>
          </w:p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DHGTC vs PDTC)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Clinicopathological parameters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Age (years) [n=137]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Median (range) [1</w:t>
            </w:r>
            <w:r>
              <w:rPr>
                <w:rFonts w:ascii="Palatino Linotype" w:eastAsia="Calibri" w:hAnsi="Palatino Linotype" w:cs="Calibri"/>
                <w:sz w:val="20"/>
                <w:szCs w:val="20"/>
                <w:vertAlign w:val="superscript"/>
              </w:rPr>
              <w:t>st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quartile; 3</w:t>
            </w:r>
            <w:r>
              <w:rPr>
                <w:rFonts w:ascii="Palatino Linotype" w:eastAsia="Calibri" w:hAnsi="Palatino Linotype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quartile]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45 (13-81) [34;57,5]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44,5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(17-74) [34;56]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48 (13-81) [31; 71,5]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53 (22-69) [42; 65,5]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≤18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(3,1%)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(0,9%)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(13,6%)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0,016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18-55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91 (65,9%)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77 (72,6%)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(38,1%)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&lt;0,001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≥55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42 (30,4%)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28 (26,4%)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 (47,6%)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(40%)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&lt;0,001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Sex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Female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108 (78,3%)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16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(72,7%)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86 (81,1%)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(60%)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Male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30 (21,7%)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(27,3%)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20 (18,9%)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(40%)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Documented metastasis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85 (61,6%)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16 (72,7%)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62 (58,5%)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(70%)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Distant metastasis [n=36]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36 (26,1%)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19 (17,9%)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 (45,5%)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(70%)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0,008</w:t>
            </w: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Types of distant metastasis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 [n=36] #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Bone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13 (9,4%)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(7,5%)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(13,6%)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(20%)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Lung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26 (18,8%)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 (11,3%)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(36,3%)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(20%)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0,015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Brain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(1,4%)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(4,5%)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(10%)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Kidney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(0,7%)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(4,5%)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Lymph node metastasis [n=135]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67 (49,6%)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 (60%)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52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(49,5%)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(30%)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Synchronous metastasis [n=127]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27 (21,3%)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(35,3%)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14 (14%)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(70%)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0,042</w:t>
            </w: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Tumor size (cms) [n=125]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Median (range) [1</w:t>
            </w:r>
            <w:r>
              <w:rPr>
                <w:rFonts w:ascii="Palatino Linotype" w:eastAsia="Calibri" w:hAnsi="Palatino Linotype" w:cs="Calibri"/>
                <w:sz w:val="20"/>
                <w:szCs w:val="20"/>
                <w:vertAlign w:val="superscript"/>
              </w:rPr>
              <w:t>st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quartile; 3</w:t>
            </w:r>
            <w:r>
              <w:rPr>
                <w:rFonts w:ascii="Palatino Linotype" w:eastAsia="Calibri" w:hAnsi="Palatino Linotype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quartile]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2,65 (0,5-9)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2,3 (0,5-9) [1,5; 2,7]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3,51 (0,8-8) [2,0; 4,8]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5,0 (2,5-8)</w:t>
            </w:r>
          </w:p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[2,0; 4,4]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0,007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0,023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≤2 cm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67 (56,3%)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(22,7%)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62 (58,5%)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0,023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&gt;2 cm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61 (47,7%)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17 (77,3%)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44 (41,5%)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(100%)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Main diagnosis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Classical subtype of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PTC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40 (29%)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5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(22,7%)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35 (33%)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Hobnail subtype of PTC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(4,3%)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(4,5%)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(4,7%)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Invasive encapsulated follicular subtype of PTC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(6,5%)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(8,5%)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Infiltrative follicular subtype of PTC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27 (19,6%)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(13,6%)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24 (22,6%)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Oncocytic subtype of PTC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(6,5%)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(8,5%)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Solid subtype of PTC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6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(4,3%)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(9,1%)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(3,8%)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Tall-cell subtype of PTC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17 (12,3)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(37,5%)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(7,5%)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&lt;0,001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Warthin-like subtype of PTC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(5,1%)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(6,6%)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Oncocytic carcinoma of the thyroid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(1,4%)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(4,5%)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(0,9%)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Follicular thyroid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carcinoma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(3,6%)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(4,5%)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(3,8%)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Poorly differentiated thyroid carcinoma 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 (7,2%)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 (100%)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Mitotic index (per 2 mm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)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Median (range) [1</w:t>
            </w:r>
            <w:r>
              <w:rPr>
                <w:rFonts w:ascii="Palatino Linotype" w:eastAsia="Calibri" w:hAnsi="Palatino Linotype" w:cs="Calibri"/>
                <w:sz w:val="20"/>
                <w:szCs w:val="20"/>
                <w:vertAlign w:val="superscript"/>
              </w:rPr>
              <w:t>st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quartile; 3</w:t>
            </w:r>
            <w:r>
              <w:rPr>
                <w:rFonts w:ascii="Palatino Linotype" w:eastAsia="Calibri" w:hAnsi="Palatino Linotype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quartile]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(0-8) [1;4]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(0-4) [1;2]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(5-8)] [5; 6,25]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4,5 (3-8) [3,75;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5,25]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&lt;0,001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0,009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&lt;5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111 (80,4%)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106 (100%)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(50%)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&lt;0,001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&lt;0,001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≥5 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27 (19,6%)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22 (100%)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(50%)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Tumor necrosis [n=132]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 (7,6%)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(19%)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(66,7%)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&lt;0,001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0,018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Absent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122 (92,4%)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17 (81%)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102 (100%)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(33,3%)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Encapsulation [n=123]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Encapsulated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91 (74%)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11 (64,7%)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73 (75,3%)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(77,8%)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Partially encapsulated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32 (26%)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(35,3%)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24 (24,7%)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(22,2%)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Capsular invasion [n=114]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108 (94,7%)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16 (100%)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83 (93,3%)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(100%)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Absent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(5,3%)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(6,7%)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Lymphatic invasion [n=119]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31 (26,1%)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(23,5%)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23 (24,5%)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(50%)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Absent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88 (73,9%)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13 (76,5%)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71 (75,5%)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(50%)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Angioinvasion [n=119]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16 (13,4%)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(29,4%)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(8,5%)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(37,5%)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0,028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Absent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103 (86,6%)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(70,6%)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86 (91,5%)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(62,5%)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Gross extrathyroidal extension [n=132]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52 (39,4%)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(38,1%)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42 (41,2%)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(22,2%)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Fibroadipose tissue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48 (36,3%)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(31,8%)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39 (36,8%)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Skeletal muscle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(5,3%)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(5%)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(5,7%)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Other organs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(0,8%)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(0,9%)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Capsule status [n=123]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Infiltrative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80 (65%)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(52,9%)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69 (71,1%)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(22,2%)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Invasive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43 (35%)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(47,1%)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28 (28,9%)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(77,8%)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AJCC 8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 pT stage [n=126]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pT1/T2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54 (42,9%)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(15%)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50 (51%)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1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(12,5%)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0,003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pT3/T4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72 (57,1%)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17 (85%)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48 (49%)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(87,5%)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AJCC 8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 pN stage 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pN0/Nx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95 (73%)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16 (72,7%)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77 (72,6%)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(80%)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pN1a/N1b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43 (31,2%)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(27,3%)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37 (27,4%)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(20%)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AJCC 8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pM stage 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pM0/Mx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132 (95,7%)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21 (95,5%)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103 (97,2%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8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(80%)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pM1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(4,3%)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(4,5%)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(2,8%)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(20%)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Molecular alterations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BRAF V600E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mutated [n=123]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64 (48%)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(52,9%)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50 (51,5%)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(55,6%)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NRAS Q61R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mutated [n=91]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(1,1%)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(1,4%)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TERT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promoter mutated [n=108]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16 (14,8%)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(29,4%)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(11%)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(22,2%)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lastRenderedPageBreak/>
              <w:t>-124G&gt;A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mutation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 (9,3%)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(23,5%)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(7,3%)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-146G&gt;A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mutation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(5,6%)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(5,9%)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(3,7%)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(22,2%)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Follow-up and treatments [n=133]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Median follow-up time in years (range) [n=117]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6,54 (0,28-38,3)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4,34 (0,67-29,9)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6,57 (0,28-38,3)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8,78 (3,95-21,13)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Median time until the first recurrence in months (range)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17,32 (0,07-312,8)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26,40 (0,83-312,8)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15,80 (0,07-93,21)</w:t>
            </w:r>
          </w:p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47,71 (8,17-104,9)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Outcome at the end of follow-up [n=137]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Death due to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disease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(6,6%)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(13,6%)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(3,8%)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(20%)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Alive with disease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48 (34,8%)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13 (59,1%)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31 (29,5%)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(40%)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Alive without disease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80 (58,4%)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(27,3%)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70 (66,7%)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(40%)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&lt;0,001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Development of radioactive iodine refractoriness (RAIR)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12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(8,7%)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(13,6%)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(4,7%)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(40%)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Number of recurrences [n=117]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62 (53%)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11 (64,7%)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45 (50%)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(60%)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55 (47%)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(35,3%)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45 (50%)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(40%)</w:t>
            </w:r>
          </w:p>
        </w:tc>
        <w:tc>
          <w:tcPr>
            <w:tcW w:w="871" w:type="dxa"/>
            <w:vMerge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Additional therapies [n=134]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Yes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66 (52,8%)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 (75%)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48 (48,5%)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(60%)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0,043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Radioactive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iodine therapy (RAI)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63 (47%)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13 (68,4%)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44 (41,9%)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Radiation therapy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(1,6%)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(6,3%)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(1%)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Tyrosine kinase inhibitors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(1,6%)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(12,5%)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0,018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Surgery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35 (28%)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(43,8%)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22 (22,2%)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(60%)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8503" w:type="dxa"/>
            <w:gridSpan w:val="7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Number of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additional RAI administrations [n=134]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0 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71 (53%)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(31,6%)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61 (58,1%)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tabs>
                <w:tab w:val="left" w:pos="800"/>
              </w:tabs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(40%)</w:t>
            </w:r>
          </w:p>
        </w:tc>
        <w:tc>
          <w:tcPr>
            <w:tcW w:w="871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0,030</w:t>
            </w:r>
          </w:p>
        </w:tc>
        <w:tc>
          <w:tcPr>
            <w:tcW w:w="930" w:type="dxa"/>
            <w:vMerge w:val="restart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  <w:tr w:rsidR="00D37D7C">
        <w:trPr>
          <w:trHeight w:val="227"/>
        </w:trPr>
        <w:tc>
          <w:tcPr>
            <w:tcW w:w="200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1 or more 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63 (45,7)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13 (68,4%)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44 (41,9%)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(60%)</w:t>
            </w:r>
          </w:p>
        </w:tc>
        <w:tc>
          <w:tcPr>
            <w:tcW w:w="871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nil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006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Median cumulative dose of RAI in millicuries [mCi]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(range) [1</w:t>
            </w:r>
            <w:r>
              <w:rPr>
                <w:rFonts w:ascii="Palatino Linotype" w:eastAsia="Calibri" w:hAnsi="Palatino Linotype" w:cs="Calibri"/>
                <w:sz w:val="20"/>
                <w:szCs w:val="20"/>
                <w:vertAlign w:val="superscript"/>
              </w:rPr>
              <w:t>st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quartile; 3</w:t>
            </w:r>
            <w:r>
              <w:rPr>
                <w:rFonts w:ascii="Palatino Linotype" w:eastAsia="Calibri" w:hAnsi="Palatino Linotype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quartile]</w:t>
            </w:r>
          </w:p>
        </w:tc>
        <w:tc>
          <w:tcPr>
            <w:tcW w:w="957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141 (30-</w:t>
            </w:r>
          </w:p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34739,1) [91;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397]</w:t>
            </w:r>
          </w:p>
        </w:tc>
        <w:tc>
          <w:tcPr>
            <w:tcW w:w="958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127 (30-1146) [106,5;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507,5]</w:t>
            </w:r>
          </w:p>
        </w:tc>
        <w:tc>
          <w:tcPr>
            <w:tcW w:w="1453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lastRenderedPageBreak/>
              <w:t>366 (70-732) [90; 293,5]</w:t>
            </w:r>
          </w:p>
        </w:tc>
        <w:tc>
          <w:tcPr>
            <w:tcW w:w="1328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280,5 (89-941) [98; 799,5]</w:t>
            </w:r>
          </w:p>
        </w:tc>
        <w:tc>
          <w:tcPr>
            <w:tcW w:w="871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0,037</w:t>
            </w:r>
          </w:p>
        </w:tc>
        <w:tc>
          <w:tcPr>
            <w:tcW w:w="930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NS</w:t>
            </w:r>
          </w:p>
        </w:tc>
      </w:tr>
    </w:tbl>
    <w:p w:rsidR="00D37D7C" w:rsidRDefault="00B811A0">
      <w:pPr>
        <w:pStyle w:val="MDPI21heading1"/>
        <w:spacing w:line="360" w:lineRule="auto"/>
        <w:ind w:left="0"/>
        <w:jc w:val="both"/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</w:pP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lastRenderedPageBreak/>
        <w:t>p values were obtained from Fisher’s exact tests for categorical variables, and Mann-Whitney U test for continuous variables. When significant, for categorical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 xml:space="preserve"> variables, there are statistical significant differences in the proportion of categories between subgroups (DHGTC vs non-HGDTC or</w:t>
      </w:r>
      <w:r>
        <w:t xml:space="preserve"> 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DHGTC vs PDTC), and, for continuous variables, there are statistical significant differences in the distribution of the value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s in those variables between subgroups (DHGTC vs non-HGDTC or</w:t>
      </w:r>
      <w:r>
        <w:t xml:space="preserve"> 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DHGTC vs PDTC).</w:t>
      </w:r>
    </w:p>
    <w:p w:rsidR="00D37D7C" w:rsidRDefault="00B811A0">
      <w:pPr>
        <w:pStyle w:val="MDPI21heading1"/>
        <w:spacing w:line="360" w:lineRule="auto"/>
        <w:ind w:left="0"/>
        <w:jc w:val="both"/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</w:pP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Abbreviations: PTC: Papillary Thyroid Cancer; DHGTC: Differentiated High Grade Thyroid Carcinoma; Non-HGDTC: Non-High Grade Differentiated Thyroid Carcinoma; PDTC: Poorly Differe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ntiated Thyroid Carcinoma; RAI: Radioactive Iodine; AJCC 8th pT stage: pathological Tumor stage according to the 8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vertAlign w:val="superscript"/>
          <w:lang w:val="en-GB"/>
        </w:rPr>
        <w:t>th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 xml:space="preserve"> American Joint Committee on Cancer; AJCC 8th pN stage: pathological Lymph node stage according to the 8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vertAlign w:val="superscript"/>
          <w:lang w:val="en-GB"/>
        </w:rPr>
        <w:t>th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 xml:space="preserve"> American Joint Committee on Cance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r; AJCC 8th pM stage: pathological Metastasis stage according to the 8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vertAlign w:val="superscript"/>
          <w:lang w:val="en-GB"/>
        </w:rPr>
        <w:t>th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 xml:space="preserve"> American Joint Committee on Cancer</w:t>
      </w:r>
    </w:p>
    <w:p w:rsidR="00D37D7C" w:rsidRDefault="00B811A0">
      <w:pPr>
        <w:pStyle w:val="MDPI21heading1"/>
        <w:spacing w:line="360" w:lineRule="auto"/>
        <w:ind w:left="0"/>
        <w:jc w:val="both"/>
        <w:rPr>
          <w:rFonts w:ascii="Times New Roman" w:hAnsi="Times New Roman"/>
          <w:b w:val="0"/>
          <w:bCs/>
          <w:i/>
          <w:iCs/>
          <w:color w:val="auto"/>
          <w:sz w:val="24"/>
          <w:szCs w:val="24"/>
          <w:lang w:val="en-GB"/>
        </w:rPr>
      </w:pP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# 6 patients presented more than one metastatic localization</w:t>
      </w: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B811A0">
      <w:pPr>
        <w:rPr>
          <w:rFonts w:ascii="Palatino Linotype" w:hAnsi="Palatino Linotype" w:cstheme="minorHAnsi"/>
          <w:sz w:val="18"/>
          <w:szCs w:val="18"/>
        </w:rPr>
      </w:pPr>
      <w:r>
        <w:rPr>
          <w:rFonts w:ascii="Palatino Linotype" w:hAnsi="Palatino Linotype" w:cstheme="minorHAnsi"/>
          <w:b/>
          <w:bCs/>
          <w:sz w:val="18"/>
          <w:szCs w:val="18"/>
        </w:rPr>
        <w:t xml:space="preserve">Table S2. </w:t>
      </w:r>
      <w:r>
        <w:rPr>
          <w:rFonts w:ascii="Palatino Linotype" w:hAnsi="Palatino Linotype" w:cstheme="minorHAnsi"/>
          <w:sz w:val="18"/>
          <w:szCs w:val="18"/>
        </w:rPr>
        <w:t>Clinicopathologic characteristics of 12 patients with primarily resected R</w:t>
      </w:r>
      <w:r>
        <w:rPr>
          <w:rFonts w:ascii="Palatino Linotype" w:hAnsi="Palatino Linotype" w:cstheme="minorHAnsi"/>
          <w:sz w:val="18"/>
          <w:szCs w:val="18"/>
        </w:rPr>
        <w:t>AIR thyroid cancer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887"/>
        <w:gridCol w:w="1341"/>
        <w:gridCol w:w="1239"/>
        <w:gridCol w:w="1627"/>
        <w:gridCol w:w="1626"/>
      </w:tblGrid>
      <w:tr w:rsidR="00D37D7C">
        <w:trPr>
          <w:trHeight w:val="227"/>
          <w:tblHeader/>
        </w:trPr>
        <w:tc>
          <w:tcPr>
            <w:tcW w:w="2815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All [n=12]</w:t>
            </w:r>
          </w:p>
        </w:tc>
        <w:tc>
          <w:tcPr>
            <w:tcW w:w="1208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DHGTC [n=3]</w:t>
            </w:r>
          </w:p>
        </w:tc>
        <w:tc>
          <w:tcPr>
            <w:tcW w:w="1587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Non-HGDTC [n=5]</w:t>
            </w:r>
          </w:p>
        </w:tc>
        <w:tc>
          <w:tcPr>
            <w:tcW w:w="1586" w:type="dxa"/>
            <w:tcBorders>
              <w:top w:val="single" w:sz="12" w:space="0" w:color="000000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PDTC [n=4]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Clinicopathological parameters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Age (years) 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Median (range)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47,5 (15-74)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44 (15-45)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63 (44-74)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52 (30-69)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≤18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(8,3%)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18-55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(58,3%)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(40%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3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(75%)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≥55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(33,3%)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(25%)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Sex 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Female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 (83,%)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(80%)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(75%)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Male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(16,7%)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(25%)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Documented metastasis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 (100%)</w:t>
            </w:r>
          </w:p>
        </w:tc>
        <w:tc>
          <w:tcPr>
            <w:tcW w:w="12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(100%)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(100%)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Distant metastasis 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 (100%)</w:t>
            </w:r>
          </w:p>
        </w:tc>
        <w:tc>
          <w:tcPr>
            <w:tcW w:w="12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(100%)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(100%)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Types of distant metastasis #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Bone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(33,3%)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(25%)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Lung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(75%)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(100%)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Brain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(8,3%)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Kidney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(8,3%)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Lymph node metastasis 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(58,3%)</w:t>
            </w:r>
          </w:p>
        </w:tc>
        <w:tc>
          <w:tcPr>
            <w:tcW w:w="12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 (33,3%)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(80%)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(50%)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Synchronous metastasis 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 (83,3%)</w:t>
            </w:r>
          </w:p>
        </w:tc>
        <w:tc>
          <w:tcPr>
            <w:tcW w:w="12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(100%)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lastRenderedPageBreak/>
              <w:t>Tumor size (cms) [n=9]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Median (range)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2,50 (1,50-8,00)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3,25 (2,50-40)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2,00 (1,50-2,80)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6,00 (4,00-8,00)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≤2 cm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(25%)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&gt;2 cm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(75%)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(40%)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(100%)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Main 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diagnosis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Classical subtype of PTC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(16,7%)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Infiltrative follicular subtype of PTC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(16,7%)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 (33,3%)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Oncocytic subtype of PTC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(8,3%)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Warthin-like subtype of PTC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(8,3%)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Oncocytic carcinoma of the thyroid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(8,3%)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Follicular thyroid carcinoma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(8,3%)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Poorly differentiated thyroid carcinoma 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(33,3%)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(100%)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Mitotic index (per 2 mm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Median (range)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4,5 (1-8)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(5-6)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2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(1-3)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(4-8)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&lt;5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(50%)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(100%)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(25%)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≥5 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(50%)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(75%)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Tumor necrosis [n=11]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(16,7%)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Absent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(81,8%)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(100%)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Encapsulation [n=11]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Encapsulated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(81,8%)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(80%)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Partially encapsulated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(18,2%)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Capsular invasion [n=11]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11 (100%)</w:t>
            </w:r>
          </w:p>
        </w:tc>
        <w:tc>
          <w:tcPr>
            <w:tcW w:w="12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(100%)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Lymphatic invasion [n=10]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(60%)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(100%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Absent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(40%)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(80%)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Angioinvasion [n=10]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(50%)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(40%)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(50%)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Absent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(50%)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(50%)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Gross extrathyroidal extension [n=11]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Present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 (63,6%)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Fibroadipose tissue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(54,5%)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2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(66,7%)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Skeletal muscle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(9,1%)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Other organs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(9,1%)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NA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Capsule status [n=11]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Infiltrative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(72,7%)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(80%)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Invasive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(27,3%)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AJCC 8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 pT stage [n=11]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pT1/T2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3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(27,3%)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(40%)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pT3/T4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(72,7%)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AJCC 8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 pN stage 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pN0/Nx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(66,7%)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(50%)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pN1a/N1b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(33,3%)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(40%)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(50%)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lastRenderedPageBreak/>
              <w:t>AJCC 8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 pM stage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pM0/Mx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 (75%)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(75%)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pM1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3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(25%)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(40%)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(25%)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>Molecular alterations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BRAF V600E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mutated [n=11]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6 (54,5%)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(60%)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(50%)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NRAS Q61R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mutated [n=11]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TERT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promoter mutated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(33,3%)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(25%)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-124G&gt;A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mutation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(16,7%)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(33,3%)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i/>
                <w:iCs/>
                <w:sz w:val="20"/>
                <w:szCs w:val="20"/>
              </w:rPr>
              <w:t>-146G&gt;A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mutation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(16,7%)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(33,3%)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(25%)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b/>
                <w:bCs/>
                <w:sz w:val="20"/>
                <w:szCs w:val="20"/>
              </w:rPr>
              <w:t xml:space="preserve">Follow-up and treatments 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b/>
                <w:bCs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Median follow-up time in years (range) 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 (2,60-22,7)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3,53 (2,60-22,7)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9,97 (6,35-12,76)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11,27 (7,26-14,80)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Median time until the first recurrence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in months (range)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10,2 (0,83-88,9)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9,3 (0,83-43,5)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9,10 (7,37-21-60)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31,00 (81,17-88,90)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Outcome at the end of follow-up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Death due to disease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(25%)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(40%)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(25%)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Alive with disease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 (66,7%)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(40%)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(75%)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Alive without disease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1 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>(8,3%)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Number of recurrences [n=11]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11 (100%)</w:t>
            </w:r>
          </w:p>
        </w:tc>
        <w:tc>
          <w:tcPr>
            <w:tcW w:w="1208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(100%)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(100%)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(100%)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Additional therapies 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None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Radioactive iodine therapy (RAI)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 (100%)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(100%)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(100%)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Radiation therapy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</w:t>
            </w: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 (0%)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Tyrosine kinase inhibitors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(16,7%)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2 (66,7%)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Surgery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11 (91,7%)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(80%)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(100%)</w:t>
            </w:r>
          </w:p>
        </w:tc>
      </w:tr>
      <w:tr w:rsidR="00D37D7C">
        <w:trPr>
          <w:trHeight w:val="227"/>
        </w:trPr>
        <w:tc>
          <w:tcPr>
            <w:tcW w:w="6918" w:type="dxa"/>
            <w:gridSpan w:val="4"/>
            <w:tcBorders>
              <w:left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Number of additional RAI administrations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37D7C" w:rsidRDefault="00D37D7C">
            <w:pPr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 xml:space="preserve">0 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(0%)</w:t>
            </w: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0 (0 %)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 or more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12 (100%)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3 (100%)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 (100%)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4 (100%)</w:t>
            </w:r>
          </w:p>
        </w:tc>
      </w:tr>
      <w:tr w:rsidR="00D37D7C">
        <w:trPr>
          <w:trHeight w:val="227"/>
        </w:trPr>
        <w:tc>
          <w:tcPr>
            <w:tcW w:w="2815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Median cumulative dose of RAI in millicuries [mCi] (range)</w:t>
            </w:r>
          </w:p>
        </w:tc>
        <w:tc>
          <w:tcPr>
            <w:tcW w:w="1308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729 (241-1094)</w:t>
            </w:r>
          </w:p>
        </w:tc>
        <w:tc>
          <w:tcPr>
            <w:tcW w:w="1208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501 (498-659)</w:t>
            </w:r>
          </w:p>
        </w:tc>
        <w:tc>
          <w:tcPr>
            <w:tcW w:w="1587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812 (241-1094)</w:t>
            </w:r>
          </w:p>
        </w:tc>
        <w:tc>
          <w:tcPr>
            <w:tcW w:w="1586" w:type="dxa"/>
            <w:tcBorders>
              <w:left w:val="nil"/>
              <w:bottom w:val="single" w:sz="12" w:space="0" w:color="000000"/>
              <w:right w:val="nil"/>
            </w:tcBorders>
          </w:tcPr>
          <w:p w:rsidR="00D37D7C" w:rsidRDefault="00B811A0">
            <w:pPr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eastAsia="Calibri" w:hAnsi="Palatino Linotype" w:cs="Calibri"/>
                <w:sz w:val="20"/>
                <w:szCs w:val="20"/>
              </w:rPr>
              <w:t>801 (381-941)</w:t>
            </w:r>
          </w:p>
        </w:tc>
      </w:tr>
    </w:tbl>
    <w:p w:rsidR="00D37D7C" w:rsidRDefault="00B811A0">
      <w:pPr>
        <w:pStyle w:val="MDPI21heading1"/>
        <w:spacing w:line="360" w:lineRule="auto"/>
        <w:ind w:left="0"/>
        <w:jc w:val="both"/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</w:pP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Abbreviations: PTC: Papillary Thyroid Cancer; DHGTC: Differentiated High Grade Thyroid Carcinoma; Non-HGDTC: Non-High Grade Differentiated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 xml:space="preserve"> Thyroid Carcinoma; PDTC: Poorly Differentiated Thyroid Carcinoma; RAI: Radioactive Iodine; AJCC 8th pT stage: pathological Tumor stage according to the 8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vertAlign w:val="superscript"/>
          <w:lang w:val="en-GB"/>
        </w:rPr>
        <w:t>th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 xml:space="preserve"> American Joint Committee on Cancer; AJCC 8th pN stage: pathological Lymph node stage according to t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he 8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vertAlign w:val="superscript"/>
          <w:lang w:val="en-GB"/>
        </w:rPr>
        <w:t>th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 xml:space="preserve"> American Joint Committee on Cancer; AJCC 8th pM stage: pathological Metastasis stage according to the 8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vertAlign w:val="superscript"/>
          <w:lang w:val="en-GB"/>
        </w:rPr>
        <w:t>th</w:t>
      </w: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 xml:space="preserve"> American Joint Committee on Cancer</w:t>
      </w:r>
    </w:p>
    <w:p w:rsidR="00D37D7C" w:rsidRDefault="00B811A0">
      <w:pPr>
        <w:pStyle w:val="MDPI21heading1"/>
        <w:spacing w:line="360" w:lineRule="auto"/>
        <w:ind w:left="0"/>
        <w:jc w:val="both"/>
        <w:rPr>
          <w:rFonts w:ascii="Times New Roman" w:hAnsi="Times New Roman"/>
          <w:b w:val="0"/>
          <w:bCs/>
          <w:i/>
          <w:iCs/>
          <w:color w:val="auto"/>
          <w:sz w:val="24"/>
          <w:szCs w:val="24"/>
          <w:lang w:val="en-GB"/>
        </w:rPr>
      </w:pPr>
      <w:r>
        <w:rPr>
          <w:rFonts w:ascii="Times New Roman" w:hAnsi="Times New Roman"/>
          <w:b w:val="0"/>
          <w:bCs/>
          <w:i/>
          <w:iCs/>
          <w:color w:val="auto"/>
          <w:sz w:val="18"/>
          <w:szCs w:val="18"/>
          <w:lang w:val="en-GB"/>
        </w:rPr>
        <w:t># 3 patients presented more than one metastatic localization</w:t>
      </w: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line="360" w:lineRule="auto"/>
        <w:ind w:left="0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8"/>
          <w:lang w:val="en-GB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B811A0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  <w:r>
        <w:rPr>
          <w:noProof/>
          <w:color w:val="auto"/>
          <w:szCs w:val="20"/>
          <w:u w:val="single"/>
          <w:lang w:val="en-PH" w:eastAsia="en-PH" w:bidi="ar-SA"/>
        </w:rPr>
        <w:drawing>
          <wp:anchor distT="0" distB="0" distL="0" distR="0" simplePos="0" relativeHeight="13" behindDoc="1" locked="0" layoutInCell="1" allowOverlap="1">
            <wp:simplePos x="0" y="0"/>
            <wp:positionH relativeFrom="column">
              <wp:posOffset>-951230</wp:posOffset>
            </wp:positionH>
            <wp:positionV relativeFrom="paragraph">
              <wp:posOffset>-812800</wp:posOffset>
            </wp:positionV>
            <wp:extent cx="7311390" cy="4605655"/>
            <wp:effectExtent l="0" t="0" r="0" b="0"/>
            <wp:wrapNone/>
            <wp:docPr id="8" name="Image2" descr="A group of graph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 descr="A group of graphs with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39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B811A0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  <w:r>
        <w:rPr>
          <w:noProof/>
          <w:color w:val="auto"/>
          <w:szCs w:val="20"/>
          <w:u w:val="single"/>
          <w:lang w:val="en-PH" w:eastAsia="en-PH" w:bidi="ar-SA"/>
        </w:rPr>
        <mc:AlternateContent>
          <mc:Choice Requires="wps">
            <w:drawing>
              <wp:anchor distT="45720" distB="45085" distL="114300" distR="114300" simplePos="0" relativeHeight="14" behindDoc="0" locked="0" layoutInCell="0" allowOverlap="1" wp14:anchorId="66B0F888">
                <wp:simplePos x="0" y="0"/>
                <wp:positionH relativeFrom="column">
                  <wp:posOffset>5088255</wp:posOffset>
                </wp:positionH>
                <wp:positionV relativeFrom="paragraph">
                  <wp:posOffset>58420</wp:posOffset>
                </wp:positionV>
                <wp:extent cx="1120140" cy="276225"/>
                <wp:effectExtent l="0" t="0" r="0" b="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20" cy="276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37D7C" w:rsidRDefault="00B811A0">
                            <w:pPr>
                              <w:pStyle w:val="FrameContents"/>
                            </w:pPr>
                            <w:r>
                              <w:rPr>
                                <w:i/>
                                <w:iCs/>
                              </w:rPr>
                              <w:t>P</w:t>
                            </w:r>
                            <w:r>
                              <w:t>&lt;0,001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Text Box 2" o:spid="_x0000_s1026" style="position:absolute;margin-left:400.65pt;margin-top:4.6pt;width:88.2pt;height:21.75pt;z-index:14;visibility:visible;mso-wrap-style:square;mso-height-percent:200;mso-wrap-distance-left:9pt;mso-wrap-distance-top:3.6pt;mso-wrap-distance-right:9pt;mso-wrap-distance-bottom:3.55pt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" o:allowincell="f" filled="f" stroked="f">
                <v:textbox style="mso-fit-shape-to-text:t">
                  <w:txbxContent>
                    <w:p w:rsidR="00D37D7C" w:rsidRDefault="00B811A0">
                      <w:pPr>
                        <w:pStyle w:val="FrameContents"/>
                      </w:pPr>
                      <w:r>
                        <w:rPr>
                          <w:i/>
                          <w:iCs/>
                        </w:rPr>
                        <w:t>P</w:t>
                      </w:r>
                      <w:r>
                        <w:t>&lt;0,001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auto"/>
          <w:szCs w:val="20"/>
          <w:u w:val="single"/>
          <w:lang w:val="en-PH" w:eastAsia="en-PH" w:bidi="ar-SA"/>
        </w:rPr>
        <mc:AlternateContent>
          <mc:Choice Requires="wps">
            <w:drawing>
              <wp:anchor distT="45720" distB="45085" distL="114300" distR="114300" simplePos="0" relativeHeight="16" behindDoc="0" locked="0" layoutInCell="0" allowOverlap="1" wp14:anchorId="3BD1E7B7">
                <wp:simplePos x="0" y="0"/>
                <wp:positionH relativeFrom="column">
                  <wp:posOffset>1476375</wp:posOffset>
                </wp:positionH>
                <wp:positionV relativeFrom="paragraph">
                  <wp:posOffset>85725</wp:posOffset>
                </wp:positionV>
                <wp:extent cx="1120140" cy="276225"/>
                <wp:effectExtent l="0" t="0" r="0" b="0"/>
                <wp:wrapSquare wrapText="bothSides"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20" cy="276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37D7C" w:rsidRDefault="00B811A0">
                            <w:pPr>
                              <w:pStyle w:val="FrameContents"/>
                            </w:pPr>
                            <w:r>
                              <w:rPr>
                                <w:i/>
                                <w:iCs/>
                              </w:rPr>
                              <w:t>P</w:t>
                            </w:r>
                            <w:r>
                              <w:t>=0,019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_x0000_s1027" style="position:absolute;margin-left:116.25pt;margin-top:6.75pt;width:88.2pt;height:21.75pt;z-index:16;visibility:visible;mso-wrap-style:square;mso-height-percent:200;mso-wrap-distance-left:9pt;mso-wrap-distance-top:3.6pt;mso-wrap-distance-right:9pt;mso-wrap-distance-bottom:3.55pt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" o:allowincell="f" filled="f" stroked="f">
                <v:textbox style="mso-fit-shape-to-text:t">
                  <w:txbxContent>
                    <w:p w:rsidR="00D37D7C" w:rsidRDefault="00B811A0">
                      <w:pPr>
                        <w:pStyle w:val="FrameContents"/>
                      </w:pPr>
                      <w:r>
                        <w:rPr>
                          <w:i/>
                          <w:iCs/>
                        </w:rPr>
                        <w:t>P</w:t>
                      </w:r>
                      <w:r>
                        <w:t>=0,019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B811A0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  <w:r>
        <w:rPr>
          <w:noProof/>
          <w:color w:val="auto"/>
          <w:szCs w:val="20"/>
          <w:u w:val="single"/>
          <w:lang w:val="en-PH" w:eastAsia="en-PH" w:bidi="ar-SA"/>
        </w:rPr>
        <mc:AlternateContent>
          <mc:Choice Requires="wps">
            <w:drawing>
              <wp:anchor distT="45720" distB="45085" distL="114300" distR="114300" simplePos="0" relativeHeight="18" behindDoc="0" locked="0" layoutInCell="0" allowOverlap="1" wp14:anchorId="2AACA448">
                <wp:simplePos x="0" y="0"/>
                <wp:positionH relativeFrom="column">
                  <wp:posOffset>1432560</wp:posOffset>
                </wp:positionH>
                <wp:positionV relativeFrom="paragraph">
                  <wp:posOffset>15240</wp:posOffset>
                </wp:positionV>
                <wp:extent cx="1120140" cy="276225"/>
                <wp:effectExtent l="0" t="0" r="0" b="0"/>
                <wp:wrapSquare wrapText="bothSides"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20" cy="276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37D7C" w:rsidRDefault="00B811A0">
                            <w:pPr>
                              <w:pStyle w:val="FrameContents"/>
                            </w:pPr>
                            <w:r>
                              <w:rPr>
                                <w:i/>
                                <w:iCs/>
                              </w:rPr>
                              <w:t>P</w:t>
                            </w:r>
                            <w:r>
                              <w:t>=0,047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_x0000_s1028" style="position:absolute;margin-left:112.8pt;margin-top:1.2pt;width:88.2pt;height:21.75pt;z-index:18;visibility:visible;mso-wrap-style:square;mso-height-percent:200;mso-wrap-distance-left:9pt;mso-wrap-distance-top:3.6pt;mso-wrap-distance-right:9pt;mso-wrap-distance-bottom:3.55pt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" o:allowincell="f" filled="f" stroked="f">
                <v:textbox style="mso-fit-shape-to-text:t">
                  <w:txbxContent>
                    <w:p w:rsidR="00D37D7C" w:rsidRDefault="00B811A0">
                      <w:pPr>
                        <w:pStyle w:val="FrameContents"/>
                      </w:pPr>
                      <w:r>
                        <w:rPr>
                          <w:i/>
                          <w:iCs/>
                        </w:rPr>
                        <w:t>P</w:t>
                      </w:r>
                      <w:r>
                        <w:t>=0,047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auto"/>
          <w:szCs w:val="20"/>
          <w:u w:val="single"/>
          <w:lang w:val="en-PH" w:eastAsia="en-PH" w:bidi="ar-SA"/>
        </w:rPr>
        <mc:AlternateContent>
          <mc:Choice Requires="wps">
            <w:drawing>
              <wp:anchor distT="45720" distB="45085" distL="114300" distR="114300" simplePos="0" relativeHeight="20" behindDoc="0" locked="0" layoutInCell="0" allowOverlap="1" wp14:anchorId="17F1A9B0">
                <wp:simplePos x="0" y="0"/>
                <wp:positionH relativeFrom="column">
                  <wp:posOffset>5164455</wp:posOffset>
                </wp:positionH>
                <wp:positionV relativeFrom="paragraph">
                  <wp:posOffset>76200</wp:posOffset>
                </wp:positionV>
                <wp:extent cx="1120140" cy="276225"/>
                <wp:effectExtent l="0" t="0" r="0" b="0"/>
                <wp:wrapSquare wrapText="bothSides"/>
                <wp:docPr id="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320" cy="276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37D7C" w:rsidRDefault="00B811A0">
                            <w:pPr>
                              <w:pStyle w:val="FrameContents"/>
                            </w:pPr>
                            <w:r>
                              <w:rPr>
                                <w:i/>
                                <w:iCs/>
                              </w:rPr>
                              <w:t>P</w:t>
                            </w:r>
                            <w:r>
                              <w:t>&lt;0,001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_x0000_s1029" style="position:absolute;margin-left:406.65pt;margin-top:6pt;width:88.2pt;height:21.75pt;z-index:20;visibility:visible;mso-wrap-style:square;mso-height-percent:200;mso-wrap-distance-left:9pt;mso-wrap-distance-top:3.6pt;mso-wrap-distance-right:9pt;mso-wrap-distance-bottom:3.55pt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" o:allowincell="f" filled="f" stroked="f">
                <v:textbox style="mso-fit-shape-to-text:t">
                  <w:txbxContent>
                    <w:p w:rsidR="00D37D7C" w:rsidRDefault="00B811A0">
                      <w:pPr>
                        <w:pStyle w:val="FrameContents"/>
                      </w:pPr>
                      <w:r>
                        <w:rPr>
                          <w:i/>
                          <w:iCs/>
                        </w:rPr>
                        <w:t>P</w:t>
                      </w:r>
                      <w:r>
                        <w:t>&lt;0,001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D37D7C">
      <w:pPr>
        <w:pStyle w:val="MDPI21heading1"/>
        <w:spacing w:before="0" w:after="0" w:line="276" w:lineRule="auto"/>
        <w:ind w:left="0"/>
        <w:rPr>
          <w:color w:val="auto"/>
          <w:szCs w:val="20"/>
          <w:u w:val="single"/>
        </w:rPr>
      </w:pPr>
    </w:p>
    <w:p w:rsidR="00D37D7C" w:rsidRDefault="00B811A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Figure S1: </w:t>
      </w:r>
      <w:r>
        <w:rPr>
          <w:rFonts w:ascii="Times New Roman" w:hAnsi="Times New Roman" w:cs="Times New Roman"/>
          <w:sz w:val="18"/>
          <w:szCs w:val="18"/>
        </w:rPr>
        <w:t>Additional Kaplan–Meier curves for DSS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 the whole population</w:t>
      </w:r>
    </w:p>
    <w:sectPr w:rsidR="00D37D7C"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811A0">
      <w:r>
        <w:separator/>
      </w:r>
    </w:p>
  </w:endnote>
  <w:endnote w:type="continuationSeparator" w:id="0">
    <w:p w:rsidR="00000000" w:rsidRDefault="00B8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7C" w:rsidRDefault="00B811A0">
    <w:pPr>
      <w:pStyle w:val="Footer"/>
      <w:ind w:right="360"/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2516587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3" name="Frame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id w:val="-175828503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:rsidR="00D37D7C" w:rsidRDefault="00B811A0">
                              <w:pPr>
                                <w:pStyle w:val="Footer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0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9" o:spid="_x0000_s1030" type="#_x0000_t202" style="position:absolute;margin-left:-50.05pt;margin-top:.05pt;width:1.15pt;height:1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" stroked="f">
              <v:fill opacity="0"/>
              <v:textbox style="mso-fit-shape-to-text:t" inset="0,0,0,0">
                <w:txbxContent>
                  <w:sdt>
                    <w:sdtPr>
                      <w:id w:val="-175828503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:rsidR="00D37D7C" w:rsidRDefault="00B811A0">
                        <w:pPr>
                          <w:pStyle w:val="Footer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0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7C" w:rsidRDefault="00B811A0">
    <w:pPr>
      <w:pStyle w:val="Footer"/>
      <w:ind w:right="360"/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4940" cy="186055"/>
              <wp:effectExtent l="0" t="0" r="0" b="0"/>
              <wp:wrapNone/>
              <wp:docPr id="14" name="Frame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id w:val="-836224086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:rsidR="00D37D7C" w:rsidRDefault="00B811A0">
                              <w:pPr>
                                <w:pStyle w:val="Footer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  <w:noProof/>
                                </w:rPr>
                                <w:t>8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0" o:spid="_x0000_s1031" type="#_x0000_t202" style="position:absolute;margin-left:-39pt;margin-top:.05pt;width:12.2pt;height:14.65pt;z-index:25165670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" o:allowincell="f" stroked="f">
              <v:fill opacity="0"/>
              <v:textbox style="mso-fit-shape-to-text:t" inset="0,0,0,0">
                <w:txbxContent>
                  <w:sdt>
                    <w:sdtPr>
                      <w:id w:val="-836224086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:rsidR="00D37D7C" w:rsidRDefault="00B811A0">
                        <w:pPr>
                          <w:pStyle w:val="Footer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noProof/>
                          </w:rPr>
                          <w:t>8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7C" w:rsidRDefault="00B811A0">
    <w:pPr>
      <w:pStyle w:val="Footer"/>
      <w:ind w:right="360"/>
    </w:pPr>
    <w:r>
      <w:rPr>
        <w:noProof/>
        <w:lang w:val="en-PH" w:eastAsia="en-PH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4940" cy="186055"/>
              <wp:effectExtent l="0" t="0" r="0" b="0"/>
              <wp:wrapNone/>
              <wp:docPr id="15" name="Frame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id w:val="1361551050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:rsidR="00D37D7C" w:rsidRDefault="00B811A0">
                              <w:pPr>
                                <w:pStyle w:val="Footer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29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39pt;margin-top:.05pt;width:12.2pt;height:14.65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" o:allowincell="f" stroked="f">
              <v:fill opacity="0"/>
              <v:textbox style="mso-fit-shape-to-text:t" inset="0,0,0,0">
                <w:txbxContent>
                  <w:sdt>
                    <w:sdtPr>
                      <w:id w:val="1361551050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:rsidR="00D37D7C" w:rsidRDefault="00B811A0">
                        <w:pPr>
                          <w:pStyle w:val="Footer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29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811A0">
      <w:r>
        <w:separator/>
      </w:r>
    </w:p>
  </w:footnote>
  <w:footnote w:type="continuationSeparator" w:id="0">
    <w:p w:rsidR="00000000" w:rsidRDefault="00B8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16B67"/>
    <w:multiLevelType w:val="multilevel"/>
    <w:tmpl w:val="32B23BFE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>
    <w:nsid w:val="73AC5C34"/>
    <w:multiLevelType w:val="multilevel"/>
    <w:tmpl w:val="EC8A12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37D7C"/>
    <w:rsid w:val="004611B0"/>
    <w:rsid w:val="00B811A0"/>
    <w:rsid w:val="00D3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F14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F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F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4C3F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4C3F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4C3F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4C3F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4C3F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4C3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4C3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4C3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4C3F1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4C3F1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4C3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4C3F1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C3F14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4C3F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F14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C3F1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C3F14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C3F14"/>
    <w:rPr>
      <w:b/>
      <w:bCs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E6C63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E6C63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qFormat/>
    <w:rsid w:val="00F56C0A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7599C"/>
    <w:rPr>
      <w:rFonts w:ascii="Segoe UI" w:hAnsi="Segoe UI" w:cs="Segoe UI"/>
      <w:sz w:val="18"/>
      <w:szCs w:val="18"/>
      <w:lang w:val="en-GB"/>
    </w:rPr>
  </w:style>
  <w:style w:type="character" w:customStyle="1" w:styleId="MDPI21heading1Char">
    <w:name w:val="MDPI_2.1_heading1 Char"/>
    <w:basedOn w:val="DefaultParagraphFont"/>
    <w:link w:val="MDPI21heading1"/>
    <w:qFormat/>
    <w:rsid w:val="00FD42EC"/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character" w:customStyle="1" w:styleId="EndNoteBibliographyTitleChar">
    <w:name w:val="EndNote Bibliography Title Char"/>
    <w:basedOn w:val="MDPI21heading1Char"/>
    <w:link w:val="EndNoteBibliographyTitle"/>
    <w:qFormat/>
    <w:rsid w:val="00FD42EC"/>
    <w:rPr>
      <w:rFonts w:ascii="Calibri" w:eastAsia="Times New Roman" w:hAnsi="Calibri" w:cs="Calibri"/>
      <w:b w:val="0"/>
      <w:color w:val="000000"/>
      <w:kern w:val="0"/>
      <w:sz w:val="24"/>
      <w:szCs w:val="24"/>
      <w:lang w:val="en-US" w:eastAsia="de-DE" w:bidi="en-US"/>
      <w14:ligatures w14:val="none"/>
    </w:rPr>
  </w:style>
  <w:style w:type="character" w:customStyle="1" w:styleId="EndNoteBibliographyChar">
    <w:name w:val="EndNote Bibliography Char"/>
    <w:basedOn w:val="MDPI21heading1Char"/>
    <w:link w:val="EndNoteBibliography"/>
    <w:qFormat/>
    <w:rsid w:val="00FD42EC"/>
    <w:rPr>
      <w:rFonts w:ascii="Calibri" w:eastAsia="Times New Roman" w:hAnsi="Calibri" w:cs="Calibri"/>
      <w:b w:val="0"/>
      <w:color w:val="000000"/>
      <w:kern w:val="0"/>
      <w:sz w:val="24"/>
      <w:szCs w:val="24"/>
      <w:lang w:val="en-US" w:eastAsia="de-DE" w:bidi="en-US"/>
      <w14:ligatures w14:val="none"/>
    </w:rPr>
  </w:style>
  <w:style w:type="character" w:customStyle="1" w:styleId="Paper-NormalChar">
    <w:name w:val="Paper-Normal Char"/>
    <w:basedOn w:val="DefaultParagraphFont"/>
    <w:link w:val="Paper-Normal"/>
    <w:qFormat/>
    <w:rsid w:val="00422218"/>
    <w:rPr>
      <w:rFonts w:ascii="Times New Roman" w:eastAsia="Times New Roman" w:hAnsi="Times New Roman" w:cs="Times New Roman"/>
      <w:kern w:val="0"/>
      <w:szCs w:val="20"/>
      <w:lang w:val="en-US"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2B18BD"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4C3F14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F14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F14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F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C3F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C3F14"/>
    <w:rPr>
      <w:b/>
      <w:bCs/>
    </w:rPr>
  </w:style>
  <w:style w:type="paragraph" w:customStyle="1" w:styleId="MDPI21heading1">
    <w:name w:val="MDPI_2.1_heading1"/>
    <w:link w:val="MDPI21heading1Char"/>
    <w:qFormat/>
    <w:rsid w:val="004C3F14"/>
    <w:pPr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1B60DF"/>
    <w:pPr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AA1482"/>
    <w:pPr>
      <w:spacing w:beforeAutospacing="1" w:afterAutospacing="1"/>
    </w:pPr>
    <w:rPr>
      <w:rFonts w:ascii="Times New Roman" w:eastAsia="Times New Roman" w:hAnsi="Times New Roman" w:cs="Times New Roman"/>
      <w:kern w:val="0"/>
      <w:lang w:val="pt-PT" w:eastAsia="pt-PT"/>
      <w14:ligatures w14:val="none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6C63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unhideWhenUsed/>
    <w:rsid w:val="006E6C63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0B3B9D"/>
    <w:rPr>
      <w:rFonts w:ascii="Palatino Linotype" w:eastAsia="Calibri" w:hAnsi="Palatino Linotype" w:cs="Palatino Linotype"/>
      <w:color w:val="000000"/>
      <w:kern w:val="0"/>
      <w:sz w:val="24"/>
      <w:szCs w:val="24"/>
    </w:rPr>
  </w:style>
  <w:style w:type="paragraph" w:styleId="Revision">
    <w:name w:val="Revision"/>
    <w:uiPriority w:val="99"/>
    <w:semiHidden/>
    <w:qFormat/>
    <w:rsid w:val="00DD5CEE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7599C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FD42EC"/>
    <w:pPr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qFormat/>
    <w:rsid w:val="00FD42EC"/>
    <w:rPr>
      <w:rFonts w:ascii="Calibri" w:hAnsi="Calibri" w:cs="Calibri"/>
      <w:lang w:val="en-US"/>
    </w:rPr>
  </w:style>
  <w:style w:type="paragraph" w:customStyle="1" w:styleId="Paper-Normal">
    <w:name w:val="Paper-Normal"/>
    <w:basedOn w:val="Normal"/>
    <w:link w:val="Paper-NormalChar"/>
    <w:qFormat/>
    <w:rsid w:val="00422218"/>
    <w:pPr>
      <w:tabs>
        <w:tab w:val="left" w:pos="720"/>
      </w:tabs>
      <w:spacing w:line="480" w:lineRule="auto"/>
    </w:pPr>
    <w:rPr>
      <w:rFonts w:ascii="Times New Roman" w:eastAsia="Times New Roman" w:hAnsi="Times New Roman" w:cs="Times New Roman"/>
      <w:kern w:val="0"/>
      <w:sz w:val="22"/>
      <w:szCs w:val="20"/>
      <w:lang w:val="en-US" w:eastAsia="en-GB"/>
      <w14:ligatures w14:val="none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GridTable1Light">
    <w:name w:val="Grid Table 1 Light"/>
    <w:basedOn w:val="TableNormal"/>
    <w:uiPriority w:val="46"/>
    <w:rsid w:val="000D3149"/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590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F14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F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F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4C3F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4C3F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4C3F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4C3F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4C3F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4C3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4C3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4C3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4C3F1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4C3F1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4C3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4C3F1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C3F14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4C3F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F14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C3F1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C3F14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C3F14"/>
    <w:rPr>
      <w:b/>
      <w:bCs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E6C63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E6C63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qFormat/>
    <w:rsid w:val="00F56C0A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7599C"/>
    <w:rPr>
      <w:rFonts w:ascii="Segoe UI" w:hAnsi="Segoe UI" w:cs="Segoe UI"/>
      <w:sz w:val="18"/>
      <w:szCs w:val="18"/>
      <w:lang w:val="en-GB"/>
    </w:rPr>
  </w:style>
  <w:style w:type="character" w:customStyle="1" w:styleId="MDPI21heading1Char">
    <w:name w:val="MDPI_2.1_heading1 Char"/>
    <w:basedOn w:val="DefaultParagraphFont"/>
    <w:link w:val="MDPI21heading1"/>
    <w:qFormat/>
    <w:rsid w:val="00FD42EC"/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character" w:customStyle="1" w:styleId="EndNoteBibliographyTitleChar">
    <w:name w:val="EndNote Bibliography Title Char"/>
    <w:basedOn w:val="MDPI21heading1Char"/>
    <w:link w:val="EndNoteBibliographyTitle"/>
    <w:qFormat/>
    <w:rsid w:val="00FD42EC"/>
    <w:rPr>
      <w:rFonts w:ascii="Calibri" w:eastAsia="Times New Roman" w:hAnsi="Calibri" w:cs="Calibri"/>
      <w:b w:val="0"/>
      <w:color w:val="000000"/>
      <w:kern w:val="0"/>
      <w:sz w:val="24"/>
      <w:szCs w:val="24"/>
      <w:lang w:val="en-US" w:eastAsia="de-DE" w:bidi="en-US"/>
      <w14:ligatures w14:val="none"/>
    </w:rPr>
  </w:style>
  <w:style w:type="character" w:customStyle="1" w:styleId="EndNoteBibliographyChar">
    <w:name w:val="EndNote Bibliography Char"/>
    <w:basedOn w:val="MDPI21heading1Char"/>
    <w:link w:val="EndNoteBibliography"/>
    <w:qFormat/>
    <w:rsid w:val="00FD42EC"/>
    <w:rPr>
      <w:rFonts w:ascii="Calibri" w:eastAsia="Times New Roman" w:hAnsi="Calibri" w:cs="Calibri"/>
      <w:b w:val="0"/>
      <w:color w:val="000000"/>
      <w:kern w:val="0"/>
      <w:sz w:val="24"/>
      <w:szCs w:val="24"/>
      <w:lang w:val="en-US" w:eastAsia="de-DE" w:bidi="en-US"/>
      <w14:ligatures w14:val="none"/>
    </w:rPr>
  </w:style>
  <w:style w:type="character" w:customStyle="1" w:styleId="Paper-NormalChar">
    <w:name w:val="Paper-Normal Char"/>
    <w:basedOn w:val="DefaultParagraphFont"/>
    <w:link w:val="Paper-Normal"/>
    <w:qFormat/>
    <w:rsid w:val="00422218"/>
    <w:rPr>
      <w:rFonts w:ascii="Times New Roman" w:eastAsia="Times New Roman" w:hAnsi="Times New Roman" w:cs="Times New Roman"/>
      <w:kern w:val="0"/>
      <w:szCs w:val="20"/>
      <w:lang w:val="en-US"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2B18BD"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4C3F14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F14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F14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F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C3F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C3F14"/>
    <w:rPr>
      <w:b/>
      <w:bCs/>
    </w:rPr>
  </w:style>
  <w:style w:type="paragraph" w:customStyle="1" w:styleId="MDPI21heading1">
    <w:name w:val="MDPI_2.1_heading1"/>
    <w:link w:val="MDPI21heading1Char"/>
    <w:qFormat/>
    <w:rsid w:val="004C3F14"/>
    <w:pPr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1B60DF"/>
    <w:pPr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AA1482"/>
    <w:pPr>
      <w:spacing w:beforeAutospacing="1" w:afterAutospacing="1"/>
    </w:pPr>
    <w:rPr>
      <w:rFonts w:ascii="Times New Roman" w:eastAsia="Times New Roman" w:hAnsi="Times New Roman" w:cs="Times New Roman"/>
      <w:kern w:val="0"/>
      <w:lang w:val="pt-PT" w:eastAsia="pt-PT"/>
      <w14:ligatures w14:val="none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6C63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unhideWhenUsed/>
    <w:rsid w:val="006E6C63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0B3B9D"/>
    <w:rPr>
      <w:rFonts w:ascii="Palatino Linotype" w:eastAsia="Calibri" w:hAnsi="Palatino Linotype" w:cs="Palatino Linotype"/>
      <w:color w:val="000000"/>
      <w:kern w:val="0"/>
      <w:sz w:val="24"/>
      <w:szCs w:val="24"/>
    </w:rPr>
  </w:style>
  <w:style w:type="paragraph" w:styleId="Revision">
    <w:name w:val="Revision"/>
    <w:uiPriority w:val="99"/>
    <w:semiHidden/>
    <w:qFormat/>
    <w:rsid w:val="00DD5CEE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7599C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FD42EC"/>
    <w:pPr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qFormat/>
    <w:rsid w:val="00FD42EC"/>
    <w:rPr>
      <w:rFonts w:ascii="Calibri" w:hAnsi="Calibri" w:cs="Calibri"/>
      <w:lang w:val="en-US"/>
    </w:rPr>
  </w:style>
  <w:style w:type="paragraph" w:customStyle="1" w:styleId="Paper-Normal">
    <w:name w:val="Paper-Normal"/>
    <w:basedOn w:val="Normal"/>
    <w:link w:val="Paper-NormalChar"/>
    <w:qFormat/>
    <w:rsid w:val="00422218"/>
    <w:pPr>
      <w:tabs>
        <w:tab w:val="left" w:pos="720"/>
      </w:tabs>
      <w:spacing w:line="480" w:lineRule="auto"/>
    </w:pPr>
    <w:rPr>
      <w:rFonts w:ascii="Times New Roman" w:eastAsia="Times New Roman" w:hAnsi="Times New Roman" w:cs="Times New Roman"/>
      <w:kern w:val="0"/>
      <w:sz w:val="22"/>
      <w:szCs w:val="20"/>
      <w:lang w:val="en-US" w:eastAsia="en-GB"/>
      <w14:ligatures w14:val="none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GridTable1Light">
    <w:name w:val="Grid Table 1 Light"/>
    <w:basedOn w:val="TableNormal"/>
    <w:uiPriority w:val="46"/>
    <w:rsid w:val="000D3149"/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590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382A6-8813-4867-811C-A07B16B3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Caldeira</dc:creator>
  <cp:lastModifiedBy>Leonard Tubat Tuala</cp:lastModifiedBy>
  <cp:revision>2</cp:revision>
  <dcterms:created xsi:type="dcterms:W3CDTF">2025-04-22T02:30:00Z</dcterms:created>
  <dcterms:modified xsi:type="dcterms:W3CDTF">2025-04-22T02:30:00Z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c5a5a1c9dee369fb4e522d12e2a13ce0885b1924b43b332264b76c141332e136</vt:lpwstr>
  </property>
</Properties>
</file>