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279D0" w14:textId="2130EC67" w:rsidR="009557EB" w:rsidRDefault="004E06F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Kaplan–Meier survival curves for non-gynecologic leiomyosarcomas by sex and tumor grade. </w:t>
      </w:r>
      <w:r>
        <w:rPr>
          <w:rFonts w:ascii="Times New Roman" w:eastAsia="Times New Roman" w:hAnsi="Times New Roman" w:cs="Times New Roman"/>
        </w:rPr>
        <w:t>Sex and progression-free survival (PFS) (A), s</w:t>
      </w:r>
      <w:r>
        <w:rPr>
          <w:rFonts w:ascii="Times New Roman" w:eastAsia="Times New Roman" w:hAnsi="Times New Roman" w:cs="Times New Roman"/>
        </w:rPr>
        <w:t>ex and disease-specific survival (DSS) (B), t</w:t>
      </w:r>
      <w:r>
        <w:rPr>
          <w:rFonts w:ascii="Times New Roman" w:eastAsia="Times New Roman" w:hAnsi="Times New Roman" w:cs="Times New Roman"/>
        </w:rPr>
        <w:t>umor grade and PFS (C), and t</w:t>
      </w:r>
      <w:r>
        <w:rPr>
          <w:rFonts w:ascii="Times New Roman" w:eastAsia="Times New Roman" w:hAnsi="Times New Roman" w:cs="Times New Roman"/>
        </w:rPr>
        <w:t>umor grade and DSS (D) failed to show significant correlation.</w:t>
      </w:r>
      <w:r>
        <w:br w:type="page"/>
      </w:r>
    </w:p>
    <w:p w14:paraId="1457FCE1" w14:textId="77777777" w:rsidR="009557EB" w:rsidRDefault="004E06FC">
      <w:p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lastRenderedPageBreak/>
        <w:t>A</w:t>
      </w:r>
    </w:p>
    <w:p w14:paraId="0E8CEED3" w14:textId="77777777" w:rsidR="009557EB" w:rsidRDefault="004E06F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2390A373" wp14:editId="7EDB2593">
            <wp:extent cx="5943600" cy="2844800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</w:p>
    <w:p w14:paraId="4FB2D923" w14:textId="77777777" w:rsidR="009557EB" w:rsidRDefault="004E06FC">
      <w:pPr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lastRenderedPageBreak/>
        <w:t>B</w:t>
      </w:r>
    </w:p>
    <w:p w14:paraId="1B40EE4E" w14:textId="77777777" w:rsidR="009557EB" w:rsidRDefault="004E06F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383D7E73" wp14:editId="2A28D9F8">
            <wp:extent cx="5943600" cy="280670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</w:p>
    <w:p w14:paraId="2502F0F7" w14:textId="77777777" w:rsidR="009557EB" w:rsidRDefault="004E06F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lastRenderedPageBreak/>
        <w:t>C</w:t>
      </w:r>
    </w:p>
    <w:p w14:paraId="7CE30A45" w14:textId="77777777" w:rsidR="009557EB" w:rsidRDefault="004E06F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7C3ED0E9" wp14:editId="10E18856">
            <wp:extent cx="5943600" cy="28194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9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</w:p>
    <w:p w14:paraId="2D0DF167" w14:textId="77777777" w:rsidR="009557EB" w:rsidRDefault="004E06FC">
      <w:pPr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lastRenderedPageBreak/>
        <w:t>D</w:t>
      </w:r>
    </w:p>
    <w:p w14:paraId="0AF2CB79" w14:textId="77777777" w:rsidR="009557EB" w:rsidRDefault="004E06F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3738114D" wp14:editId="7CFC8A70">
            <wp:extent cx="5943600" cy="28067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748646" w14:textId="77777777" w:rsidR="009557EB" w:rsidRDefault="009557EB">
      <w:pPr>
        <w:rPr>
          <w:rFonts w:ascii="Times New Roman" w:eastAsia="Times New Roman" w:hAnsi="Times New Roman" w:cs="Times New Roman"/>
        </w:rPr>
      </w:pPr>
    </w:p>
    <w:p w14:paraId="544FF070" w14:textId="77777777" w:rsidR="009557EB" w:rsidRDefault="009557EB">
      <w:pPr>
        <w:rPr>
          <w:rFonts w:ascii="Times New Roman" w:eastAsia="Times New Roman" w:hAnsi="Times New Roman" w:cs="Times New Roman"/>
        </w:rPr>
      </w:pPr>
    </w:p>
    <w:p w14:paraId="19C7DDB2" w14:textId="77777777" w:rsidR="009557EB" w:rsidRDefault="009557EB">
      <w:pPr>
        <w:rPr>
          <w:rFonts w:ascii="Times New Roman" w:eastAsia="Times New Roman" w:hAnsi="Times New Roman" w:cs="Times New Roman"/>
        </w:rPr>
      </w:pPr>
    </w:p>
    <w:sectPr w:rsidR="009557E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7EB"/>
    <w:rsid w:val="004E06FC"/>
    <w:rsid w:val="009557EB"/>
    <w:rsid w:val="00A5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BFFFC"/>
  <w15:docId w15:val="{956CED1F-A395-4909-9591-6E16549C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Fritchie, Karen</dc:creator>
  <cp:lastModifiedBy>Fritchie, Karen</cp:lastModifiedBy>
  <cp:revision>2</cp:revision>
  <dcterms:created xsi:type="dcterms:W3CDTF">2025-08-16T18:06:00Z</dcterms:created>
  <dcterms:modified xsi:type="dcterms:W3CDTF">2025-08-16T18:06:00Z</dcterms:modified>
</cp:coreProperties>
</file>