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A2E14B" w14:textId="77777777" w:rsidR="005D60AA" w:rsidRPr="00A049D1" w:rsidRDefault="005D60AA" w:rsidP="007808F1">
      <w:pPr>
        <w:spacing w:after="0" w:line="360" w:lineRule="auto"/>
        <w:jc w:val="both"/>
        <w:rPr>
          <w:b/>
          <w:bCs/>
          <w:sz w:val="48"/>
          <w:szCs w:val="48"/>
        </w:rPr>
      </w:pPr>
      <w:r w:rsidRPr="00A049D1">
        <w:rPr>
          <w:b/>
          <w:bCs/>
          <w:sz w:val="48"/>
          <w:szCs w:val="48"/>
        </w:rPr>
        <w:t xml:space="preserve">Supplementary materials </w:t>
      </w:r>
    </w:p>
    <w:p w14:paraId="62A9EE75" w14:textId="77777777" w:rsidR="005D60AA" w:rsidRPr="00A049D1" w:rsidRDefault="005D60AA" w:rsidP="007808F1">
      <w:pPr>
        <w:spacing w:after="0" w:line="360" w:lineRule="auto"/>
        <w:jc w:val="both"/>
        <w:rPr>
          <w:sz w:val="28"/>
          <w:szCs w:val="28"/>
        </w:rPr>
      </w:pPr>
      <w:r w:rsidRPr="00A049D1">
        <w:rPr>
          <w:sz w:val="28"/>
          <w:szCs w:val="28"/>
        </w:rPr>
        <w:t>For the paper ‘Dynamics of the straight-ahead preference in human visual cortex’</w:t>
      </w:r>
    </w:p>
    <w:p w14:paraId="2C2DF438" w14:textId="77777777" w:rsidR="005D60AA" w:rsidRPr="00A049D1" w:rsidRDefault="005D60AA" w:rsidP="007808F1">
      <w:pPr>
        <w:spacing w:after="0" w:line="240" w:lineRule="auto"/>
        <w:jc w:val="both"/>
        <w:rPr>
          <w:i/>
          <w:iCs/>
          <w:sz w:val="24"/>
          <w:szCs w:val="24"/>
        </w:rPr>
      </w:pPr>
      <w:r w:rsidRPr="00A049D1">
        <w:rPr>
          <w:i/>
          <w:iCs/>
          <w:sz w:val="24"/>
          <w:szCs w:val="24"/>
        </w:rPr>
        <w:t>Olena V. BOGDANOVA, Volodymyr B. BOGDANOV, Jean-Baptiste DURAND, Yves TROTTER</w:t>
      </w:r>
      <w:r w:rsidR="00F86331">
        <w:rPr>
          <w:i/>
          <w:iCs/>
          <w:sz w:val="24"/>
          <w:szCs w:val="24"/>
        </w:rPr>
        <w:t xml:space="preserve"> </w:t>
      </w:r>
      <w:r w:rsidRPr="00A049D1">
        <w:rPr>
          <w:i/>
          <w:iCs/>
          <w:sz w:val="24"/>
          <w:szCs w:val="24"/>
        </w:rPr>
        <w:t>and Benoit R. COTTEREAU</w:t>
      </w:r>
    </w:p>
    <w:p w14:paraId="79FEC987" w14:textId="77777777" w:rsidR="005D60AA" w:rsidRPr="00A049D1" w:rsidRDefault="005D60AA" w:rsidP="007808F1">
      <w:pPr>
        <w:jc w:val="both"/>
      </w:pPr>
    </w:p>
    <w:p w14:paraId="3E86414B" w14:textId="77777777" w:rsidR="005D60AA" w:rsidRPr="00482ACD" w:rsidRDefault="005D60AA" w:rsidP="007808F1">
      <w:pPr>
        <w:pStyle w:val="Paragraphedeliste"/>
        <w:numPr>
          <w:ilvl w:val="0"/>
          <w:numId w:val="1"/>
        </w:numPr>
        <w:jc w:val="both"/>
        <w:rPr>
          <w:b/>
          <w:bCs/>
          <w:sz w:val="28"/>
          <w:szCs w:val="28"/>
        </w:rPr>
      </w:pPr>
      <w:r w:rsidRPr="00482ACD">
        <w:rPr>
          <w:b/>
          <w:bCs/>
          <w:sz w:val="28"/>
          <w:szCs w:val="28"/>
        </w:rPr>
        <w:t>Analysis of the participants’ eye movements</w:t>
      </w:r>
    </w:p>
    <w:p w14:paraId="3F83C0D3" w14:textId="77777777" w:rsidR="005D60AA" w:rsidRDefault="005D60AA" w:rsidP="007808F1">
      <w:pPr>
        <w:spacing w:after="0" w:line="240" w:lineRule="auto"/>
        <w:jc w:val="both"/>
        <w:rPr>
          <w:sz w:val="24"/>
          <w:szCs w:val="24"/>
        </w:rPr>
      </w:pPr>
    </w:p>
    <w:p w14:paraId="3C892BAE" w14:textId="5BD350A0" w:rsidR="005D60AA" w:rsidRPr="003724A8" w:rsidRDefault="005D60AA" w:rsidP="007808F1">
      <w:pPr>
        <w:spacing w:after="0" w:line="240" w:lineRule="auto"/>
        <w:jc w:val="both"/>
      </w:pPr>
      <w:r w:rsidRPr="003724A8">
        <w:t xml:space="preserve">We recorded eye movements in 10 subjects from experiment 2 </w:t>
      </w:r>
      <w:r w:rsidRPr="003724A8">
        <w:rPr>
          <w:color w:val="000000"/>
          <w:shd w:val="clear" w:color="auto" w:fill="FFFFFF"/>
        </w:rPr>
        <w:t>with an eye tracker (Eye Link 1000 desktop) placed 35 cm in front of the participants. The sampling rate was 500 Hz.</w:t>
      </w:r>
      <w:r>
        <w:rPr>
          <w:color w:val="000000"/>
          <w:shd w:val="clear" w:color="auto" w:fill="FFFFFF"/>
        </w:rPr>
        <w:t xml:space="preserve"> </w:t>
      </w:r>
      <w:r w:rsidR="00C931E3">
        <w:rPr>
          <w:color w:val="000000"/>
          <w:shd w:val="clear" w:color="auto" w:fill="FFFFFF"/>
        </w:rPr>
        <w:t>We</w:t>
      </w:r>
      <w:r w:rsidRPr="003724A8">
        <w:rPr>
          <w:color w:val="000000"/>
          <w:shd w:val="clear" w:color="auto" w:fill="FFFFFF"/>
        </w:rPr>
        <w:t xml:space="preserve"> </w:t>
      </w:r>
      <w:r w:rsidR="000A4528">
        <w:rPr>
          <w:color w:val="000000"/>
          <w:shd w:val="clear" w:color="auto" w:fill="FFFFFF"/>
        </w:rPr>
        <w:t xml:space="preserve">first </w:t>
      </w:r>
      <w:r w:rsidRPr="003724A8">
        <w:rPr>
          <w:color w:val="000000"/>
          <w:shd w:val="clear" w:color="auto" w:fill="FFFFFF"/>
        </w:rPr>
        <w:t xml:space="preserve">estimated the </w:t>
      </w:r>
      <w:r>
        <w:rPr>
          <w:color w:val="000000"/>
          <w:shd w:val="clear" w:color="auto" w:fill="FFFFFF"/>
        </w:rPr>
        <w:t>distribution</w:t>
      </w:r>
      <w:r w:rsidRPr="003724A8">
        <w:rPr>
          <w:color w:val="000000"/>
          <w:shd w:val="clear" w:color="auto" w:fill="FFFFFF"/>
        </w:rPr>
        <w:t xml:space="preserve"> of </w:t>
      </w:r>
      <w:r>
        <w:rPr>
          <w:color w:val="000000"/>
          <w:shd w:val="clear" w:color="auto" w:fill="FFFFFF"/>
        </w:rPr>
        <w:t>gaze fixations</w:t>
      </w:r>
      <w:r w:rsidR="000A4528">
        <w:rPr>
          <w:color w:val="000000"/>
          <w:shd w:val="clear" w:color="auto" w:fill="FFFFFF"/>
        </w:rPr>
        <w:t xml:space="preserve"> for each session of each subject</w:t>
      </w:r>
      <w:r>
        <w:rPr>
          <w:color w:val="000000"/>
          <w:shd w:val="clear" w:color="auto" w:fill="FFFFFF"/>
        </w:rPr>
        <w:t>. We</w:t>
      </w:r>
      <w:r w:rsidR="00C931E3">
        <w:rPr>
          <w:color w:val="000000"/>
          <w:shd w:val="clear" w:color="auto" w:fill="FFFFFF"/>
        </w:rPr>
        <w:t xml:space="preserve"> then</w:t>
      </w:r>
      <w:r w:rsidRPr="003724A8">
        <w:rPr>
          <w:color w:val="000000"/>
          <w:shd w:val="clear" w:color="auto" w:fill="FFFFFF"/>
        </w:rPr>
        <w:t xml:space="preserve"> convolved</w:t>
      </w:r>
      <w:r>
        <w:rPr>
          <w:color w:val="000000"/>
          <w:shd w:val="clear" w:color="auto" w:fill="FFFFFF"/>
        </w:rPr>
        <w:t xml:space="preserve"> the two-dimensional matrix of cumulative fixation scores</w:t>
      </w:r>
      <w:r w:rsidRPr="003724A8">
        <w:rPr>
          <w:color w:val="000000"/>
          <w:shd w:val="clear" w:color="auto" w:fill="FFFFFF"/>
        </w:rPr>
        <w:t xml:space="preserve"> with</w:t>
      </w:r>
      <w:r>
        <w:rPr>
          <w:color w:val="000000"/>
          <w:shd w:val="clear" w:color="auto" w:fill="FFFFFF"/>
        </w:rPr>
        <w:t xml:space="preserve"> a Gaussian kernel of 1° (</w:t>
      </w:r>
      <w:r w:rsidRPr="003724A8">
        <w:rPr>
          <w:color w:val="000000"/>
          <w:shd w:val="clear" w:color="auto" w:fill="FFFFFF"/>
        </w:rPr>
        <w:t>0.25°</w:t>
      </w:r>
      <w:r>
        <w:rPr>
          <w:color w:val="000000"/>
          <w:shd w:val="clear" w:color="auto" w:fill="FFFFFF"/>
        </w:rPr>
        <w:t xml:space="preserve"> sigma</w:t>
      </w:r>
      <w:r w:rsidRPr="003724A8">
        <w:rPr>
          <w:color w:val="000000"/>
          <w:shd w:val="clear" w:color="auto" w:fill="FFFFFF"/>
        </w:rPr>
        <w:t xml:space="preserve">). </w:t>
      </w:r>
      <w:r w:rsidR="00C931E3">
        <w:rPr>
          <w:color w:val="000000"/>
          <w:shd w:val="clear" w:color="auto" w:fill="FFFFFF"/>
        </w:rPr>
        <w:t>We</w:t>
      </w:r>
      <w:r>
        <w:rPr>
          <w:color w:val="000000"/>
          <w:shd w:val="clear" w:color="auto" w:fill="FFFFFF"/>
        </w:rPr>
        <w:t xml:space="preserve"> defined</w:t>
      </w:r>
      <w:r w:rsidRPr="003724A8">
        <w:rPr>
          <w:color w:val="000000"/>
          <w:shd w:val="clear" w:color="auto" w:fill="FFFFFF"/>
        </w:rPr>
        <w:t xml:space="preserve"> the</w:t>
      </w:r>
      <w:r>
        <w:rPr>
          <w:color w:val="000000"/>
          <w:shd w:val="clear" w:color="auto" w:fill="FFFFFF"/>
        </w:rPr>
        <w:t xml:space="preserve"> local</w:t>
      </w:r>
      <w:r w:rsidRPr="003724A8">
        <w:rPr>
          <w:color w:val="000000"/>
          <w:shd w:val="clear" w:color="auto" w:fill="FFFFFF"/>
        </w:rPr>
        <w:t xml:space="preserve"> maxima</w:t>
      </w:r>
      <w:r>
        <w:rPr>
          <w:color w:val="000000"/>
          <w:shd w:val="clear" w:color="auto" w:fill="FFFFFF"/>
        </w:rPr>
        <w:t xml:space="preserve"> for </w:t>
      </w:r>
      <w:r w:rsidR="00C931E3">
        <w:rPr>
          <w:color w:val="000000"/>
          <w:shd w:val="clear" w:color="auto" w:fill="FFFFFF"/>
        </w:rPr>
        <w:t xml:space="preserve">the </w:t>
      </w:r>
      <w:r>
        <w:rPr>
          <w:color w:val="000000"/>
          <w:shd w:val="clear" w:color="auto" w:fill="FFFFFF"/>
        </w:rPr>
        <w:t>gaze</w:t>
      </w:r>
      <w:r w:rsidRPr="003724A8">
        <w:rPr>
          <w:color w:val="000000"/>
          <w:shd w:val="clear" w:color="auto" w:fill="FFFFFF"/>
        </w:rPr>
        <w:t xml:space="preserve"> left and right </w:t>
      </w:r>
      <w:r>
        <w:rPr>
          <w:color w:val="000000"/>
          <w:shd w:val="clear" w:color="auto" w:fill="FFFFFF"/>
        </w:rPr>
        <w:t>conditions</w:t>
      </w:r>
      <w:r w:rsidRPr="003724A8">
        <w:rPr>
          <w:color w:val="000000"/>
          <w:shd w:val="clear" w:color="auto" w:fill="FFFFFF"/>
        </w:rPr>
        <w:t xml:space="preserve"> (see the leftward panel on </w:t>
      </w:r>
      <w:r w:rsidRPr="006E1522">
        <w:rPr>
          <w:b/>
          <w:bCs/>
          <w:color w:val="000000"/>
          <w:shd w:val="clear" w:color="auto" w:fill="FFFFFF"/>
        </w:rPr>
        <w:t>Supplementary figure 1</w:t>
      </w:r>
      <w:r w:rsidRPr="003724A8">
        <w:rPr>
          <w:color w:val="000000"/>
          <w:shd w:val="clear" w:color="auto" w:fill="FFFFFF"/>
        </w:rPr>
        <w:t xml:space="preserve">). </w:t>
      </w:r>
      <w:r w:rsidRPr="003724A8">
        <w:t>The distribution around these peaks was estimated for circular regions of interest with a radius ranging from 0.1° to 10° by step of 0.1° in order to find the critical radius that included 95% of gaze samples. The median value of this critical radius was then computed for each subject across sessions. The average of these median values across subject</w:t>
      </w:r>
      <w:r>
        <w:t>s</w:t>
      </w:r>
      <w:r w:rsidRPr="003724A8">
        <w:t xml:space="preserve"> (and the associated 95% confidence interval) is shown on the rightward panel of </w:t>
      </w:r>
      <w:r w:rsidR="00F86331">
        <w:rPr>
          <w:b/>
          <w:bCs/>
        </w:rPr>
        <w:t>Supplementary figure </w:t>
      </w:r>
      <w:r w:rsidRPr="003724A8">
        <w:rPr>
          <w:b/>
          <w:bCs/>
        </w:rPr>
        <w:t>1</w:t>
      </w:r>
      <w:r w:rsidRPr="003724A8">
        <w:t xml:space="preserve">. On average, 95% of fixations were located within a 1.4° radius zone around the </w:t>
      </w:r>
      <w:r w:rsidR="00DB477C">
        <w:t xml:space="preserve">2 </w:t>
      </w:r>
      <w:r w:rsidRPr="003724A8">
        <w:t>fixation points</w:t>
      </w:r>
      <w:r w:rsidR="00C931E3">
        <w:t xml:space="preserve">. </w:t>
      </w:r>
      <w:r w:rsidR="00C931E3" w:rsidRPr="00AF40F7">
        <w:t xml:space="preserve">In order to </w:t>
      </w:r>
      <w:r w:rsidR="00C931E3">
        <w:t>determine whether subjects slowly drifted their gaze toward the straight-ahead direction, we compared gaze position between the first and last quarters of each 30 s block of leftward and rightward fixations. The corresponding 95% confidence intervals were</w:t>
      </w:r>
      <w:r w:rsidR="00C931E3" w:rsidRPr="00AF40F7">
        <w:t xml:space="preserve"> [-0.08</w:t>
      </w:r>
      <w:r w:rsidR="00C931E3">
        <w:t xml:space="preserve"> </w:t>
      </w:r>
      <w:r w:rsidR="00C931E3" w:rsidRPr="00AF40F7">
        <w:t>:</w:t>
      </w:r>
      <w:r w:rsidR="00C931E3">
        <w:t xml:space="preserve"> </w:t>
      </w:r>
      <w:r w:rsidR="00C931E3" w:rsidRPr="00AF40F7">
        <w:t xml:space="preserve">0.09 degrees] </w:t>
      </w:r>
      <w:r w:rsidR="00C931E3">
        <w:t xml:space="preserve">and </w:t>
      </w:r>
      <w:r w:rsidR="00C931E3" w:rsidRPr="00AF40F7">
        <w:t>[-0.08</w:t>
      </w:r>
      <w:r w:rsidR="00C931E3">
        <w:t xml:space="preserve"> </w:t>
      </w:r>
      <w:r w:rsidR="00C931E3" w:rsidRPr="00AF40F7">
        <w:t>:</w:t>
      </w:r>
      <w:r w:rsidR="00C931E3">
        <w:t xml:space="preserve"> </w:t>
      </w:r>
      <w:r w:rsidR="00C931E3" w:rsidRPr="00AF40F7">
        <w:t>0.07 degrees]</w:t>
      </w:r>
      <w:r w:rsidR="00C931E3">
        <w:t xml:space="preserve"> where positive values correspond to a rightward drift. They show that gaze fixation remained very stable during our recordings and therefore that the differences we obtained between the EEG responses to straight-ahead versus </w:t>
      </w:r>
      <w:r w:rsidR="00D114EB">
        <w:t>peripheral</w:t>
      </w:r>
      <w:r w:rsidR="00C931E3">
        <w:t xml:space="preserve"> stimulations are not likely to be caused </w:t>
      </w:r>
      <w:r w:rsidR="00C931E3" w:rsidRPr="00AF40F7">
        <w:t>by difference</w:t>
      </w:r>
      <w:r w:rsidR="00C931E3">
        <w:t>s</w:t>
      </w:r>
      <w:r w:rsidR="00C931E3" w:rsidRPr="00AF40F7">
        <w:t xml:space="preserve"> in retinal eccentricity.</w:t>
      </w:r>
    </w:p>
    <w:p w14:paraId="755D818F" w14:textId="77777777" w:rsidR="005D60AA" w:rsidRDefault="005D60AA" w:rsidP="007808F1">
      <w:pPr>
        <w:spacing w:after="0" w:line="240" w:lineRule="auto"/>
        <w:jc w:val="both"/>
      </w:pPr>
    </w:p>
    <w:tbl>
      <w:tblPr>
        <w:tblW w:w="0" w:type="auto"/>
        <w:tblInd w:w="-106" w:type="dxa"/>
        <w:tblLook w:val="00A0" w:firstRow="1" w:lastRow="0" w:firstColumn="1" w:lastColumn="0" w:noHBand="0" w:noVBand="0"/>
      </w:tblPr>
      <w:tblGrid>
        <w:gridCol w:w="10279"/>
      </w:tblGrid>
      <w:tr w:rsidR="005D60AA" w14:paraId="7CDE3389" w14:textId="77777777" w:rsidTr="00C00918">
        <w:tc>
          <w:tcPr>
            <w:tcW w:w="10279" w:type="dxa"/>
          </w:tcPr>
          <w:p w14:paraId="1F403281" w14:textId="77777777" w:rsidR="005D60AA" w:rsidRPr="007808D6" w:rsidRDefault="00494A51" w:rsidP="007808F1">
            <w:pPr>
              <w:spacing w:after="0" w:line="240" w:lineRule="auto"/>
              <w:jc w:val="both"/>
            </w:pPr>
            <w:r>
              <w:rPr>
                <w:noProof/>
                <w:lang w:val="fr-FR" w:eastAsia="fr-FR"/>
              </w:rPr>
              <w:drawing>
                <wp:inline distT="0" distB="0" distL="0" distR="0" wp14:anchorId="5934B76A" wp14:editId="566D3985">
                  <wp:extent cx="5772150" cy="25908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72150" cy="2590800"/>
                          </a:xfrm>
                          <a:prstGeom prst="rect">
                            <a:avLst/>
                          </a:prstGeom>
                          <a:noFill/>
                          <a:ln>
                            <a:noFill/>
                          </a:ln>
                        </pic:spPr>
                      </pic:pic>
                    </a:graphicData>
                  </a:graphic>
                </wp:inline>
              </w:drawing>
            </w:r>
          </w:p>
        </w:tc>
      </w:tr>
      <w:tr w:rsidR="005D60AA" w14:paraId="11C3EC96" w14:textId="77777777" w:rsidTr="00C00918">
        <w:tc>
          <w:tcPr>
            <w:tcW w:w="10279" w:type="dxa"/>
          </w:tcPr>
          <w:p w14:paraId="736C0335" w14:textId="54C903CF" w:rsidR="005D60AA" w:rsidRDefault="005D60AA" w:rsidP="00F86331">
            <w:pPr>
              <w:spacing w:after="0" w:line="240" w:lineRule="auto"/>
              <w:ind w:firstLine="284"/>
              <w:jc w:val="both"/>
            </w:pPr>
            <w:r w:rsidRPr="00D86E1B">
              <w:rPr>
                <w:b/>
                <w:bCs/>
              </w:rPr>
              <w:t>Supplementary Figure 1.</w:t>
            </w:r>
            <w:r w:rsidR="00D114EB">
              <w:rPr>
                <w:b/>
                <w:bCs/>
              </w:rPr>
              <w:t xml:space="preserve"> </w:t>
            </w:r>
            <w:r w:rsidRPr="0096317C">
              <w:rPr>
                <w:i/>
                <w:iCs/>
              </w:rPr>
              <w:t>Gaze fixation data for 10 subjects during the second experiment. The leftward panel shows the cumulative gaze fixation heatmap for one exemplar subject during one session of the second experiment. The rightward panel gives the average median value (n = 10) of 95% cumulative gaze fixation and the associated 95% confidence interval. Each dot correspond</w:t>
            </w:r>
            <w:r>
              <w:rPr>
                <w:i/>
                <w:iCs/>
              </w:rPr>
              <w:t>s</w:t>
            </w:r>
            <w:r w:rsidRPr="0096317C">
              <w:rPr>
                <w:i/>
                <w:iCs/>
              </w:rPr>
              <w:t xml:space="preserve"> to an individual subject.</w:t>
            </w:r>
          </w:p>
        </w:tc>
      </w:tr>
    </w:tbl>
    <w:p w14:paraId="2457F25D" w14:textId="77777777" w:rsidR="005D60AA" w:rsidRDefault="005D60AA" w:rsidP="007808F1">
      <w:pPr>
        <w:pStyle w:val="Paragraphedeliste"/>
        <w:ind w:left="1080"/>
        <w:jc w:val="both"/>
        <w:rPr>
          <w:b/>
          <w:bCs/>
        </w:rPr>
      </w:pPr>
    </w:p>
    <w:tbl>
      <w:tblPr>
        <w:tblW w:w="0" w:type="auto"/>
        <w:tblInd w:w="-106" w:type="dxa"/>
        <w:tblLook w:val="00A0" w:firstRow="1" w:lastRow="0" w:firstColumn="1" w:lastColumn="0" w:noHBand="0" w:noVBand="0"/>
      </w:tblPr>
      <w:tblGrid>
        <w:gridCol w:w="350"/>
        <w:gridCol w:w="4855"/>
        <w:gridCol w:w="355"/>
        <w:gridCol w:w="4734"/>
      </w:tblGrid>
      <w:tr w:rsidR="00C00918" w14:paraId="5F6C609B" w14:textId="77777777" w:rsidTr="00C00918">
        <w:tc>
          <w:tcPr>
            <w:tcW w:w="350" w:type="dxa"/>
          </w:tcPr>
          <w:p w14:paraId="4B6FC673" w14:textId="77777777" w:rsidR="00C00918" w:rsidRDefault="00C00918" w:rsidP="00C00918">
            <w:pPr>
              <w:spacing w:after="0" w:line="240" w:lineRule="auto"/>
              <w:rPr>
                <w:b/>
                <w:bCs/>
                <w:noProof/>
              </w:rPr>
            </w:pPr>
            <w:r>
              <w:rPr>
                <w:b/>
                <w:bCs/>
                <w:noProof/>
              </w:rPr>
              <w:lastRenderedPageBreak/>
              <w:t xml:space="preserve">A </w:t>
            </w:r>
          </w:p>
          <w:p w14:paraId="265643F8" w14:textId="77777777" w:rsidR="00C00918" w:rsidRDefault="00C00918" w:rsidP="00C00918">
            <w:pPr>
              <w:spacing w:after="0" w:line="240" w:lineRule="auto"/>
              <w:rPr>
                <w:b/>
                <w:bCs/>
                <w:noProof/>
              </w:rPr>
            </w:pPr>
          </w:p>
        </w:tc>
        <w:tc>
          <w:tcPr>
            <w:tcW w:w="4855" w:type="dxa"/>
          </w:tcPr>
          <w:p w14:paraId="77D30B96" w14:textId="47E83D2C" w:rsidR="00C00918" w:rsidRDefault="00C00918" w:rsidP="00C00918">
            <w:pPr>
              <w:spacing w:after="0" w:line="240" w:lineRule="auto"/>
            </w:pPr>
            <w:r>
              <w:rPr>
                <w:b/>
                <w:bCs/>
                <w:noProof/>
                <w:lang w:val="fr-FR" w:eastAsia="fr-FR"/>
              </w:rPr>
              <w:drawing>
                <wp:inline distT="0" distB="0" distL="0" distR="0" wp14:anchorId="038CEE39" wp14:editId="37624DE5">
                  <wp:extent cx="2466975" cy="1850231"/>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6975" cy="1850231"/>
                          </a:xfrm>
                          <a:prstGeom prst="rect">
                            <a:avLst/>
                          </a:prstGeom>
                          <a:noFill/>
                          <a:ln>
                            <a:noFill/>
                          </a:ln>
                        </pic:spPr>
                      </pic:pic>
                    </a:graphicData>
                  </a:graphic>
                </wp:inline>
              </w:drawing>
            </w:r>
          </w:p>
        </w:tc>
        <w:tc>
          <w:tcPr>
            <w:tcW w:w="355" w:type="dxa"/>
          </w:tcPr>
          <w:p w14:paraId="28986F0E" w14:textId="2F7FD5D6" w:rsidR="00C00918" w:rsidRDefault="00C00918" w:rsidP="00C00918">
            <w:pPr>
              <w:spacing w:after="0" w:line="240" w:lineRule="auto"/>
              <w:rPr>
                <w:b/>
                <w:bCs/>
              </w:rPr>
            </w:pPr>
            <w:r>
              <w:rPr>
                <w:b/>
                <w:bCs/>
              </w:rPr>
              <w:t>B</w:t>
            </w:r>
          </w:p>
          <w:p w14:paraId="36549582" w14:textId="77777777" w:rsidR="00C00918" w:rsidRDefault="00C00918" w:rsidP="00C00918">
            <w:pPr>
              <w:spacing w:after="0" w:line="240" w:lineRule="auto"/>
              <w:rPr>
                <w:b/>
                <w:bCs/>
              </w:rPr>
            </w:pPr>
          </w:p>
        </w:tc>
        <w:tc>
          <w:tcPr>
            <w:tcW w:w="4734" w:type="dxa"/>
          </w:tcPr>
          <w:p w14:paraId="50C63858" w14:textId="7D9E4669" w:rsidR="00C00918" w:rsidRPr="00BA2A77" w:rsidRDefault="00C00918" w:rsidP="00C00918">
            <w:pPr>
              <w:spacing w:after="0" w:line="240" w:lineRule="auto"/>
              <w:rPr>
                <w:b/>
                <w:bCs/>
              </w:rPr>
            </w:pPr>
            <w:r>
              <w:rPr>
                <w:b/>
                <w:bCs/>
                <w:noProof/>
                <w:lang w:val="fr-FR" w:eastAsia="fr-FR"/>
              </w:rPr>
              <w:drawing>
                <wp:inline distT="0" distB="0" distL="0" distR="0" wp14:anchorId="602E66C3" wp14:editId="6F291ECE">
                  <wp:extent cx="2400300" cy="1800225"/>
                  <wp:effectExtent l="0" t="0" r="0" b="952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0300" cy="1800225"/>
                          </a:xfrm>
                          <a:prstGeom prst="rect">
                            <a:avLst/>
                          </a:prstGeom>
                          <a:noFill/>
                          <a:ln>
                            <a:noFill/>
                          </a:ln>
                        </pic:spPr>
                      </pic:pic>
                    </a:graphicData>
                  </a:graphic>
                </wp:inline>
              </w:drawing>
            </w:r>
          </w:p>
        </w:tc>
      </w:tr>
      <w:tr w:rsidR="00C00918" w14:paraId="4FD45736" w14:textId="77777777" w:rsidTr="00C00918">
        <w:trPr>
          <w:trHeight w:val="3188"/>
        </w:trPr>
        <w:tc>
          <w:tcPr>
            <w:tcW w:w="350" w:type="dxa"/>
          </w:tcPr>
          <w:p w14:paraId="26A41111" w14:textId="3B26CB1D" w:rsidR="00C00918" w:rsidRPr="00C00918" w:rsidRDefault="00C00918" w:rsidP="00C00918">
            <w:pPr>
              <w:spacing w:after="0" w:line="240" w:lineRule="auto"/>
              <w:rPr>
                <w:b/>
              </w:rPr>
            </w:pPr>
            <w:r>
              <w:rPr>
                <w:b/>
              </w:rPr>
              <w:t>C</w:t>
            </w:r>
          </w:p>
          <w:p w14:paraId="2D308952" w14:textId="77777777" w:rsidR="00C00918" w:rsidRPr="00C00918" w:rsidRDefault="00C00918" w:rsidP="00C00918">
            <w:pPr>
              <w:spacing w:after="0" w:line="240" w:lineRule="auto"/>
              <w:rPr>
                <w:b/>
              </w:rPr>
            </w:pPr>
          </w:p>
        </w:tc>
        <w:tc>
          <w:tcPr>
            <w:tcW w:w="4855" w:type="dxa"/>
          </w:tcPr>
          <w:p w14:paraId="662D8D26" w14:textId="36303EB6" w:rsidR="00C00918" w:rsidRPr="00E2356B" w:rsidRDefault="00C00918" w:rsidP="00C00918">
            <w:pPr>
              <w:spacing w:after="0" w:line="240" w:lineRule="auto"/>
              <w:rPr>
                <w:b/>
                <w:bCs/>
              </w:rPr>
            </w:pPr>
            <w:r>
              <w:rPr>
                <w:noProof/>
                <w:lang w:val="fr-FR" w:eastAsia="fr-FR"/>
              </w:rPr>
              <w:drawing>
                <wp:inline distT="0" distB="0" distL="0" distR="0" wp14:anchorId="7C110E64" wp14:editId="357C6CF1">
                  <wp:extent cx="2486025" cy="1864519"/>
                  <wp:effectExtent l="0" t="0" r="0" b="254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8100" cy="1866075"/>
                          </a:xfrm>
                          <a:prstGeom prst="rect">
                            <a:avLst/>
                          </a:prstGeom>
                          <a:noFill/>
                          <a:ln>
                            <a:noFill/>
                          </a:ln>
                        </pic:spPr>
                      </pic:pic>
                    </a:graphicData>
                  </a:graphic>
                </wp:inline>
              </w:drawing>
            </w:r>
          </w:p>
        </w:tc>
        <w:tc>
          <w:tcPr>
            <w:tcW w:w="355" w:type="dxa"/>
          </w:tcPr>
          <w:p w14:paraId="039A8C9C" w14:textId="068293EA" w:rsidR="00C00918" w:rsidRDefault="00C00918" w:rsidP="00C00918">
            <w:pPr>
              <w:spacing w:after="0" w:line="240" w:lineRule="auto"/>
              <w:rPr>
                <w:b/>
                <w:bCs/>
                <w:noProof/>
              </w:rPr>
            </w:pPr>
            <w:r>
              <w:rPr>
                <w:b/>
                <w:bCs/>
                <w:noProof/>
              </w:rPr>
              <w:t>D</w:t>
            </w:r>
          </w:p>
        </w:tc>
        <w:tc>
          <w:tcPr>
            <w:tcW w:w="4734" w:type="dxa"/>
          </w:tcPr>
          <w:p w14:paraId="427CFBCA" w14:textId="73076443" w:rsidR="00C00918" w:rsidRPr="00BA2A77" w:rsidRDefault="00C00918" w:rsidP="00C00918">
            <w:pPr>
              <w:spacing w:after="0" w:line="240" w:lineRule="auto"/>
              <w:rPr>
                <w:b/>
                <w:bCs/>
                <w:lang w:val="fr-FR"/>
              </w:rPr>
            </w:pPr>
            <w:r>
              <w:rPr>
                <w:b/>
                <w:bCs/>
                <w:noProof/>
                <w:lang w:val="fr-FR" w:eastAsia="fr-FR"/>
              </w:rPr>
              <w:drawing>
                <wp:inline distT="0" distB="0" distL="0" distR="0" wp14:anchorId="00F323F7" wp14:editId="56FE5895">
                  <wp:extent cx="2390775" cy="1787631"/>
                  <wp:effectExtent l="0" t="0" r="0" b="317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9823" cy="1794396"/>
                          </a:xfrm>
                          <a:prstGeom prst="rect">
                            <a:avLst/>
                          </a:prstGeom>
                          <a:noFill/>
                          <a:ln>
                            <a:noFill/>
                          </a:ln>
                        </pic:spPr>
                      </pic:pic>
                    </a:graphicData>
                  </a:graphic>
                </wp:inline>
              </w:drawing>
            </w:r>
          </w:p>
        </w:tc>
      </w:tr>
      <w:tr w:rsidR="00C00918" w14:paraId="4207989F" w14:textId="77777777" w:rsidTr="00C00918">
        <w:trPr>
          <w:trHeight w:val="3105"/>
        </w:trPr>
        <w:tc>
          <w:tcPr>
            <w:tcW w:w="350" w:type="dxa"/>
          </w:tcPr>
          <w:p w14:paraId="319A49A0" w14:textId="440275AF" w:rsidR="00C00918" w:rsidRDefault="00C00918" w:rsidP="00A73321">
            <w:pPr>
              <w:spacing w:after="0" w:line="240" w:lineRule="auto"/>
              <w:jc w:val="center"/>
              <w:rPr>
                <w:b/>
                <w:bCs/>
                <w:noProof/>
              </w:rPr>
            </w:pPr>
            <w:r>
              <w:rPr>
                <w:b/>
                <w:bCs/>
                <w:noProof/>
              </w:rPr>
              <w:t>E</w:t>
            </w:r>
          </w:p>
        </w:tc>
        <w:tc>
          <w:tcPr>
            <w:tcW w:w="4855" w:type="dxa"/>
          </w:tcPr>
          <w:p w14:paraId="6BCEAF81" w14:textId="3E91B0DE" w:rsidR="00C00918" w:rsidRPr="00375AB1" w:rsidRDefault="00C00918" w:rsidP="00C00918">
            <w:pPr>
              <w:spacing w:after="0" w:line="240" w:lineRule="auto"/>
              <w:rPr>
                <w:b/>
                <w:bCs/>
              </w:rPr>
            </w:pPr>
            <w:r>
              <w:rPr>
                <w:b/>
                <w:bCs/>
                <w:noProof/>
                <w:lang w:val="fr-FR" w:eastAsia="fr-FR"/>
              </w:rPr>
              <w:drawing>
                <wp:inline distT="0" distB="0" distL="0" distR="0" wp14:anchorId="386DCB8D" wp14:editId="5B1628DB">
                  <wp:extent cx="2390775" cy="1783829"/>
                  <wp:effectExtent l="0" t="0" r="0" b="698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94019" cy="1786249"/>
                          </a:xfrm>
                          <a:prstGeom prst="rect">
                            <a:avLst/>
                          </a:prstGeom>
                          <a:noFill/>
                          <a:ln>
                            <a:noFill/>
                          </a:ln>
                        </pic:spPr>
                      </pic:pic>
                    </a:graphicData>
                  </a:graphic>
                </wp:inline>
              </w:drawing>
            </w:r>
          </w:p>
        </w:tc>
        <w:tc>
          <w:tcPr>
            <w:tcW w:w="355" w:type="dxa"/>
          </w:tcPr>
          <w:p w14:paraId="30E5B57E" w14:textId="3B2E1C7B" w:rsidR="00C00918" w:rsidRDefault="00C00918" w:rsidP="00A73321">
            <w:pPr>
              <w:spacing w:after="0" w:line="240" w:lineRule="auto"/>
              <w:jc w:val="center"/>
              <w:rPr>
                <w:b/>
                <w:bCs/>
                <w:noProof/>
              </w:rPr>
            </w:pPr>
            <w:r>
              <w:rPr>
                <w:b/>
                <w:bCs/>
                <w:noProof/>
              </w:rPr>
              <w:t>F</w:t>
            </w:r>
          </w:p>
        </w:tc>
        <w:tc>
          <w:tcPr>
            <w:tcW w:w="4734" w:type="dxa"/>
          </w:tcPr>
          <w:p w14:paraId="0F260E84" w14:textId="6B1C7A6E" w:rsidR="00C00918" w:rsidRPr="00A73321" w:rsidRDefault="00C00918" w:rsidP="00C00918">
            <w:pPr>
              <w:spacing w:after="0" w:line="240" w:lineRule="auto"/>
              <w:rPr>
                <w:b/>
                <w:bCs/>
                <w:lang w:val="fr-FR"/>
              </w:rPr>
            </w:pPr>
            <w:r>
              <w:rPr>
                <w:b/>
                <w:bCs/>
                <w:noProof/>
                <w:lang w:val="fr-FR" w:eastAsia="fr-FR"/>
              </w:rPr>
              <w:drawing>
                <wp:inline distT="0" distB="0" distL="0" distR="0" wp14:anchorId="5256E99F" wp14:editId="24545044">
                  <wp:extent cx="2409825" cy="1805456"/>
                  <wp:effectExtent l="0" t="0" r="0" b="444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14749" cy="1809145"/>
                          </a:xfrm>
                          <a:prstGeom prst="rect">
                            <a:avLst/>
                          </a:prstGeom>
                          <a:noFill/>
                          <a:ln>
                            <a:noFill/>
                          </a:ln>
                        </pic:spPr>
                      </pic:pic>
                    </a:graphicData>
                  </a:graphic>
                </wp:inline>
              </w:drawing>
            </w:r>
          </w:p>
        </w:tc>
      </w:tr>
      <w:tr w:rsidR="00C00918" w14:paraId="2E78F0A2" w14:textId="77777777" w:rsidTr="00ED70A6">
        <w:trPr>
          <w:trHeight w:val="4319"/>
        </w:trPr>
        <w:tc>
          <w:tcPr>
            <w:tcW w:w="10294" w:type="dxa"/>
            <w:gridSpan w:val="4"/>
          </w:tcPr>
          <w:p w14:paraId="3876EE38" w14:textId="77705F76" w:rsidR="00C00918" w:rsidRDefault="00C00918" w:rsidP="00375AB1">
            <w:pPr>
              <w:spacing w:after="0" w:line="240" w:lineRule="auto"/>
              <w:jc w:val="both"/>
            </w:pPr>
            <w:r>
              <w:rPr>
                <w:b/>
                <w:bCs/>
              </w:rPr>
              <w:t>Supplementary Figure 2</w:t>
            </w:r>
            <w:r w:rsidRPr="00D86E1B">
              <w:rPr>
                <w:b/>
                <w:bCs/>
              </w:rPr>
              <w:t>.</w:t>
            </w:r>
            <w:r w:rsidRPr="00A731E1">
              <w:t> </w:t>
            </w:r>
          </w:p>
          <w:p w14:paraId="459DA7BF" w14:textId="6C727DA1" w:rsidR="00C00918" w:rsidRDefault="00C00918" w:rsidP="00375AB1">
            <w:pPr>
              <w:spacing w:after="0" w:line="240" w:lineRule="auto"/>
              <w:jc w:val="both"/>
              <w:rPr>
                <w:i/>
                <w:iCs/>
              </w:rPr>
            </w:pPr>
            <w:r>
              <w:t xml:space="preserve">ERP </w:t>
            </w:r>
            <w:r>
              <w:rPr>
                <w:i/>
                <w:iCs/>
              </w:rPr>
              <w:t>a</w:t>
            </w:r>
            <w:r w:rsidRPr="007808F1">
              <w:rPr>
                <w:i/>
                <w:iCs/>
              </w:rPr>
              <w:t>nalys</w:t>
            </w:r>
            <w:r>
              <w:rPr>
                <w:i/>
                <w:iCs/>
              </w:rPr>
              <w:t>e</w:t>
            </w:r>
            <w:r w:rsidRPr="007808F1">
              <w:rPr>
                <w:i/>
                <w:iCs/>
              </w:rPr>
              <w:t xml:space="preserve">s for </w:t>
            </w:r>
            <w:r>
              <w:rPr>
                <w:i/>
                <w:iCs/>
              </w:rPr>
              <w:t>single representative</w:t>
            </w:r>
            <w:r w:rsidRPr="007808F1">
              <w:rPr>
                <w:i/>
                <w:iCs/>
              </w:rPr>
              <w:t xml:space="preserve"> electrodes </w:t>
            </w:r>
            <w:r>
              <w:rPr>
                <w:i/>
                <w:iCs/>
              </w:rPr>
              <w:t xml:space="preserve"> (A, B, C) and clusters of electrodes (D, E, F) </w:t>
            </w:r>
            <w:r w:rsidRPr="007808F1">
              <w:rPr>
                <w:i/>
                <w:iCs/>
              </w:rPr>
              <w:t xml:space="preserve">selected </w:t>
            </w:r>
            <w:r>
              <w:rPr>
                <w:i/>
                <w:iCs/>
              </w:rPr>
              <w:t>from</w:t>
            </w:r>
            <w:r w:rsidRPr="007808F1">
              <w:rPr>
                <w:i/>
                <w:iCs/>
              </w:rPr>
              <w:t xml:space="preserve"> their </w:t>
            </w:r>
            <w:r w:rsidRPr="00A73321">
              <w:rPr>
                <w:i/>
                <w:iCs/>
              </w:rPr>
              <w:t>maximum amplitude during component-specific time-windows (</w:t>
            </w:r>
            <w:r w:rsidRPr="00F86331">
              <w:rPr>
                <w:b/>
                <w:i/>
                <w:iCs/>
              </w:rPr>
              <w:t>vertical black line</w:t>
            </w:r>
            <w:r>
              <w:rPr>
                <w:b/>
                <w:i/>
                <w:iCs/>
              </w:rPr>
              <w:t>s</w:t>
            </w:r>
            <w:r w:rsidRPr="00A73321">
              <w:rPr>
                <w:i/>
                <w:iCs/>
              </w:rPr>
              <w:t xml:space="preserve"> </w:t>
            </w:r>
            <w:r>
              <w:rPr>
                <w:i/>
                <w:iCs/>
              </w:rPr>
              <w:t xml:space="preserve">provide the </w:t>
            </w:r>
            <w:r w:rsidRPr="00A73321">
              <w:rPr>
                <w:i/>
                <w:iCs/>
              </w:rPr>
              <w:t>peak</w:t>
            </w:r>
            <w:r>
              <w:rPr>
                <w:i/>
                <w:iCs/>
              </w:rPr>
              <w:t>s</w:t>
            </w:r>
            <w:r w:rsidRPr="00A73321">
              <w:rPr>
                <w:i/>
                <w:iCs/>
              </w:rPr>
              <w:t xml:space="preserve"> of the</w:t>
            </w:r>
            <w:r>
              <w:rPr>
                <w:i/>
                <w:iCs/>
              </w:rPr>
              <w:t>ir associated component</w:t>
            </w:r>
            <w:r w:rsidRPr="00A73321">
              <w:rPr>
                <w:i/>
                <w:iCs/>
              </w:rPr>
              <w:t>):</w:t>
            </w:r>
          </w:p>
          <w:p w14:paraId="4C391637" w14:textId="77777777" w:rsidR="00C00918" w:rsidRDefault="00C00918" w:rsidP="00375AB1">
            <w:pPr>
              <w:spacing w:after="0" w:line="240" w:lineRule="auto"/>
              <w:jc w:val="both"/>
              <w:rPr>
                <w:i/>
                <w:iCs/>
              </w:rPr>
            </w:pPr>
          </w:p>
          <w:p w14:paraId="45160EED" w14:textId="77777777" w:rsidR="00C00918" w:rsidRDefault="00C00918" w:rsidP="00B218D9">
            <w:pPr>
              <w:spacing w:after="0" w:line="240" w:lineRule="auto"/>
              <w:jc w:val="both"/>
              <w:rPr>
                <w:b/>
                <w:bCs/>
                <w:i/>
                <w:iCs/>
              </w:rPr>
            </w:pPr>
            <w:r w:rsidRPr="007808F1">
              <w:rPr>
                <w:b/>
                <w:bCs/>
                <w:i/>
                <w:iCs/>
              </w:rPr>
              <w:t>A:</w:t>
            </w:r>
            <w:r w:rsidRPr="007808F1">
              <w:rPr>
                <w:i/>
                <w:iCs/>
              </w:rPr>
              <w:t xml:space="preserve"> Mean wave: peak for </w:t>
            </w:r>
            <w:r>
              <w:rPr>
                <w:i/>
                <w:iCs/>
              </w:rPr>
              <w:t xml:space="preserve">the </w:t>
            </w:r>
            <w:r w:rsidRPr="007808F1">
              <w:rPr>
                <w:i/>
                <w:iCs/>
              </w:rPr>
              <w:t>N1 bilateral component (PO8);</w:t>
            </w:r>
            <w:r>
              <w:rPr>
                <w:b/>
                <w:bCs/>
                <w:i/>
                <w:iCs/>
              </w:rPr>
              <w:t xml:space="preserve"> </w:t>
            </w:r>
          </w:p>
          <w:p w14:paraId="7A4776DB" w14:textId="77777777" w:rsidR="00C00918" w:rsidRPr="007808F1" w:rsidRDefault="00C00918" w:rsidP="00B218D9">
            <w:pPr>
              <w:spacing w:after="0" w:line="240" w:lineRule="auto"/>
              <w:jc w:val="both"/>
              <w:rPr>
                <w:i/>
                <w:iCs/>
              </w:rPr>
            </w:pPr>
            <w:r>
              <w:rPr>
                <w:b/>
                <w:bCs/>
                <w:i/>
                <w:iCs/>
              </w:rPr>
              <w:t>B</w:t>
            </w:r>
            <w:r w:rsidRPr="007808F1">
              <w:rPr>
                <w:b/>
                <w:bCs/>
                <w:i/>
                <w:iCs/>
              </w:rPr>
              <w:t>:</w:t>
            </w:r>
            <w:r w:rsidRPr="007808F1">
              <w:rPr>
                <w:i/>
                <w:iCs/>
              </w:rPr>
              <w:t xml:space="preserve"> Mean wave: N1 bilateral significant effect (occipito-bilateral cluster of electrodes);</w:t>
            </w:r>
          </w:p>
          <w:p w14:paraId="22A7AAD1" w14:textId="77777777" w:rsidR="00C00918" w:rsidRDefault="00C00918" w:rsidP="00B218D9">
            <w:pPr>
              <w:spacing w:after="0" w:line="240" w:lineRule="auto"/>
              <w:jc w:val="both"/>
              <w:rPr>
                <w:i/>
                <w:iCs/>
              </w:rPr>
            </w:pPr>
            <w:r>
              <w:rPr>
                <w:b/>
                <w:bCs/>
                <w:i/>
                <w:iCs/>
              </w:rPr>
              <w:t>C</w:t>
            </w:r>
            <w:r w:rsidRPr="007808F1">
              <w:rPr>
                <w:b/>
                <w:bCs/>
                <w:i/>
                <w:iCs/>
              </w:rPr>
              <w:t>:</w:t>
            </w:r>
            <w:r w:rsidRPr="007808F1">
              <w:rPr>
                <w:i/>
                <w:iCs/>
              </w:rPr>
              <w:t xml:space="preserve"> Left-right difference wave: peak for </w:t>
            </w:r>
            <w:r>
              <w:rPr>
                <w:i/>
                <w:iCs/>
              </w:rPr>
              <w:t xml:space="preserve">the </w:t>
            </w:r>
            <w:r w:rsidRPr="007808F1">
              <w:rPr>
                <w:i/>
                <w:iCs/>
              </w:rPr>
              <w:t>P1 contralateral component (PO8);</w:t>
            </w:r>
          </w:p>
          <w:p w14:paraId="1550E620" w14:textId="77777777" w:rsidR="00C00918" w:rsidRPr="007808F1" w:rsidRDefault="00C00918" w:rsidP="00B218D9">
            <w:pPr>
              <w:spacing w:after="0" w:line="240" w:lineRule="auto"/>
              <w:jc w:val="both"/>
              <w:rPr>
                <w:b/>
                <w:bCs/>
                <w:i/>
                <w:iCs/>
              </w:rPr>
            </w:pPr>
            <w:r>
              <w:rPr>
                <w:b/>
                <w:bCs/>
                <w:i/>
                <w:iCs/>
              </w:rPr>
              <w:t>D</w:t>
            </w:r>
            <w:r w:rsidRPr="007808F1">
              <w:rPr>
                <w:b/>
                <w:bCs/>
                <w:i/>
                <w:iCs/>
              </w:rPr>
              <w:t>:</w:t>
            </w:r>
            <w:r w:rsidRPr="007808F1">
              <w:rPr>
                <w:i/>
                <w:iCs/>
              </w:rPr>
              <w:t xml:space="preserve"> Left-right difference wave: P1 contralateral significant effect (occipito-bilateral cluster of electrodes);</w:t>
            </w:r>
          </w:p>
          <w:p w14:paraId="5B991711" w14:textId="77777777" w:rsidR="00C00918" w:rsidRDefault="00C00918" w:rsidP="00375AB1">
            <w:pPr>
              <w:spacing w:after="0" w:line="240" w:lineRule="auto"/>
              <w:jc w:val="both"/>
              <w:rPr>
                <w:i/>
                <w:iCs/>
              </w:rPr>
            </w:pPr>
            <w:r>
              <w:rPr>
                <w:b/>
                <w:bCs/>
                <w:i/>
                <w:iCs/>
              </w:rPr>
              <w:t>E</w:t>
            </w:r>
            <w:r w:rsidRPr="007808F1">
              <w:rPr>
                <w:b/>
                <w:bCs/>
                <w:i/>
                <w:iCs/>
              </w:rPr>
              <w:t>:</w:t>
            </w:r>
            <w:r w:rsidRPr="007808F1">
              <w:rPr>
                <w:i/>
                <w:iCs/>
              </w:rPr>
              <w:t xml:space="preserve"> Top-bottom difference wave: peak for </w:t>
            </w:r>
            <w:r>
              <w:rPr>
                <w:i/>
                <w:iCs/>
              </w:rPr>
              <w:t xml:space="preserve">the </w:t>
            </w:r>
            <w:r w:rsidRPr="007808F1">
              <w:rPr>
                <w:i/>
                <w:iCs/>
              </w:rPr>
              <w:t>C2 component (POz).</w:t>
            </w:r>
          </w:p>
          <w:p w14:paraId="1B16BEEB" w14:textId="77777777" w:rsidR="00C00918" w:rsidRDefault="00C00918" w:rsidP="00A73321">
            <w:pPr>
              <w:spacing w:after="0" w:line="240" w:lineRule="auto"/>
              <w:jc w:val="both"/>
              <w:rPr>
                <w:i/>
                <w:iCs/>
              </w:rPr>
            </w:pPr>
            <w:r>
              <w:rPr>
                <w:b/>
                <w:bCs/>
                <w:i/>
                <w:iCs/>
              </w:rPr>
              <w:t>F</w:t>
            </w:r>
            <w:r w:rsidRPr="007808F1">
              <w:rPr>
                <w:b/>
                <w:bCs/>
                <w:i/>
                <w:iCs/>
              </w:rPr>
              <w:t>:</w:t>
            </w:r>
            <w:r w:rsidRPr="007808F1">
              <w:rPr>
                <w:i/>
                <w:iCs/>
              </w:rPr>
              <w:t xml:space="preserve"> Top-bottom difference wave: C2 significant SA effect (occipito-central cluster of electrodes).</w:t>
            </w:r>
          </w:p>
          <w:p w14:paraId="52A70BBF" w14:textId="77777777" w:rsidR="00C00918" w:rsidRDefault="00C00918" w:rsidP="00375AB1">
            <w:pPr>
              <w:spacing w:after="0" w:line="240" w:lineRule="auto"/>
              <w:jc w:val="both"/>
              <w:rPr>
                <w:i/>
                <w:iCs/>
              </w:rPr>
            </w:pPr>
          </w:p>
          <w:p w14:paraId="0E5D5B01" w14:textId="547B219B" w:rsidR="00C00918" w:rsidRDefault="00C00918" w:rsidP="00C00918">
            <w:pPr>
              <w:spacing w:after="0" w:line="240" w:lineRule="auto"/>
              <w:jc w:val="both"/>
              <w:rPr>
                <w:b/>
                <w:bCs/>
              </w:rPr>
            </w:pPr>
            <w:r w:rsidRPr="007808F1">
              <w:rPr>
                <w:b/>
                <w:bCs/>
                <w:i/>
                <w:iCs/>
              </w:rPr>
              <w:t>Top:</w:t>
            </w:r>
            <w:r w:rsidRPr="007808F1">
              <w:rPr>
                <w:i/>
                <w:iCs/>
              </w:rPr>
              <w:t xml:space="preserve"> grand average for </w:t>
            </w:r>
            <w:r>
              <w:rPr>
                <w:i/>
                <w:iCs/>
              </w:rPr>
              <w:t>each subject (</w:t>
            </w:r>
            <w:r w:rsidRPr="007808F1">
              <w:rPr>
                <w:i/>
                <w:iCs/>
              </w:rPr>
              <w:t>n=29</w:t>
            </w:r>
            <w:r>
              <w:rPr>
                <w:i/>
                <w:iCs/>
              </w:rPr>
              <w:t xml:space="preserve">). Red and green time-courses respectively provide ERPs in response to straight-ahead and eccentric visual stimulations. </w:t>
            </w:r>
            <w:r>
              <w:rPr>
                <w:b/>
                <w:bCs/>
                <w:i/>
                <w:iCs/>
              </w:rPr>
              <w:t>M</w:t>
            </w:r>
            <w:r w:rsidRPr="007808F1">
              <w:rPr>
                <w:b/>
                <w:bCs/>
                <w:i/>
                <w:iCs/>
              </w:rPr>
              <w:t>iddle:</w:t>
            </w:r>
            <w:r>
              <w:rPr>
                <w:b/>
                <w:bCs/>
                <w:i/>
                <w:iCs/>
              </w:rPr>
              <w:t xml:space="preserve"> </w:t>
            </w:r>
            <w:r>
              <w:rPr>
                <w:i/>
                <w:iCs/>
              </w:rPr>
              <w:t>95% bootstrap c</w:t>
            </w:r>
            <w:r w:rsidRPr="007808F1">
              <w:rPr>
                <w:i/>
                <w:iCs/>
              </w:rPr>
              <w:t>onfidence intervals</w:t>
            </w:r>
            <w:r>
              <w:rPr>
                <w:i/>
                <w:iCs/>
              </w:rPr>
              <w:t xml:space="preserve"> corresponding to the average time-courses across conditions. </w:t>
            </w:r>
            <w:r>
              <w:rPr>
                <w:b/>
                <w:bCs/>
                <w:i/>
                <w:iCs/>
              </w:rPr>
              <w:t xml:space="preserve">Bottom: </w:t>
            </w:r>
            <w:r w:rsidRPr="007808F1">
              <w:rPr>
                <w:i/>
                <w:iCs/>
              </w:rPr>
              <w:t xml:space="preserve">Confidence intervals for </w:t>
            </w:r>
            <w:r>
              <w:rPr>
                <w:i/>
                <w:iCs/>
              </w:rPr>
              <w:t xml:space="preserve">the </w:t>
            </w:r>
            <w:r w:rsidRPr="007808F1">
              <w:rPr>
                <w:i/>
                <w:iCs/>
              </w:rPr>
              <w:t xml:space="preserve">difference between </w:t>
            </w:r>
            <w:r>
              <w:rPr>
                <w:i/>
                <w:iCs/>
              </w:rPr>
              <w:t>straight-ahead versus</w:t>
            </w:r>
            <w:r w:rsidRPr="007808F1">
              <w:rPr>
                <w:i/>
                <w:iCs/>
              </w:rPr>
              <w:t xml:space="preserve"> eccentric ERPs.</w:t>
            </w:r>
          </w:p>
        </w:tc>
      </w:tr>
    </w:tbl>
    <w:p w14:paraId="3C7AE590" w14:textId="77777777" w:rsidR="005708AC" w:rsidRDefault="005708AC" w:rsidP="005708AC">
      <w:pPr>
        <w:pStyle w:val="Paragraphedeliste"/>
        <w:jc w:val="both"/>
        <w:rPr>
          <w:b/>
          <w:bCs/>
          <w:sz w:val="28"/>
          <w:szCs w:val="28"/>
        </w:rPr>
      </w:pPr>
    </w:p>
    <w:p w14:paraId="21DCB65B" w14:textId="65E99081" w:rsidR="005708AC" w:rsidRPr="005708AC" w:rsidRDefault="005708AC" w:rsidP="005708AC">
      <w:pPr>
        <w:pStyle w:val="Paragraphedeliste"/>
        <w:numPr>
          <w:ilvl w:val="0"/>
          <w:numId w:val="1"/>
        </w:numPr>
        <w:jc w:val="both"/>
        <w:rPr>
          <w:b/>
          <w:bCs/>
          <w:sz w:val="28"/>
          <w:szCs w:val="28"/>
        </w:rPr>
      </w:pPr>
      <w:r w:rsidRPr="005708AC">
        <w:rPr>
          <w:b/>
          <w:bCs/>
          <w:sz w:val="28"/>
          <w:szCs w:val="28"/>
        </w:rPr>
        <w:t xml:space="preserve">Analysis of evoked potentials on single electrodes and electrodes’ clusters </w:t>
      </w:r>
    </w:p>
    <w:p w14:paraId="2B4C8698" w14:textId="77777777" w:rsidR="005708AC" w:rsidRDefault="005708AC" w:rsidP="005708AC">
      <w:pPr>
        <w:spacing w:after="0" w:line="240" w:lineRule="auto"/>
        <w:ind w:firstLine="284"/>
        <w:jc w:val="both"/>
      </w:pPr>
    </w:p>
    <w:p w14:paraId="31D43E46" w14:textId="77777777" w:rsidR="005708AC" w:rsidRDefault="005708AC" w:rsidP="005708AC">
      <w:pPr>
        <w:spacing w:after="0" w:line="240" w:lineRule="auto"/>
        <w:ind w:firstLine="284"/>
        <w:jc w:val="both"/>
      </w:pPr>
      <w:r>
        <w:t>To complete the analyses described in the main manuscript, we also computed the event related potentials (ERPs) on single electrodes (</w:t>
      </w:r>
      <w:r w:rsidRPr="00A92838">
        <w:rPr>
          <w:b/>
          <w:bCs/>
        </w:rPr>
        <w:t xml:space="preserve">Supplementary </w:t>
      </w:r>
      <w:r w:rsidRPr="006469CF">
        <w:rPr>
          <w:b/>
          <w:bCs/>
        </w:rPr>
        <w:t xml:space="preserve">Figure </w:t>
      </w:r>
      <w:r>
        <w:rPr>
          <w:b/>
          <w:bCs/>
        </w:rPr>
        <w:t>2, A, C, E</w:t>
      </w:r>
      <w:r>
        <w:t>) and electrode clusters (</w:t>
      </w:r>
      <w:r w:rsidRPr="00A92838">
        <w:rPr>
          <w:b/>
          <w:bCs/>
        </w:rPr>
        <w:t>Supplementar</w:t>
      </w:r>
      <w:r>
        <w:rPr>
          <w:b/>
          <w:bCs/>
        </w:rPr>
        <w:t xml:space="preserve">y </w:t>
      </w:r>
      <w:r w:rsidRPr="006469CF">
        <w:rPr>
          <w:b/>
          <w:bCs/>
        </w:rPr>
        <w:t xml:space="preserve">Figure </w:t>
      </w:r>
      <w:r>
        <w:rPr>
          <w:b/>
          <w:bCs/>
        </w:rPr>
        <w:t>2, B, D, F</w:t>
      </w:r>
      <w:r>
        <w:t>). This approach globally confirms the results described in the main manuscript, as difference in amplitudes can be observed between the EEG responses to straight-ahead versus eccentric stimulations. These differences are nonetheless not as robust (see the confidence intervals on panels C) as those obtained with the GFP and/or peak analyses for which effects were very significant across subjects.</w:t>
      </w:r>
    </w:p>
    <w:p w14:paraId="51C58719" w14:textId="77777777" w:rsidR="005708AC" w:rsidRDefault="005708AC" w:rsidP="005708AC">
      <w:pPr>
        <w:pStyle w:val="Paragraphedeliste"/>
        <w:jc w:val="both"/>
        <w:rPr>
          <w:b/>
          <w:bCs/>
          <w:sz w:val="28"/>
          <w:szCs w:val="28"/>
        </w:rPr>
      </w:pPr>
    </w:p>
    <w:p w14:paraId="41A18547" w14:textId="513DEA37" w:rsidR="00777C38" w:rsidRPr="00777C38" w:rsidRDefault="00777C38" w:rsidP="005708AC">
      <w:pPr>
        <w:pStyle w:val="Paragraphedeliste"/>
        <w:numPr>
          <w:ilvl w:val="0"/>
          <w:numId w:val="1"/>
        </w:numPr>
        <w:jc w:val="both"/>
        <w:rPr>
          <w:b/>
          <w:bCs/>
          <w:sz w:val="28"/>
          <w:szCs w:val="28"/>
        </w:rPr>
      </w:pPr>
      <w:r w:rsidRPr="00777C38">
        <w:rPr>
          <w:b/>
          <w:bCs/>
          <w:sz w:val="28"/>
          <w:szCs w:val="28"/>
        </w:rPr>
        <w:t>Analysis of pre-stimulus preparatory activity</w:t>
      </w:r>
    </w:p>
    <w:p w14:paraId="6C82CBEF" w14:textId="376286F3" w:rsidR="00777C38" w:rsidRPr="00E3177E" w:rsidRDefault="00777C38" w:rsidP="00777C38">
      <w:pPr>
        <w:pStyle w:val="Paragraphedeliste"/>
        <w:ind w:left="0"/>
        <w:jc w:val="both"/>
      </w:pPr>
      <w:r w:rsidRPr="003724A8">
        <w:t xml:space="preserve">In order to characterize gaze-dependent pre-stimulus processing in the time-domain, we followed the procedure described in </w:t>
      </w:r>
      <w:r>
        <w:fldChar w:fldCharType="begin"/>
      </w:r>
      <w:r>
        <w:instrText xml:space="preserve"> ADDIN EN.CITE &lt;EndNote&gt;&lt;Cite&gt;&lt;Author&gt;Di Russo&lt;/Author&gt;&lt;Year&gt;2019&lt;/Year&gt;&lt;RecNum&gt;1863&lt;/RecNum&gt;&lt;record&gt;&lt;rec-number&gt;1863&lt;/rec-number&gt;&lt;foreign-keys&gt;&lt;key app="EN" db-id="sp5tvsa2pszf2lef9zm5w2vszxdtdpx9zvat"&gt;1863&lt;/key&gt;&lt;/foreign-keys&gt;&lt;ref-type name="Journal Article"&gt;17&lt;/ref-type&gt;&lt;contributors&gt;&lt;authors&gt;&lt;author&gt;Di Russo, F.&lt;/author&gt;&lt;author&gt;Berchicci, M.&lt;/author&gt;&lt;author&gt;Bianco, V.&lt;/author&gt;&lt;author&gt;Perri, R.L.&lt;/author&gt;&lt;author&gt;Pitzalis, S.&lt;/author&gt;&lt;author&gt;Quinzi, F.&lt;/author&gt;&lt;author&gt;Spinelli,D.&lt;/author&gt;&lt;/authors&gt;&lt;/contributors&gt;&lt;auth-address&gt;Dept. of Movement, Human and Health Sciences, University of Rome &amp;quot;Foro Italico&amp;quot;, Rome, Italy. Electronic address: francesco.dirusso@uniroma4.it.&amp;#xD;Dept. of Movement, Human and Health Sciences, University of Rome &amp;quot;Foro Italico&amp;quot;, Rome, Italy.&amp;#xD;Santa Lucia Foundation (IRCCS Fondazione Santa Lucia), Rome, Italy.&amp;#xD;Dept. of Movement, Human and Health Sciences, University of Rome &amp;quot;Foro Italico&amp;quot;, Rome, Italy; University of Rome Niccolo Cusano, Italy.&amp;#xD;Dept. of Movement, Human and Health Sciences, University of Rome &amp;quot;Foro Italico&amp;quot;, Rome, Italy; Santa Lucia Foundation (IRCCS Fondazione Santa Lucia), Rome, Italy.&lt;/auth-address&gt;&lt;titles&gt;&lt;title&gt;Normative event-related potentials from sensory and cognitive tasks reveal occipital and frontal activities prior and following visual events&lt;/title&gt;&lt;secondary-title&gt;Neuroimage&lt;/secondary-title&gt;&lt;/titles&gt;&lt;periodical&gt;&lt;full-title&gt;Neuroimage&lt;/full-title&gt;&lt;/periodical&gt;&lt;pages&gt;173-187&lt;/pages&gt;&lt;volume&gt;196&lt;/volume&gt;&lt;edition&gt;2019/04/15&lt;/edition&gt;&lt;dates&gt;&lt;year&gt;2019&lt;/year&gt;&lt;pub-dates&gt;&lt;date&gt;Aug 1&lt;/date&gt;&lt;/pub-dates&gt;&lt;/dates&gt;&lt;isbn&gt;1095-9572 (Electronic)&amp;#xD;1053-8119 (Linking)&lt;/isbn&gt;&lt;accession-num&gt;30981857&lt;/accession-num&gt;&lt;urls&gt;&lt;/urls&gt;&lt;electronic-resource-num&gt;S1053-8119(19)30319-2 [pii]&amp;#xD;10.1016/j.neuroimage.2019.04.033 [doi]&lt;/electronic-resource-num&gt;&lt;language&gt;eng&lt;/language&gt;&lt;/record&gt;&lt;/Cite&gt;&lt;/EndNote&gt;</w:instrText>
      </w:r>
      <w:r>
        <w:fldChar w:fldCharType="separate"/>
      </w:r>
      <w:r w:rsidRPr="00E3177E">
        <w:t>(Di Russo et al., 2019)</w:t>
      </w:r>
      <w:r>
        <w:fldChar w:fldCharType="end"/>
      </w:r>
      <w:r w:rsidRPr="00E3177E">
        <w:t xml:space="preserve">. We performed an analysis of the EEG recordings during the 600 ms </w:t>
      </w:r>
      <w:r w:rsidRPr="005E6FD4">
        <w:t xml:space="preserve">directly preceding stimulus onset. This analysis only included trials after an inter-stimulus interval </w:t>
      </w:r>
      <w:r w:rsidRPr="00AA54F6">
        <w:t xml:space="preserve">(ISI) </w:t>
      </w:r>
      <w:r w:rsidRPr="005077FE">
        <w:t>com</w:t>
      </w:r>
      <w:r w:rsidRPr="003724A8">
        <w:t>prised between 1600 and 2200 ms.</w:t>
      </w:r>
      <w:r>
        <w:t xml:space="preserve"> </w:t>
      </w:r>
      <w:r w:rsidRPr="003724A8">
        <w:t>This time window was selected to avoid a possible impact of motor responses from the previous trials in the case of the shortest ISIs (1000 ms). To improve the quality of the analyzed signal, we also filtered</w:t>
      </w:r>
      <w:r>
        <w:t xml:space="preserve"> </w:t>
      </w:r>
      <w:r w:rsidRPr="003724A8">
        <w:t xml:space="preserve">out </w:t>
      </w:r>
      <w:r>
        <w:t xml:space="preserve">the 40% noisiest trials determined from </w:t>
      </w:r>
      <w:r w:rsidRPr="003724A8">
        <w:t>the highest peak-to-peak amplitudes across electrodes. Following this, we analyzed a gaze-dependent difference in voltage drift between the first and the last 100 ms of the 600 ms pre-stimulus period</w:t>
      </w:r>
      <w:r>
        <w:t>. This was done</w:t>
      </w:r>
      <w:r w:rsidRPr="003724A8">
        <w:t xml:space="preserve"> separately for leftward and rightward fixations. We then computed the difference between the drifts corresponding to rightward versus leftward gaze fixation. This contrast provides the difference between the preparatory activations corresponding to straight-ahead versus eccentric visual stimulations. Across our two experiments, we found significant and consistent effects in frontal electrodes. During rightward gaze, drifts were relatively more negative in leftward frontal electrodes (see </w:t>
      </w:r>
      <w:r w:rsidRPr="003724A8">
        <w:rPr>
          <w:b/>
          <w:bCs/>
        </w:rPr>
        <w:t>Supplementary figure 2</w:t>
      </w:r>
      <w:r w:rsidRPr="003724A8">
        <w:t xml:space="preserve">) which correspond to the hemisphere contralateral to eccentric stimulations. It also corresponds to the hemisphere where under similar conditions, a significant increase of alpha activity is observed during the 600ms before </w:t>
      </w:r>
      <w:r>
        <w:t xml:space="preserve">stimulus onset </w:t>
      </w:r>
      <w:r w:rsidRPr="003724A8">
        <w:t>(</w:t>
      </w:r>
      <w:r w:rsidRPr="003724A8">
        <w:rPr>
          <w:b/>
          <w:bCs/>
        </w:rPr>
        <w:t>Figure 7</w:t>
      </w:r>
      <w:r>
        <w:rPr>
          <w:b/>
          <w:bCs/>
        </w:rPr>
        <w:t xml:space="preserve"> in the paper</w:t>
      </w:r>
      <w:r w:rsidRPr="003724A8">
        <w:t xml:space="preserve">). The opposite effect was </w:t>
      </w:r>
      <w:r w:rsidR="005B307B">
        <w:t xml:space="preserve">found </w:t>
      </w:r>
      <w:r w:rsidRPr="003724A8">
        <w:t xml:space="preserve">for </w:t>
      </w:r>
      <w:r w:rsidR="005B307B">
        <w:t xml:space="preserve">the </w:t>
      </w:r>
      <w:bookmarkStart w:id="0" w:name="_GoBack"/>
      <w:bookmarkEnd w:id="0"/>
      <w:r w:rsidRPr="003724A8">
        <w:t>leftward gaze.</w:t>
      </w:r>
    </w:p>
    <w:p w14:paraId="70D6732D" w14:textId="4ABDD708" w:rsidR="00777C38" w:rsidRDefault="00777C38" w:rsidP="00777C38">
      <w:pPr>
        <w:autoSpaceDE w:val="0"/>
        <w:autoSpaceDN w:val="0"/>
        <w:adjustRightInd w:val="0"/>
        <w:spacing w:after="0" w:line="240" w:lineRule="auto"/>
        <w:jc w:val="both"/>
        <w:rPr>
          <w:b/>
          <w:bCs/>
        </w:rPr>
      </w:pPr>
      <w:r>
        <w:rPr>
          <w:noProof/>
          <w:lang w:val="fr-FR" w:eastAsia="fr-FR"/>
        </w:rPr>
        <w:lastRenderedPageBreak/>
        <w:drawing>
          <wp:inline distT="0" distB="0" distL="0" distR="0" wp14:anchorId="1B739967" wp14:editId="3CD0BA84">
            <wp:extent cx="5943600" cy="3324225"/>
            <wp:effectExtent l="0" t="0" r="0"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324225"/>
                    </a:xfrm>
                    <a:prstGeom prst="rect">
                      <a:avLst/>
                    </a:prstGeom>
                    <a:noFill/>
                    <a:ln>
                      <a:noFill/>
                    </a:ln>
                  </pic:spPr>
                </pic:pic>
              </a:graphicData>
            </a:graphic>
          </wp:inline>
        </w:drawing>
      </w:r>
      <w:r w:rsidR="00377B13">
        <w:rPr>
          <w:b/>
          <w:bCs/>
        </w:rPr>
        <w:t>Supplementary Figure 3</w:t>
      </w:r>
      <w:r w:rsidRPr="003724A8">
        <w:rPr>
          <w:b/>
          <w:bCs/>
        </w:rPr>
        <w:t xml:space="preserve">. </w:t>
      </w:r>
      <w:r w:rsidRPr="003724A8">
        <w:rPr>
          <w:rFonts w:eastAsia="MS Mincho"/>
          <w:i/>
          <w:iCs/>
          <w:lang w:eastAsia="ja-JP"/>
        </w:rPr>
        <w:t>Effects of gaze direction (rightward versus leftward gaze) on the voltage drift</w:t>
      </w:r>
      <w:r>
        <w:rPr>
          <w:rFonts w:eastAsia="MS Mincho"/>
          <w:i/>
          <w:iCs/>
          <w:lang w:eastAsia="ja-JP"/>
        </w:rPr>
        <w:t xml:space="preserve"> </w:t>
      </w:r>
      <w:r w:rsidRPr="003724A8">
        <w:rPr>
          <w:rFonts w:eastAsia="MS Mincho"/>
          <w:i/>
          <w:iCs/>
          <w:lang w:eastAsia="ja-JP"/>
        </w:rPr>
        <w:t>during the 600ms pre-stimulus baseline for both experiments 1 and 2. The statistical parametric map (leftward panel) provides the spatial distribution of the T-scores. Data were thresholded to highlight</w:t>
      </w:r>
      <w:r>
        <w:rPr>
          <w:rFonts w:eastAsia="MS Mincho"/>
          <w:i/>
          <w:iCs/>
          <w:lang w:eastAsia="ja-JP"/>
        </w:rPr>
        <w:t xml:space="preserve"> </w:t>
      </w:r>
      <w:r w:rsidRPr="003724A8">
        <w:rPr>
          <w:rFonts w:eastAsia="MS Mincho"/>
          <w:i/>
          <w:iCs/>
          <w:lang w:eastAsia="ja-JP"/>
        </w:rPr>
        <w:t>significant clusters (p &lt; 0.05, FWER). The rightward panel shows the effect across the left (L)</w:t>
      </w:r>
      <w:r>
        <w:rPr>
          <w:rFonts w:eastAsia="MS Mincho"/>
          <w:i/>
          <w:iCs/>
          <w:lang w:eastAsia="ja-JP"/>
        </w:rPr>
        <w:t xml:space="preserve"> </w:t>
      </w:r>
      <w:r w:rsidRPr="003724A8">
        <w:rPr>
          <w:rFonts w:eastAsia="MS Mincho"/>
          <w:i/>
          <w:iCs/>
          <w:lang w:eastAsia="ja-JP"/>
        </w:rPr>
        <w:t>and right (R) hemispheres (see the red and blue regions on the upper topographic</w:t>
      </w:r>
      <w:r>
        <w:rPr>
          <w:rFonts w:eastAsia="MS Mincho"/>
          <w:i/>
          <w:iCs/>
          <w:lang w:eastAsia="ja-JP"/>
        </w:rPr>
        <w:t xml:space="preserve"> </w:t>
      </w:r>
      <w:r w:rsidRPr="003724A8">
        <w:rPr>
          <w:rFonts w:eastAsia="MS Mincho"/>
          <w:i/>
          <w:iCs/>
          <w:lang w:eastAsia="ja-JP"/>
        </w:rPr>
        <w:t>map). Bars and whiskers provide the means and associated 95% confidence intervals. Each dot</w:t>
      </w:r>
      <w:r>
        <w:rPr>
          <w:rFonts w:eastAsia="MS Mincho"/>
          <w:i/>
          <w:iCs/>
          <w:lang w:eastAsia="ja-JP"/>
        </w:rPr>
        <w:t xml:space="preserve"> </w:t>
      </w:r>
      <w:r w:rsidRPr="003724A8">
        <w:rPr>
          <w:rFonts w:eastAsia="MS Mincho"/>
          <w:i/>
          <w:iCs/>
          <w:lang w:eastAsia="ja-JP"/>
        </w:rPr>
        <w:t>corresponds to an individual subject.</w:t>
      </w:r>
    </w:p>
    <w:p w14:paraId="6E0D8027" w14:textId="77777777" w:rsidR="00777C38" w:rsidRDefault="00777C38" w:rsidP="00777C38">
      <w:pPr>
        <w:jc w:val="both"/>
      </w:pPr>
    </w:p>
    <w:p w14:paraId="16FA4D49" w14:textId="77777777" w:rsidR="00777C38" w:rsidRPr="005E6FD4" w:rsidRDefault="00777C38" w:rsidP="00777C38">
      <w:pPr>
        <w:jc w:val="both"/>
      </w:pPr>
      <w:r>
        <w:t>With this analysis, we</w:t>
      </w:r>
      <w:r w:rsidRPr="008A03C4">
        <w:t xml:space="preserve"> did not f</w:t>
      </w:r>
      <w:r>
        <w:t>i</w:t>
      </w:r>
      <w:r w:rsidRPr="008A03C4">
        <w:t xml:space="preserve">nd significant changes </w:t>
      </w:r>
      <w:r>
        <w:t xml:space="preserve">in occipital regions that were consistent across the two experiments, like the vN component described in </w:t>
      </w:r>
      <w:r>
        <w:fldChar w:fldCharType="begin"/>
      </w:r>
      <w:r>
        <w:instrText xml:space="preserve"> ADDIN EN.CITE &lt;EndNote&gt;&lt;Cite&gt;&lt;Author&gt;Di Russo&lt;/Author&gt;&lt;Year&gt;2019&lt;/Year&gt;&lt;RecNum&gt;1863&lt;/RecNum&gt;&lt;record&gt;&lt;rec-number&gt;1863&lt;/rec-number&gt;&lt;foreign-keys&gt;&lt;key app="EN" db-id="sp5tvsa2pszf2lef9zm5w2vszxdtdpx9zvat"&gt;1863&lt;/key&gt;&lt;/foreign-keys&gt;&lt;ref-type name="Journal Article"&gt;17&lt;/ref-type&gt;&lt;contributors&gt;&lt;authors&gt;&lt;author&gt;Di Russo, F.&lt;/author&gt;&lt;author&gt;Berchicci, M.&lt;/author&gt;&lt;author&gt;Bianco, V.&lt;/author&gt;&lt;author&gt;Perri, R.L.&lt;/author&gt;&lt;author&gt;Pitzalis, S.&lt;/author&gt;&lt;author&gt;Quinzi, F.&lt;/author&gt;&lt;author&gt;Spinelli,D.&lt;/author&gt;&lt;/authors&gt;&lt;/contributors&gt;&lt;auth-address&gt;Dept. of Movement, Human and Health Sciences, University of Rome &amp;quot;Foro Italico&amp;quot;, Rome, Italy. Electronic address: francesco.dirusso@uniroma4.it.&amp;#xD;Dept. of Movement, Human and Health Sciences, University of Rome &amp;quot;Foro Italico&amp;quot;, Rome, Italy.&amp;#xD;Santa Lucia Foundation (IRCCS Fondazione Santa Lucia), Rome, Italy.&amp;#xD;Dept. of Movement, Human and Health Sciences, University of Rome &amp;quot;Foro Italico&amp;quot;, Rome, Italy; University of Rome Niccolo Cusano, Italy.&amp;#xD;Dept. of Movement, Human and Health Sciences, University of Rome &amp;quot;Foro Italico&amp;quot;, Rome, Italy; Santa Lucia Foundation (IRCCS Fondazione Santa Lucia), Rome, Italy.&lt;/auth-address&gt;&lt;titles&gt;&lt;title&gt;Normative event-related potentials from sensory and cognitive tasks reveal occipital and frontal activities prior and following visual events&lt;/title&gt;&lt;secondary-title&gt;Neuroimage&lt;/secondary-title&gt;&lt;/titles&gt;&lt;periodical&gt;&lt;full-title&gt;Neuroimage&lt;/full-title&gt;&lt;/periodical&gt;&lt;pages&gt;173-187&lt;/pages&gt;&lt;volume&gt;196&lt;/volume&gt;&lt;edition&gt;2019/04/15&lt;/edition&gt;&lt;dates&gt;&lt;year&gt;2019&lt;/year&gt;&lt;pub-dates&gt;&lt;date&gt;Aug 1&lt;/date&gt;&lt;/pub-dates&gt;&lt;/dates&gt;&lt;isbn&gt;1095-9572 (Electronic)&amp;#xD;1053-8119 (Linking)&lt;/isbn&gt;&lt;accession-num&gt;30981857&lt;/accession-num&gt;&lt;urls&gt;&lt;/urls&gt;&lt;electronic-resource-num&gt;S1053-8119(19)30319-2 [pii]&amp;#xD;10.1016/j.neuroimage.2019.04.033 [doi]&lt;/electronic-resource-num&gt;&lt;language&gt;eng&lt;/language&gt;&lt;/record&gt;&lt;/Cite&gt;&lt;/EndNote&gt;</w:instrText>
      </w:r>
      <w:r>
        <w:fldChar w:fldCharType="separate"/>
      </w:r>
      <w:r w:rsidRPr="00E3177E">
        <w:t>(Di Russo et al., 2019)</w:t>
      </w:r>
      <w:r>
        <w:fldChar w:fldCharType="end"/>
      </w:r>
      <w:r>
        <w:t>. It is possible</w:t>
      </w:r>
      <w:r w:rsidRPr="008A03C4">
        <w:t xml:space="preserve"> that in our case</w:t>
      </w:r>
      <w:r>
        <w:t>,</w:t>
      </w:r>
      <w:r w:rsidRPr="008A03C4">
        <w:t xml:space="preserve"> time-domain pre-stimulus activity in occipital areas </w:t>
      </w:r>
      <w:r>
        <w:t xml:space="preserve">was </w:t>
      </w:r>
      <w:r w:rsidRPr="008A03C4">
        <w:t xml:space="preserve">more affected by the difference in task demands between </w:t>
      </w:r>
      <w:r>
        <w:t xml:space="preserve">the </w:t>
      </w:r>
      <w:r w:rsidRPr="008A03C4">
        <w:t xml:space="preserve">two </w:t>
      </w:r>
      <w:r>
        <w:t>experiments than by gaze-direction. Indeed, stimuli were spatially more scattered and thereby less predictable in our second experiment. The</w:t>
      </w:r>
      <w:r w:rsidRPr="008A03C4">
        <w:t xml:space="preserve"> consistent and significant gaze-dependen</w:t>
      </w:r>
      <w:r>
        <w:t>t</w:t>
      </w:r>
      <w:r w:rsidRPr="008A03C4">
        <w:t xml:space="preserve"> pre-stimulus drift </w:t>
      </w:r>
      <w:r>
        <w:t xml:space="preserve">that we observed in our two groups of subjects in anterior sites </w:t>
      </w:r>
      <w:r w:rsidRPr="008A03C4">
        <w:t xml:space="preserve">can potentially correspond to </w:t>
      </w:r>
      <w:r>
        <w:t>the p</w:t>
      </w:r>
      <w:r w:rsidRPr="008A03C4">
        <w:t xml:space="preserve">N </w:t>
      </w:r>
      <w:r>
        <w:t xml:space="preserve">component </w:t>
      </w:r>
      <w:r>
        <w:rPr>
          <w:color w:val="222222"/>
          <w:shd w:val="clear" w:color="auto" w:fill="FFFFFF"/>
        </w:rPr>
        <w:fldChar w:fldCharType="begin">
          <w:fldData xml:space="preserve">PEVuZE5vdGU+PENpdGU+PEF1dGhvcj5SYWdhenpvbmk8L0F1dGhvcj48WWVhcj4yMDE5PC9ZZWFy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=
</w:fldData>
        </w:fldChar>
      </w:r>
      <w:r>
        <w:rPr>
          <w:color w:val="222222"/>
          <w:shd w:val="clear" w:color="auto" w:fill="FFFFFF"/>
        </w:rPr>
        <w:instrText xml:space="preserve"> ADDIN EN.CITE </w:instrText>
      </w:r>
      <w:r>
        <w:rPr>
          <w:color w:val="222222"/>
          <w:shd w:val="clear" w:color="auto" w:fill="FFFFFF"/>
        </w:rPr>
        <w:fldChar w:fldCharType="begin">
          <w:fldData xml:space="preserve">PEVuZE5vdGU+PENpdGU+PEF1dGhvcj5SYWdhenpvbmk8L0F1dGhvcj48WWVhcj4yMDE5PC9ZZWFy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=
</w:fldData>
        </w:fldChar>
      </w:r>
      <w:r>
        <w:rPr>
          <w:color w:val="222222"/>
          <w:shd w:val="clear" w:color="auto" w:fill="FFFFFF"/>
        </w:rPr>
        <w:instrText xml:space="preserve"> ADDIN EN.CITE.DATA </w:instrText>
      </w:r>
      <w:r>
        <w:rPr>
          <w:color w:val="222222"/>
          <w:shd w:val="clear" w:color="auto" w:fill="FFFFFF"/>
        </w:rPr>
      </w:r>
      <w:r>
        <w:rPr>
          <w:color w:val="222222"/>
          <w:shd w:val="clear" w:color="auto" w:fill="FFFFFF"/>
        </w:rPr>
        <w:fldChar w:fldCharType="end"/>
      </w:r>
      <w:r>
        <w:rPr>
          <w:color w:val="222222"/>
          <w:shd w:val="clear" w:color="auto" w:fill="FFFFFF"/>
        </w:rPr>
      </w:r>
      <w:r>
        <w:rPr>
          <w:color w:val="222222"/>
          <w:shd w:val="clear" w:color="auto" w:fill="FFFFFF"/>
        </w:rPr>
        <w:fldChar w:fldCharType="separate"/>
      </w:r>
      <w:r>
        <w:rPr>
          <w:color w:val="222222"/>
          <w:shd w:val="clear" w:color="auto" w:fill="FFFFFF"/>
        </w:rPr>
        <w:t>(Ragazzoni et al., 2019)</w:t>
      </w:r>
      <w:r>
        <w:rPr>
          <w:color w:val="222222"/>
          <w:shd w:val="clear" w:color="auto" w:fill="FFFFFF"/>
        </w:rPr>
        <w:fldChar w:fldCharType="end"/>
      </w:r>
      <w:r>
        <w:t xml:space="preserve">. This component is </w:t>
      </w:r>
      <w:r w:rsidRPr="008A03C4">
        <w:rPr>
          <w:color w:val="222222"/>
          <w:shd w:val="clear" w:color="auto" w:fill="FFFFFF"/>
        </w:rPr>
        <w:t xml:space="preserve">associated with cognitive preparation intended as proactive attention </w:t>
      </w:r>
      <w:r>
        <w:rPr>
          <w:color w:val="222222"/>
          <w:shd w:val="clear" w:color="auto" w:fill="FFFFFF"/>
        </w:rPr>
        <w:t xml:space="preserve">in </w:t>
      </w:r>
      <w:r w:rsidRPr="008A03C4">
        <w:rPr>
          <w:color w:val="222222"/>
          <w:shd w:val="clear" w:color="auto" w:fill="FFFFFF"/>
        </w:rPr>
        <w:t xml:space="preserve">prefrontal cortex </w:t>
      </w:r>
      <w:r>
        <w:rPr>
          <w:color w:val="222222"/>
          <w:shd w:val="clear" w:color="auto" w:fill="FFFFFF"/>
        </w:rPr>
        <w:fldChar w:fldCharType="begin">
          <w:fldData xml:space="preserve">PEVuZE5vdGU+PENpdGU+PEF1dGhvcj5SYWdhenpvbmk8L0F1dGhvcj48WWVhcj4yMDE5PC9ZZWFy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=
</w:fldData>
        </w:fldChar>
      </w:r>
      <w:r>
        <w:rPr>
          <w:color w:val="222222"/>
          <w:shd w:val="clear" w:color="auto" w:fill="FFFFFF"/>
        </w:rPr>
        <w:instrText xml:space="preserve"> ADDIN EN.CITE </w:instrText>
      </w:r>
      <w:r>
        <w:rPr>
          <w:color w:val="222222"/>
          <w:shd w:val="clear" w:color="auto" w:fill="FFFFFF"/>
        </w:rPr>
        <w:fldChar w:fldCharType="begin">
          <w:fldData xml:space="preserve">PEVuZE5vdGU+PENpdGU+PEF1dGhvcj5SYWdhenpvbmk8L0F1dGhvcj48WWVhcj4yMDE5PC9ZZWFy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=
</w:fldData>
        </w:fldChar>
      </w:r>
      <w:r>
        <w:rPr>
          <w:color w:val="222222"/>
          <w:shd w:val="clear" w:color="auto" w:fill="FFFFFF"/>
        </w:rPr>
        <w:instrText xml:space="preserve"> ADDIN EN.CITE.DATA </w:instrText>
      </w:r>
      <w:r>
        <w:rPr>
          <w:color w:val="222222"/>
          <w:shd w:val="clear" w:color="auto" w:fill="FFFFFF"/>
        </w:rPr>
      </w:r>
      <w:r>
        <w:rPr>
          <w:color w:val="222222"/>
          <w:shd w:val="clear" w:color="auto" w:fill="FFFFFF"/>
        </w:rPr>
        <w:fldChar w:fldCharType="end"/>
      </w:r>
      <w:r>
        <w:rPr>
          <w:color w:val="222222"/>
          <w:shd w:val="clear" w:color="auto" w:fill="FFFFFF"/>
        </w:rPr>
      </w:r>
      <w:r>
        <w:rPr>
          <w:color w:val="222222"/>
          <w:shd w:val="clear" w:color="auto" w:fill="FFFFFF"/>
        </w:rPr>
        <w:fldChar w:fldCharType="separate"/>
      </w:r>
      <w:r>
        <w:rPr>
          <w:color w:val="222222"/>
          <w:shd w:val="clear" w:color="auto" w:fill="FFFFFF"/>
        </w:rPr>
        <w:t>(Ragazzoni et al., 2019)</w:t>
      </w:r>
      <w:r>
        <w:rPr>
          <w:color w:val="222222"/>
          <w:shd w:val="clear" w:color="auto" w:fill="FFFFFF"/>
        </w:rPr>
        <w:fldChar w:fldCharType="end"/>
      </w:r>
      <w:r>
        <w:rPr>
          <w:color w:val="222222"/>
          <w:shd w:val="clear" w:color="auto" w:fill="FFFFFF"/>
        </w:rPr>
        <w:t xml:space="preserve"> </w:t>
      </w:r>
      <w:r w:rsidRPr="008A03C4">
        <w:t>which can</w:t>
      </w:r>
      <w:r>
        <w:t xml:space="preserve"> cause local increase in alpha power on ipsilateral recording sites via descending inhibition. This interpretation is consistent with the strong gaze-dependent alpha power modulation that we observed before stimulus onset (figure 7). </w:t>
      </w:r>
    </w:p>
    <w:p w14:paraId="70B44453" w14:textId="77777777" w:rsidR="005D60AA" w:rsidRDefault="005D60AA" w:rsidP="007808F1">
      <w:pPr>
        <w:pStyle w:val="Paragraphedeliste"/>
        <w:jc w:val="both"/>
        <w:rPr>
          <w:b/>
          <w:bCs/>
        </w:rPr>
      </w:pPr>
    </w:p>
    <w:p w14:paraId="4EAE1D50" w14:textId="77777777" w:rsidR="005D60AA" w:rsidRPr="005410AF" w:rsidRDefault="005D60AA" w:rsidP="007808F1">
      <w:pPr>
        <w:pStyle w:val="Paragraphedeliste"/>
        <w:jc w:val="both"/>
        <w:rPr>
          <w:lang w:val="fr-FR"/>
        </w:rPr>
      </w:pPr>
      <w:r w:rsidRPr="005410AF">
        <w:rPr>
          <w:b/>
          <w:bCs/>
          <w:lang w:val="fr-FR"/>
        </w:rPr>
        <w:t>REFERENCES</w:t>
      </w:r>
    </w:p>
    <w:p w14:paraId="08A754F7" w14:textId="77777777" w:rsidR="005D60AA" w:rsidRDefault="005D60AA" w:rsidP="001A1ABA">
      <w:pPr>
        <w:pStyle w:val="Paragraphedeliste"/>
        <w:spacing w:after="0" w:line="240" w:lineRule="auto"/>
        <w:ind w:left="0"/>
        <w:jc w:val="both"/>
      </w:pPr>
      <w:r w:rsidRPr="001D11BD">
        <w:fldChar w:fldCharType="begin"/>
      </w:r>
      <w:r w:rsidRPr="005410AF">
        <w:rPr>
          <w:lang w:val="fr-FR"/>
        </w:rPr>
        <w:instrText xml:space="preserve"> ADDIN EN.REFLIST </w:instrText>
      </w:r>
      <w:r w:rsidRPr="001D11BD">
        <w:fldChar w:fldCharType="separate"/>
      </w:r>
      <w:r w:rsidRPr="005410AF">
        <w:rPr>
          <w:lang w:val="fr-FR"/>
        </w:rPr>
        <w:t xml:space="preserve">Di Russo, F., Berchicci, M., Bianco, V., Perri, R.L., Pitzalis, S., Quinzi, F., Spinelli, D., 2019. </w:t>
      </w:r>
      <w:r>
        <w:t>Normative event-related potentials from sensory and cognitive tasks reveal occipital and frontal activities prior and following visual events. Neuroimage 196, 173-187.</w:t>
      </w:r>
    </w:p>
    <w:p w14:paraId="16734579" w14:textId="77777777" w:rsidR="005D60AA" w:rsidRDefault="005D60AA" w:rsidP="001A1ABA">
      <w:pPr>
        <w:pStyle w:val="Paragraphedeliste"/>
        <w:spacing w:after="0" w:line="240" w:lineRule="auto"/>
        <w:ind w:left="0"/>
        <w:jc w:val="both"/>
      </w:pPr>
      <w:r>
        <w:t>Ragazzoni, A., Di Russo, F., Fabbri, S., Pesaresi, I., Di Rollo, A., Perri, R.L., Barloscio, D., Bocci, T., Cosottini, M., Sartucci, F., 2019. "Hit the missing stimulus". A simultaneous EEG-fMRI study to localize the generators of endogenous ERPs in an omitted target paradigm. Sci Rep 9, 3684.</w:t>
      </w:r>
    </w:p>
    <w:p w14:paraId="5F3D0035" w14:textId="77777777" w:rsidR="005D60AA" w:rsidRDefault="005D60AA" w:rsidP="001A1ABA">
      <w:pPr>
        <w:pStyle w:val="Paragraphedeliste"/>
        <w:spacing w:after="0" w:line="240" w:lineRule="auto"/>
        <w:ind w:left="0"/>
        <w:jc w:val="both"/>
      </w:pPr>
    </w:p>
    <w:p w14:paraId="423DD582" w14:textId="77777777" w:rsidR="005D60AA" w:rsidRPr="00005842" w:rsidRDefault="005D60AA" w:rsidP="001A1ABA">
      <w:pPr>
        <w:pStyle w:val="Paragraphedeliste"/>
        <w:spacing w:after="0" w:line="240" w:lineRule="auto"/>
        <w:ind w:hanging="720"/>
        <w:jc w:val="both"/>
      </w:pPr>
      <w:r w:rsidRPr="001D11BD">
        <w:fldChar w:fldCharType="end"/>
      </w:r>
    </w:p>
    <w:sectPr w:rsidR="005D60AA" w:rsidRPr="00005842" w:rsidSect="00BA2A77">
      <w:footerReference w:type="default" r:id="rId15"/>
      <w:pgSz w:w="12240" w:h="15840"/>
      <w:pgMar w:top="1021" w:right="1134" w:bottom="102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A44997" w14:textId="77777777" w:rsidR="00D84C50" w:rsidRDefault="00D84C50" w:rsidP="000E7C65">
      <w:pPr>
        <w:spacing w:after="0" w:line="240" w:lineRule="auto"/>
      </w:pPr>
      <w:r>
        <w:separator/>
      </w:r>
    </w:p>
  </w:endnote>
  <w:endnote w:type="continuationSeparator" w:id="0">
    <w:p w14:paraId="277630EA" w14:textId="77777777" w:rsidR="00D84C50" w:rsidRDefault="00D84C50" w:rsidP="000E7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59C203" w14:textId="77777777" w:rsidR="00D114EB" w:rsidRDefault="00D114EB">
    <w:pPr>
      <w:pStyle w:val="Pieddepage"/>
      <w:jc w:val="right"/>
    </w:pPr>
    <w:r>
      <w:rPr>
        <w:noProof/>
        <w:lang w:val="fr-FR"/>
      </w:rPr>
      <w:fldChar w:fldCharType="begin"/>
    </w:r>
    <w:r>
      <w:rPr>
        <w:noProof/>
        <w:lang w:val="fr-FR"/>
      </w:rPr>
      <w:instrText>PAGE   \* MERGEFORMAT</w:instrText>
    </w:r>
    <w:r>
      <w:rPr>
        <w:noProof/>
        <w:lang w:val="fr-FR"/>
      </w:rPr>
      <w:fldChar w:fldCharType="separate"/>
    </w:r>
    <w:r w:rsidR="005B307B">
      <w:rPr>
        <w:noProof/>
        <w:lang w:val="fr-FR"/>
      </w:rPr>
      <w:t>3</w:t>
    </w:r>
    <w:r>
      <w:rPr>
        <w:noProof/>
        <w:lang w:val="fr-FR"/>
      </w:rPr>
      <w:fldChar w:fldCharType="end"/>
    </w:r>
  </w:p>
  <w:p w14:paraId="1D74CF06" w14:textId="77777777" w:rsidR="00D114EB" w:rsidRDefault="00D114E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FB2F1D" w14:textId="77777777" w:rsidR="00D84C50" w:rsidRDefault="00D84C50" w:rsidP="000E7C65">
      <w:pPr>
        <w:spacing w:after="0" w:line="240" w:lineRule="auto"/>
      </w:pPr>
      <w:r>
        <w:separator/>
      </w:r>
    </w:p>
  </w:footnote>
  <w:footnote w:type="continuationSeparator" w:id="0">
    <w:p w14:paraId="6068BABD" w14:textId="77777777" w:rsidR="00D84C50" w:rsidRDefault="00D84C50" w:rsidP="000E7C6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AD3F1A"/>
    <w:multiLevelType w:val="multilevel"/>
    <w:tmpl w:val="0040F74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29601266"/>
    <w:multiLevelType w:val="multilevel"/>
    <w:tmpl w:val="0040F74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57190FD4"/>
    <w:multiLevelType w:val="multilevel"/>
    <w:tmpl w:val="0040F74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7BA25136"/>
    <w:multiLevelType w:val="hybridMultilevel"/>
    <w:tmpl w:val="7166C880"/>
    <w:lvl w:ilvl="0" w:tplc="ABE29B3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ENInstantFormat&gt;"/>
    <w:docVar w:name="EN.Layout" w:val="&lt;ENLayout&gt;&lt;Style&gt;Psychoneuroendocrin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bogd12_20160926.enl&lt;/item&gt;&lt;/Libraries&gt;&lt;/ENLibraries&gt;"/>
  </w:docVars>
  <w:rsids>
    <w:rsidRoot w:val="006C5F57"/>
    <w:rsid w:val="00001B7F"/>
    <w:rsid w:val="00005842"/>
    <w:rsid w:val="00007785"/>
    <w:rsid w:val="000734FD"/>
    <w:rsid w:val="000852E3"/>
    <w:rsid w:val="00097243"/>
    <w:rsid w:val="000A4528"/>
    <w:rsid w:val="000B6278"/>
    <w:rsid w:val="000C1471"/>
    <w:rsid w:val="000E7C65"/>
    <w:rsid w:val="00100F75"/>
    <w:rsid w:val="00106098"/>
    <w:rsid w:val="0011611A"/>
    <w:rsid w:val="001613F8"/>
    <w:rsid w:val="0018487B"/>
    <w:rsid w:val="00193291"/>
    <w:rsid w:val="001A1ABA"/>
    <w:rsid w:val="001A6371"/>
    <w:rsid w:val="001C1BB8"/>
    <w:rsid w:val="001D11BD"/>
    <w:rsid w:val="001F4981"/>
    <w:rsid w:val="00200821"/>
    <w:rsid w:val="002125D3"/>
    <w:rsid w:val="0025590A"/>
    <w:rsid w:val="00257FFA"/>
    <w:rsid w:val="00261E7A"/>
    <w:rsid w:val="00272B28"/>
    <w:rsid w:val="0027495A"/>
    <w:rsid w:val="00276BDA"/>
    <w:rsid w:val="002B0424"/>
    <w:rsid w:val="002B7E97"/>
    <w:rsid w:val="002E1DB4"/>
    <w:rsid w:val="003205E8"/>
    <w:rsid w:val="00335B96"/>
    <w:rsid w:val="00342002"/>
    <w:rsid w:val="003724A8"/>
    <w:rsid w:val="003751AA"/>
    <w:rsid w:val="00375AB1"/>
    <w:rsid w:val="00377B13"/>
    <w:rsid w:val="003E1B66"/>
    <w:rsid w:val="003E6CCB"/>
    <w:rsid w:val="004264A7"/>
    <w:rsid w:val="00482ACD"/>
    <w:rsid w:val="00494A51"/>
    <w:rsid w:val="004A145B"/>
    <w:rsid w:val="004A4544"/>
    <w:rsid w:val="004D0ED8"/>
    <w:rsid w:val="004E4A98"/>
    <w:rsid w:val="00500C94"/>
    <w:rsid w:val="005077FE"/>
    <w:rsid w:val="005410AF"/>
    <w:rsid w:val="005708AC"/>
    <w:rsid w:val="0058569C"/>
    <w:rsid w:val="005A2DAE"/>
    <w:rsid w:val="005A5457"/>
    <w:rsid w:val="005B307B"/>
    <w:rsid w:val="005D60AA"/>
    <w:rsid w:val="005E5902"/>
    <w:rsid w:val="005E6FD4"/>
    <w:rsid w:val="006469CF"/>
    <w:rsid w:val="0068647A"/>
    <w:rsid w:val="006971C0"/>
    <w:rsid w:val="006C5F57"/>
    <w:rsid w:val="006C6445"/>
    <w:rsid w:val="006E1522"/>
    <w:rsid w:val="006F27A3"/>
    <w:rsid w:val="006F4CF4"/>
    <w:rsid w:val="007008C2"/>
    <w:rsid w:val="00700F8E"/>
    <w:rsid w:val="0071116C"/>
    <w:rsid w:val="00735936"/>
    <w:rsid w:val="00754A59"/>
    <w:rsid w:val="00777C38"/>
    <w:rsid w:val="007808D6"/>
    <w:rsid w:val="007808F1"/>
    <w:rsid w:val="0079335A"/>
    <w:rsid w:val="007C11DF"/>
    <w:rsid w:val="007E3C9C"/>
    <w:rsid w:val="00807909"/>
    <w:rsid w:val="008201D1"/>
    <w:rsid w:val="00822238"/>
    <w:rsid w:val="008361F0"/>
    <w:rsid w:val="00843E43"/>
    <w:rsid w:val="008611F7"/>
    <w:rsid w:val="00885A1A"/>
    <w:rsid w:val="008A03C4"/>
    <w:rsid w:val="008F6FEB"/>
    <w:rsid w:val="009011D6"/>
    <w:rsid w:val="009349DF"/>
    <w:rsid w:val="00947DC9"/>
    <w:rsid w:val="0096317C"/>
    <w:rsid w:val="00966D73"/>
    <w:rsid w:val="009728C0"/>
    <w:rsid w:val="00985C2F"/>
    <w:rsid w:val="00990CB6"/>
    <w:rsid w:val="009C1D41"/>
    <w:rsid w:val="009F1B27"/>
    <w:rsid w:val="009F67EF"/>
    <w:rsid w:val="00A049D1"/>
    <w:rsid w:val="00A731E1"/>
    <w:rsid w:val="00A73321"/>
    <w:rsid w:val="00A815FE"/>
    <w:rsid w:val="00A92838"/>
    <w:rsid w:val="00AA54F6"/>
    <w:rsid w:val="00AF23E1"/>
    <w:rsid w:val="00B01AE1"/>
    <w:rsid w:val="00B218D9"/>
    <w:rsid w:val="00B237CF"/>
    <w:rsid w:val="00B42C1C"/>
    <w:rsid w:val="00B434B9"/>
    <w:rsid w:val="00B57035"/>
    <w:rsid w:val="00B92DB4"/>
    <w:rsid w:val="00B966F2"/>
    <w:rsid w:val="00BA2A77"/>
    <w:rsid w:val="00BA663C"/>
    <w:rsid w:val="00C00918"/>
    <w:rsid w:val="00C57EEC"/>
    <w:rsid w:val="00C61826"/>
    <w:rsid w:val="00C931E3"/>
    <w:rsid w:val="00CB0EFD"/>
    <w:rsid w:val="00CE2639"/>
    <w:rsid w:val="00CE5560"/>
    <w:rsid w:val="00D114EB"/>
    <w:rsid w:val="00D153AB"/>
    <w:rsid w:val="00D438D5"/>
    <w:rsid w:val="00D47931"/>
    <w:rsid w:val="00D84C50"/>
    <w:rsid w:val="00D86E1B"/>
    <w:rsid w:val="00D9089D"/>
    <w:rsid w:val="00DB477C"/>
    <w:rsid w:val="00DB599C"/>
    <w:rsid w:val="00DD16FC"/>
    <w:rsid w:val="00DD4430"/>
    <w:rsid w:val="00DD4613"/>
    <w:rsid w:val="00DD5E3E"/>
    <w:rsid w:val="00E041D6"/>
    <w:rsid w:val="00E129EB"/>
    <w:rsid w:val="00E2356B"/>
    <w:rsid w:val="00E3177E"/>
    <w:rsid w:val="00E57918"/>
    <w:rsid w:val="00E955DD"/>
    <w:rsid w:val="00ED1BB6"/>
    <w:rsid w:val="00F3276D"/>
    <w:rsid w:val="00F53EA7"/>
    <w:rsid w:val="00F54530"/>
    <w:rsid w:val="00F86331"/>
    <w:rsid w:val="00FC5B96"/>
    <w:rsid w:val="00FC7549"/>
    <w:rsid w:val="00FE2379"/>
    <w:rsid w:val="00FF1C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4F54DB"/>
  <w15:docId w15:val="{7D1DD36B-7D03-45EC-98CC-30D9C233A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1826"/>
    <w:pPr>
      <w:spacing w:after="160" w:line="259" w:lineRule="auto"/>
    </w:pPr>
    <w:rPr>
      <w:rFonts w:eastAsia="Times New Roman" w:cs="Calibr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99"/>
    <w:qFormat/>
    <w:rsid w:val="00807909"/>
    <w:pPr>
      <w:ind w:left="720"/>
    </w:pPr>
  </w:style>
  <w:style w:type="table" w:styleId="Grilledutableau">
    <w:name w:val="Table Grid"/>
    <w:basedOn w:val="TableauNormal"/>
    <w:uiPriority w:val="99"/>
    <w:rsid w:val="00276BDA"/>
    <w:rPr>
      <w:rFonts w:cs="Calibri"/>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rsid w:val="000E7C65"/>
    <w:pPr>
      <w:tabs>
        <w:tab w:val="center" w:pos="4703"/>
        <w:tab w:val="right" w:pos="9406"/>
      </w:tabs>
      <w:spacing w:after="0" w:line="240" w:lineRule="auto"/>
    </w:pPr>
  </w:style>
  <w:style w:type="character" w:customStyle="1" w:styleId="En-tteCar">
    <w:name w:val="En-tête Car"/>
    <w:basedOn w:val="Policepardfaut"/>
    <w:link w:val="En-tte"/>
    <w:uiPriority w:val="99"/>
    <w:locked/>
    <w:rsid w:val="000E7C65"/>
    <w:rPr>
      <w:rFonts w:ascii="Calibri" w:hAnsi="Calibri" w:cs="Calibri"/>
    </w:rPr>
  </w:style>
  <w:style w:type="paragraph" w:styleId="Pieddepage">
    <w:name w:val="footer"/>
    <w:basedOn w:val="Normal"/>
    <w:link w:val="PieddepageCar"/>
    <w:uiPriority w:val="99"/>
    <w:rsid w:val="000E7C65"/>
    <w:pPr>
      <w:tabs>
        <w:tab w:val="center" w:pos="4703"/>
        <w:tab w:val="right" w:pos="9406"/>
      </w:tabs>
      <w:spacing w:after="0" w:line="240" w:lineRule="auto"/>
    </w:pPr>
  </w:style>
  <w:style w:type="character" w:customStyle="1" w:styleId="PieddepageCar">
    <w:name w:val="Pied de page Car"/>
    <w:basedOn w:val="Policepardfaut"/>
    <w:link w:val="Pieddepage"/>
    <w:uiPriority w:val="99"/>
    <w:locked/>
    <w:rsid w:val="000E7C65"/>
    <w:rPr>
      <w:rFonts w:ascii="Calibri" w:hAnsi="Calibri" w:cs="Calibri"/>
    </w:rPr>
  </w:style>
  <w:style w:type="character" w:styleId="Marquedecommentaire">
    <w:name w:val="annotation reference"/>
    <w:basedOn w:val="Policepardfaut"/>
    <w:uiPriority w:val="99"/>
    <w:semiHidden/>
    <w:rsid w:val="00E129EB"/>
    <w:rPr>
      <w:sz w:val="16"/>
      <w:szCs w:val="16"/>
    </w:rPr>
  </w:style>
  <w:style w:type="paragraph" w:styleId="Commentaire">
    <w:name w:val="annotation text"/>
    <w:basedOn w:val="Normal"/>
    <w:link w:val="CommentaireCar"/>
    <w:uiPriority w:val="99"/>
    <w:semiHidden/>
    <w:rsid w:val="00E129EB"/>
    <w:pPr>
      <w:spacing w:line="240" w:lineRule="auto"/>
    </w:pPr>
    <w:rPr>
      <w:sz w:val="20"/>
      <w:szCs w:val="20"/>
    </w:rPr>
  </w:style>
  <w:style w:type="character" w:customStyle="1" w:styleId="CommentaireCar">
    <w:name w:val="Commentaire Car"/>
    <w:basedOn w:val="Policepardfaut"/>
    <w:link w:val="Commentaire"/>
    <w:uiPriority w:val="99"/>
    <w:semiHidden/>
    <w:locked/>
    <w:rsid w:val="00E129EB"/>
    <w:rPr>
      <w:rFonts w:ascii="Calibri" w:hAnsi="Calibri" w:cs="Calibri"/>
      <w:sz w:val="20"/>
      <w:szCs w:val="20"/>
    </w:rPr>
  </w:style>
  <w:style w:type="paragraph" w:styleId="Objetducommentaire">
    <w:name w:val="annotation subject"/>
    <w:basedOn w:val="Commentaire"/>
    <w:next w:val="Commentaire"/>
    <w:link w:val="ObjetducommentaireCar"/>
    <w:uiPriority w:val="99"/>
    <w:semiHidden/>
    <w:rsid w:val="00E129EB"/>
    <w:rPr>
      <w:b/>
      <w:bCs/>
    </w:rPr>
  </w:style>
  <w:style w:type="character" w:customStyle="1" w:styleId="ObjetducommentaireCar">
    <w:name w:val="Objet du commentaire Car"/>
    <w:basedOn w:val="CommentaireCar"/>
    <w:link w:val="Objetducommentaire"/>
    <w:uiPriority w:val="99"/>
    <w:semiHidden/>
    <w:locked/>
    <w:rsid w:val="00E129EB"/>
    <w:rPr>
      <w:rFonts w:ascii="Calibri" w:hAnsi="Calibri" w:cs="Calibri"/>
      <w:b/>
      <w:bCs/>
      <w:sz w:val="20"/>
      <w:szCs w:val="20"/>
    </w:rPr>
  </w:style>
  <w:style w:type="paragraph" w:styleId="Textedebulles">
    <w:name w:val="Balloon Text"/>
    <w:basedOn w:val="Normal"/>
    <w:link w:val="TextedebullesCar"/>
    <w:uiPriority w:val="99"/>
    <w:semiHidden/>
    <w:rsid w:val="00E129E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sid w:val="00E129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640512">
      <w:marLeft w:val="0"/>
      <w:marRight w:val="0"/>
      <w:marTop w:val="0"/>
      <w:marBottom w:val="0"/>
      <w:divBdr>
        <w:top w:val="none" w:sz="0" w:space="0" w:color="auto"/>
        <w:left w:val="none" w:sz="0" w:space="0" w:color="auto"/>
        <w:bottom w:val="none" w:sz="0" w:space="0" w:color="auto"/>
        <w:right w:val="none" w:sz="0" w:space="0" w:color="auto"/>
      </w:divBdr>
      <w:divsChild>
        <w:div w:id="114640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1864</Words>
  <Characters>10253</Characters>
  <Application>Microsoft Office Word</Application>
  <DocSecurity>0</DocSecurity>
  <Lines>85</Lines>
  <Paragraphs>24</Paragraphs>
  <ScaleCrop>false</ScaleCrop>
  <HeadingPairs>
    <vt:vector size="2" baseType="variant">
      <vt:variant>
        <vt:lpstr>Titre</vt:lpstr>
      </vt:variant>
      <vt:variant>
        <vt:i4>1</vt:i4>
      </vt:variant>
    </vt:vector>
  </HeadingPairs>
  <TitlesOfParts>
    <vt:vector size="1" baseType="lpstr">
      <vt:lpstr>Supplementary materials</vt:lpstr>
    </vt:vector>
  </TitlesOfParts>
  <Company/>
  <LinksUpToDate>false</LinksUpToDate>
  <CharactersWithSpaces>12093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materials</dc:title>
  <dc:subject/>
  <dc:creator>Olena</dc:creator>
  <cp:keywords/>
  <dc:description/>
  <cp:lastModifiedBy>Olena</cp:lastModifiedBy>
  <cp:revision>16</cp:revision>
  <dcterms:created xsi:type="dcterms:W3CDTF">2019-10-19T10:04:00Z</dcterms:created>
  <dcterms:modified xsi:type="dcterms:W3CDTF">2019-10-30T09:26:00Z</dcterms:modified>
</cp:coreProperties>
</file>