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77AB4" w14:textId="77777777" w:rsidR="00773F30" w:rsidRPr="00FC2A51" w:rsidRDefault="00773F30" w:rsidP="00773F30">
      <w:pPr>
        <w:spacing w:line="360" w:lineRule="auto"/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r>
        <w:rPr>
          <w:rFonts w:asciiTheme="majorHAnsi" w:hAnsiTheme="majorHAnsi" w:cstheme="majorHAnsi"/>
          <w:b/>
          <w:sz w:val="32"/>
          <w:szCs w:val="32"/>
          <w:lang w:val="en-US"/>
        </w:rPr>
        <w:t>A c</w:t>
      </w:r>
      <w:r w:rsidRPr="00DD45FE">
        <w:rPr>
          <w:rFonts w:asciiTheme="majorHAnsi" w:hAnsiTheme="majorHAnsi" w:cstheme="majorHAnsi"/>
          <w:b/>
          <w:sz w:val="32"/>
          <w:szCs w:val="32"/>
          <w:lang w:val="en-US"/>
        </w:rPr>
        <w:t xml:space="preserve">ommon neural substrate for </w:t>
      </w:r>
      <w:r>
        <w:rPr>
          <w:rFonts w:asciiTheme="majorHAnsi" w:hAnsiTheme="majorHAnsi" w:cstheme="majorHAnsi"/>
          <w:b/>
          <w:sz w:val="32"/>
          <w:szCs w:val="32"/>
          <w:lang w:val="en-US"/>
        </w:rPr>
        <w:t>processing</w:t>
      </w:r>
      <w:r w:rsidRPr="00DD45FE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r>
        <w:rPr>
          <w:rFonts w:asciiTheme="majorHAnsi" w:hAnsiTheme="majorHAnsi" w:cstheme="majorHAnsi"/>
          <w:b/>
          <w:sz w:val="32"/>
          <w:szCs w:val="32"/>
          <w:lang w:val="en-US"/>
        </w:rPr>
        <w:t>scenes and</w:t>
      </w:r>
      <w:r w:rsidRPr="00DD45FE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DD45FE">
        <w:rPr>
          <w:rFonts w:asciiTheme="majorHAnsi" w:hAnsiTheme="majorHAnsi" w:cstheme="majorHAnsi"/>
          <w:b/>
          <w:sz w:val="32"/>
          <w:szCs w:val="32"/>
          <w:lang w:val="en-US"/>
        </w:rPr>
        <w:t>egomotion</w:t>
      </w:r>
      <w:proofErr w:type="spellEnd"/>
      <w:r w:rsidRPr="00DD45FE">
        <w:rPr>
          <w:rFonts w:asciiTheme="majorHAnsi" w:hAnsiTheme="majorHAnsi" w:cstheme="majorHAnsi"/>
          <w:b/>
          <w:sz w:val="32"/>
          <w:szCs w:val="32"/>
          <w:lang w:val="en-US"/>
        </w:rPr>
        <w:t>-</w:t>
      </w:r>
      <w:r>
        <w:rPr>
          <w:rFonts w:asciiTheme="majorHAnsi" w:hAnsiTheme="majorHAnsi" w:cstheme="majorHAnsi"/>
          <w:b/>
          <w:sz w:val="32"/>
          <w:szCs w:val="32"/>
          <w:lang w:val="en-US"/>
        </w:rPr>
        <w:t xml:space="preserve">compatible visual motion </w:t>
      </w:r>
    </w:p>
    <w:p w14:paraId="66EB0FF3" w14:textId="31B4EB27" w:rsidR="00773F30" w:rsidRPr="002323E1" w:rsidRDefault="00773F30" w:rsidP="00773F30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2323E1">
        <w:rPr>
          <w:rFonts w:asciiTheme="majorHAnsi" w:hAnsiTheme="majorHAnsi" w:cstheme="majorHAnsi"/>
          <w:sz w:val="24"/>
          <w:szCs w:val="24"/>
        </w:rPr>
        <w:t>Valentina Sulpizio, Gaspare Galati,</w:t>
      </w:r>
      <w:r w:rsidRPr="002323E1">
        <w:rPr>
          <w:rFonts w:asciiTheme="majorHAnsi" w:hAnsiTheme="majorHAnsi" w:cstheme="majorHAnsi"/>
          <w:sz w:val="24"/>
          <w:szCs w:val="24"/>
          <w:vertAlign w:val="superscript"/>
        </w:rPr>
        <w:t xml:space="preserve"> </w:t>
      </w:r>
      <w:r w:rsidRPr="002323E1">
        <w:rPr>
          <w:rFonts w:asciiTheme="majorHAnsi" w:hAnsiTheme="majorHAnsi" w:cstheme="majorHAnsi"/>
          <w:sz w:val="24"/>
          <w:szCs w:val="24"/>
        </w:rPr>
        <w:t xml:space="preserve">Patrizia Fattori, Claudio Galletti, and Sabrina </w:t>
      </w:r>
      <w:proofErr w:type="spellStart"/>
      <w:r w:rsidRPr="002323E1">
        <w:rPr>
          <w:rFonts w:asciiTheme="majorHAnsi" w:hAnsiTheme="majorHAnsi" w:cstheme="majorHAnsi"/>
          <w:sz w:val="24"/>
          <w:szCs w:val="24"/>
        </w:rPr>
        <w:t>Pitzalis</w:t>
      </w:r>
      <w:proofErr w:type="spellEnd"/>
    </w:p>
    <w:p w14:paraId="1E4755E8" w14:textId="77777777" w:rsidR="00773F30" w:rsidRPr="002323E1" w:rsidRDefault="00773F30" w:rsidP="00913AC3">
      <w:pPr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430C3A6" w14:textId="003577F3" w:rsidR="009B3A2B" w:rsidRPr="002323E1" w:rsidRDefault="009B3A2B" w:rsidP="00913AC3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2323E1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US"/>
        </w:rPr>
        <w:t>Supplementary Materials</w:t>
      </w:r>
    </w:p>
    <w:p w14:paraId="3C1E2206" w14:textId="77777777" w:rsidR="009B3A2B" w:rsidRPr="002323E1" w:rsidRDefault="009B3A2B" w:rsidP="000A33AC">
      <w:pPr>
        <w:jc w:val="both"/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</w:pPr>
    </w:p>
    <w:p w14:paraId="3EA87876" w14:textId="494C6E80" w:rsidR="009B3A2B" w:rsidRPr="002323E1" w:rsidRDefault="009B3A2B" w:rsidP="000A33AC">
      <w:pPr>
        <w:jc w:val="both"/>
        <w:rPr>
          <w:rFonts w:asciiTheme="majorHAnsi" w:hAnsiTheme="majorHAnsi" w:cstheme="majorHAnsi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323E1">
        <w:rPr>
          <w:rFonts w:asciiTheme="majorHAnsi" w:hAnsiTheme="majorHAnsi" w:cstheme="majorHAnsi"/>
          <w:b/>
          <w:bCs/>
          <w:color w:val="222222"/>
          <w:sz w:val="24"/>
          <w:szCs w:val="24"/>
          <w:shd w:val="clear" w:color="auto" w:fill="FFFFFF"/>
          <w:lang w:val="en-US"/>
        </w:rPr>
        <w:t>Psychophysical Validation</w:t>
      </w:r>
    </w:p>
    <w:p w14:paraId="4713BA1B" w14:textId="110CEB4A" w:rsidR="00913AC3" w:rsidRPr="002323E1" w:rsidRDefault="007C177F" w:rsidP="00913AC3">
      <w:pPr>
        <w:jc w:val="both"/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</w:pP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i</w:t>
      </w:r>
      <w:r w:rsidR="00DD768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n this study, </w:t>
      </w:r>
      <w:r w:rsidR="00B83B0E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we have performed a psychophysical validation </w:t>
      </w:r>
      <w:r w:rsidR="00913AC3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of </w:t>
      </w:r>
      <w:r w:rsidR="00B83B0E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the two visual motion stimuli (flow fields and radial rings</w:t>
      </w:r>
      <w:r w:rsidR="00913AC3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, see Figure 1B-C</w:t>
      </w:r>
      <w:r w:rsidR="00B83B0E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) to verify and quantify the motion sensation experienced by our subjects. Due to the covid-19 pandemic, we had to opt for an online psychophysics</w:t>
      </w:r>
      <w:r w:rsidR="007B5FE8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="00DC643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We administered a 3-item on-line questionnaire where w</w:t>
      </w:r>
      <w:r w:rsidR="00B83B0E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e tested separately the ON</w:t>
      </w:r>
      <w:r w:rsidR="00913AC3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 and OFF phases of flow fields (i.e., coherent optic flow and random motion, respectively) and the ON phase of radial rings (i.e., radial motion). </w:t>
      </w:r>
      <w:r w:rsidR="00B83B0E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Specifically, we asked a group of independent raters (N = 14) to evaluate the intensity of self-motion sensation (SMS) and object-motion sensation (OMS) evoked by </w:t>
      </w:r>
      <w:r w:rsidR="00913AC3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these three distinct motion stimuli through a ten-point Likert scale (no sensation – very high sensation). We then computed the medial value, so that scores lower than 5 indicated “low” sensation” and scores higher than 5 indicated “high” sensation. </w:t>
      </w:r>
    </w:p>
    <w:p w14:paraId="10430E57" w14:textId="109587DC" w:rsidR="0085789D" w:rsidRPr="002323E1" w:rsidRDefault="0085789D" w:rsidP="00B1576D">
      <w:pPr>
        <w:jc w:val="both"/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</w:pPr>
    </w:p>
    <w:p w14:paraId="7D84DD85" w14:textId="2CDBB164" w:rsidR="0085789D" w:rsidRPr="002323E1" w:rsidRDefault="0085789D" w:rsidP="00B1576D">
      <w:pPr>
        <w:jc w:val="both"/>
        <w:rPr>
          <w:rFonts w:asciiTheme="majorHAnsi" w:hAnsiTheme="majorHAnsi" w:cstheme="majorHAnsi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323E1">
        <w:rPr>
          <w:rFonts w:asciiTheme="majorHAnsi" w:hAnsiTheme="majorHAnsi" w:cstheme="majorHAnsi"/>
          <w:b/>
          <w:bCs/>
          <w:color w:val="222222"/>
          <w:sz w:val="24"/>
          <w:szCs w:val="24"/>
          <w:shd w:val="clear" w:color="auto" w:fill="FFFFFF"/>
          <w:lang w:val="en-US"/>
        </w:rPr>
        <w:t>Results</w:t>
      </w:r>
    </w:p>
    <w:p w14:paraId="033104D3" w14:textId="3DB8DB67" w:rsidR="0085789D" w:rsidRPr="002323E1" w:rsidRDefault="0085789D" w:rsidP="00B1576D">
      <w:pPr>
        <w:jc w:val="both"/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</w:pPr>
      <w:r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Supplementary Figure </w:t>
      </w:r>
      <w:r w:rsidR="008D578C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3</w:t>
      </w: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 shows</w:t>
      </w:r>
      <w:r w:rsidR="008D578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 the median</w:t>
      </w: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 scores across subjects, for SMS and OMS in flow fields (two conditions: coherent optic flow and random motion) and radial rings (one condition: radial motion). Note that the SMS and OMS scores are absent for the OFF phase of radial rings because this condition only includes static frames.</w:t>
      </w:r>
    </w:p>
    <w:p w14:paraId="61FFBB8C" w14:textId="2F891B63" w:rsidR="006C7290" w:rsidRPr="002323E1" w:rsidRDefault="0085789D" w:rsidP="000A33AC">
      <w:pPr>
        <w:jc w:val="both"/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</w:pP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During coherent motion</w:t>
      </w:r>
      <w:r w:rsidR="000A33A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 (ON phase in flow fields) </w:t>
      </w: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participants judged higher SMS (median value = 6.5) as compared to OMS (median value = 4), although the difference between these scores were not significant (t </w:t>
      </w: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vertAlign w:val="subscript"/>
          <w:lang w:val="en-US"/>
        </w:rPr>
        <w:t>13</w:t>
      </w: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 = 1.26; p = 0.26).</w:t>
      </w:r>
      <w:r w:rsidR="000A33A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 During random motion (OFF phase in flow fields) participants judged a pure OMS (median value = 9) being the SMS almost absent (median value = 0.5); the difference between OMS and SMS is highly significant (t </w:t>
      </w:r>
      <w:r w:rsidR="000A33A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vertAlign w:val="subscript"/>
          <w:lang w:val="en-US"/>
        </w:rPr>
        <w:t>13</w:t>
      </w:r>
      <w:r w:rsidR="000A33A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 = 14.02; p = 3.16 x 10</w:t>
      </w:r>
      <w:r w:rsidR="000A33A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vertAlign w:val="superscript"/>
          <w:lang w:val="en-US"/>
        </w:rPr>
        <w:t>-9</w:t>
      </w:r>
      <w:r w:rsidR="000A33AC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). </w:t>
      </w:r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 xml:space="preserve">These results indicate that the coherent optic flow stimuli evoke both object and self-motion sensations. However, since the random motion evokes strong object motion but any self-motion sensation, our contrast coherent &gt; random is in practice extremely effective in isolating the self-motion component. In support of this, we recently showed that at single-subject level, the flow field stimulus activated a network of six egomotion-selective areas (V6+, V3A,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>IPSmot</w:t>
      </w:r>
      <w:proofErr w:type="spellEnd"/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 xml:space="preserve">/VIP,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>pCi</w:t>
      </w:r>
      <w:proofErr w:type="spellEnd"/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 xml:space="preserve">, PIC, and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>CSv</w:t>
      </w:r>
      <w:proofErr w:type="spellEnd"/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 xml:space="preserve">; see </w:t>
      </w:r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Serra et al. 2019</w:t>
      </w:r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>) similar to that identified by Smith and coworkers using an egomotion-consistent/inconsistent stimulation (</w:t>
      </w:r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Wall et al. 2008; Cardin and Smith, 2010</w:t>
      </w:r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 xml:space="preserve">). Note that a strict comparison between the two visual stimuli cannot be done since there are no previous studies which have tested whether this egomotion-consistent/inconsistent stimulation induces self-motion and/or object motion as the flow field stimulus. Overall, combining all these observations, we think that the two optic flow stimulations, </w:t>
      </w:r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lastRenderedPageBreak/>
        <w:t>flow fields (</w:t>
      </w:r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Pitzalis et al., 2010;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Pitzalis</w:t>
      </w:r>
      <w:proofErr w:type="spellEnd"/>
      <w:r w:rsidR="00B82C85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, </w:t>
      </w:r>
      <w:proofErr w:type="spellStart"/>
      <w:r w:rsidR="00B82C85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Bozzacchi</w:t>
      </w:r>
      <w:proofErr w:type="spellEnd"/>
      <w:r w:rsidR="00B82C85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 </w:t>
      </w:r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et al., 2013;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Pitzalis</w:t>
      </w:r>
      <w:proofErr w:type="spellEnd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,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Fattori</w:t>
      </w:r>
      <w:proofErr w:type="spellEnd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, &amp;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Galletti</w:t>
      </w:r>
      <w:proofErr w:type="spellEnd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, 2013;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Pitzalis</w:t>
      </w:r>
      <w:proofErr w:type="spellEnd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, 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Sdoia</w:t>
      </w:r>
      <w:proofErr w:type="spellEnd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, et al., 2013; Pitzalis, Sereno, et al., 2013</w:t>
      </w:r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>), and egomotion-compatible/incompatible stimuli (</w:t>
      </w:r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Cardin &amp; Smith, 2010; Wall &amp; Smith, 2008</w:t>
      </w:r>
      <w:r w:rsidR="006C7290" w:rsidRPr="002323E1">
        <w:rPr>
          <w:rFonts w:asciiTheme="majorHAnsi" w:eastAsia="Times New Roman" w:hAnsiTheme="majorHAnsi" w:cstheme="majorHAnsi"/>
          <w:color w:val="222222"/>
          <w:sz w:val="24"/>
          <w:szCs w:val="24"/>
          <w:shd w:val="clear" w:color="auto" w:fill="FFFFFF"/>
          <w:lang w:val="en-US" w:eastAsia="it-IT"/>
        </w:rPr>
        <w:t>), are comparable according to their sensitivity to map a network of egomotion-related areas.</w:t>
      </w:r>
    </w:p>
    <w:p w14:paraId="6D66DBD2" w14:textId="179F4959" w:rsidR="00A32895" w:rsidRPr="002323E1" w:rsidRDefault="000A33AC" w:rsidP="002323E1">
      <w:pPr>
        <w:jc w:val="both"/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</w:pP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During radial motion (ON phase in radial rings) participants judged SMS as very low (median value = 1) and OMS as very high (median value = 7.5). Paired t test revealed a significant difference between these scores (t 13 = 5.34; p = 1.33 x 10</w:t>
      </w: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vertAlign w:val="superscript"/>
          <w:lang w:val="en-US"/>
        </w:rPr>
        <w:t>-4</w:t>
      </w:r>
      <w:r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 xml:space="preserve">). </w:t>
      </w:r>
      <w:r w:rsidR="006C7290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We previously observed that this stimulus produced no illusory perception of self-motion (</w:t>
      </w:r>
      <w:proofErr w:type="spellStart"/>
      <w:r w:rsidR="006C7290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vection</w:t>
      </w:r>
      <w:proofErr w:type="spellEnd"/>
      <w:r w:rsidR="006C7290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) (</w:t>
      </w:r>
      <w:proofErr w:type="spellStart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>Pitzalis</w:t>
      </w:r>
      <w:proofErr w:type="spellEnd"/>
      <w:r w:rsidR="006C7290" w:rsidRPr="002323E1">
        <w:rPr>
          <w:rFonts w:asciiTheme="majorHAnsi" w:eastAsia="Times New Roman" w:hAnsiTheme="majorHAnsi" w:cstheme="majorHAnsi"/>
          <w:color w:val="0000FF"/>
          <w:sz w:val="24"/>
          <w:szCs w:val="24"/>
          <w:lang w:val="en-US" w:eastAsia="it-IT"/>
        </w:rPr>
        <w:t xml:space="preserve"> et al. 2010</w:t>
      </w:r>
      <w:r w:rsidR="006C7290" w:rsidRPr="002323E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lang w:val="en-US"/>
        </w:rPr>
        <w:t>), as reported verbally by the subjects after each session. Present results confirmed that the quantify of self-motion sensation evoked by the radial ring stimulus is very low.</w:t>
      </w:r>
    </w:p>
    <w:p w14:paraId="4C95F38D" w14:textId="1E745EDF" w:rsidR="002323E1" w:rsidRPr="002323E1" w:rsidRDefault="00A32895" w:rsidP="002323E1">
      <w:pPr>
        <w:spacing w:before="480" w:after="240" w:line="360" w:lineRule="auto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2323E1">
        <w:rPr>
          <w:rFonts w:asciiTheme="majorHAnsi" w:hAnsiTheme="majorHAnsi" w:cstheme="majorHAnsi"/>
          <w:b/>
          <w:sz w:val="24"/>
          <w:szCs w:val="24"/>
          <w:lang w:val="en-US"/>
        </w:rPr>
        <w:t xml:space="preserve">Bibliography </w:t>
      </w:r>
    </w:p>
    <w:p w14:paraId="5F6B5E2A" w14:textId="77777777" w:rsidR="002323E1" w:rsidRPr="002323E1" w:rsidRDefault="002323E1" w:rsidP="002323E1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Cardin V, Smith AT (2010) Sensitivity of human visual and vestibular cortical regions to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egomotion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-compatible visual stimulation. Cerebral Cortex 20:1964–1973, http://doi.org/10.1093/cercor/bhp268. </w:t>
      </w:r>
    </w:p>
    <w:p w14:paraId="12EC5187" w14:textId="6F4531D7" w:rsidR="00A32895" w:rsidRPr="00035A86" w:rsidRDefault="00A32895" w:rsidP="00A32895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Pitzalis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S, Sereno MI,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Committeri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G,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Fattori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P, Galati G, Patria F,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Galletti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C (2010) Human v6: the medial motion area. </w:t>
      </w:r>
      <w:r w:rsidRPr="00035A86">
        <w:rPr>
          <w:rFonts w:asciiTheme="majorHAnsi" w:hAnsiTheme="majorHAnsi" w:cstheme="majorHAnsi"/>
          <w:sz w:val="24"/>
          <w:szCs w:val="24"/>
        </w:rPr>
        <w:t>Cereb Cortex 20:411–424. doi:10.1093/cercor/bhp112.</w:t>
      </w:r>
    </w:p>
    <w:p w14:paraId="6270EE17" w14:textId="77777777" w:rsidR="00B82C85" w:rsidRPr="00B82C85" w:rsidRDefault="00B82C85" w:rsidP="00B82C85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B82C85">
        <w:rPr>
          <w:rFonts w:asciiTheme="majorHAnsi" w:hAnsiTheme="majorHAnsi" w:cstheme="majorHAnsi"/>
          <w:sz w:val="24"/>
          <w:szCs w:val="24"/>
        </w:rPr>
        <w:t>Pitzalis</w:t>
      </w:r>
      <w:proofErr w:type="spellEnd"/>
      <w:r w:rsidRPr="00B82C85">
        <w:rPr>
          <w:rFonts w:asciiTheme="majorHAnsi" w:hAnsiTheme="majorHAnsi" w:cstheme="majorHAnsi"/>
          <w:sz w:val="24"/>
          <w:szCs w:val="24"/>
        </w:rPr>
        <w:t xml:space="preserve">, S., Bozzacchi, C., </w:t>
      </w:r>
      <w:proofErr w:type="spellStart"/>
      <w:r w:rsidRPr="00B82C85">
        <w:rPr>
          <w:rFonts w:asciiTheme="majorHAnsi" w:hAnsiTheme="majorHAnsi" w:cstheme="majorHAnsi"/>
          <w:sz w:val="24"/>
          <w:szCs w:val="24"/>
        </w:rPr>
        <w:t>Bultrini</w:t>
      </w:r>
      <w:proofErr w:type="spellEnd"/>
      <w:r w:rsidRPr="00B82C85">
        <w:rPr>
          <w:rFonts w:asciiTheme="majorHAnsi" w:hAnsiTheme="majorHAnsi" w:cstheme="majorHAnsi"/>
          <w:sz w:val="24"/>
          <w:szCs w:val="24"/>
        </w:rPr>
        <w:t xml:space="preserve">, A., Fattori, P., Galletti, C., &amp; Di Russo, F. (2013). </w:t>
      </w:r>
      <w:r w:rsidRPr="00B82C85">
        <w:rPr>
          <w:rFonts w:asciiTheme="majorHAnsi" w:hAnsiTheme="majorHAnsi" w:cstheme="majorHAnsi"/>
          <w:sz w:val="24"/>
          <w:szCs w:val="24"/>
          <w:lang w:val="en-US"/>
        </w:rPr>
        <w:t xml:space="preserve">Parallel motion signals to the medial and lateral motion areas V6 and MT+. </w:t>
      </w:r>
      <w:proofErr w:type="spellStart"/>
      <w:r w:rsidRPr="00B82C85">
        <w:rPr>
          <w:rFonts w:asciiTheme="majorHAnsi" w:hAnsiTheme="majorHAnsi" w:cstheme="majorHAnsi"/>
          <w:sz w:val="24"/>
          <w:szCs w:val="24"/>
        </w:rPr>
        <w:t>NeuroImage</w:t>
      </w:r>
      <w:proofErr w:type="spellEnd"/>
      <w:r w:rsidRPr="00B82C85">
        <w:rPr>
          <w:rFonts w:asciiTheme="majorHAnsi" w:hAnsiTheme="majorHAnsi" w:cstheme="majorHAnsi"/>
          <w:sz w:val="24"/>
          <w:szCs w:val="24"/>
        </w:rPr>
        <w:t xml:space="preserve">, 67, 89–100. http://doi.org/10.1016/j. neuroimage.2012.11.022 </w:t>
      </w:r>
    </w:p>
    <w:p w14:paraId="4F857C1F" w14:textId="540926CC" w:rsidR="00B82C85" w:rsidRPr="00035A86" w:rsidRDefault="00B82C85" w:rsidP="00B82C85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B82C85">
        <w:rPr>
          <w:rFonts w:asciiTheme="majorHAnsi" w:hAnsiTheme="majorHAnsi" w:cstheme="majorHAnsi"/>
          <w:sz w:val="24"/>
          <w:szCs w:val="24"/>
        </w:rPr>
        <w:t>Pitzalis</w:t>
      </w:r>
      <w:proofErr w:type="spellEnd"/>
      <w:r w:rsidRPr="00B82C85">
        <w:rPr>
          <w:rFonts w:asciiTheme="majorHAnsi" w:hAnsiTheme="majorHAnsi" w:cstheme="majorHAnsi"/>
          <w:sz w:val="24"/>
          <w:szCs w:val="24"/>
        </w:rPr>
        <w:t xml:space="preserve">, S., Fattori, P., &amp; Galletti, C. (2013). </w:t>
      </w:r>
      <w:r w:rsidRPr="00B82C85">
        <w:rPr>
          <w:rFonts w:asciiTheme="majorHAnsi" w:hAnsiTheme="majorHAnsi" w:cstheme="majorHAnsi"/>
          <w:sz w:val="24"/>
          <w:szCs w:val="24"/>
          <w:lang w:val="en-US"/>
        </w:rPr>
        <w:t xml:space="preserve">The functional role of the medial motion area V6. </w:t>
      </w:r>
      <w:r w:rsidRPr="00035A86">
        <w:rPr>
          <w:rFonts w:asciiTheme="majorHAnsi" w:hAnsiTheme="majorHAnsi" w:cstheme="majorHAnsi"/>
          <w:sz w:val="24"/>
          <w:szCs w:val="24"/>
          <w:lang w:val="en-US"/>
        </w:rPr>
        <w:t xml:space="preserve">Frontiers in Behavioral Neuroscience, 6, 91. http://doi.org/10.3389/fnbeh.2012.00091 </w:t>
      </w:r>
    </w:p>
    <w:p w14:paraId="1EB7CCFA" w14:textId="7B0987CD" w:rsidR="00A32895" w:rsidRPr="00035A86" w:rsidRDefault="00A32895" w:rsidP="00A32895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035A86">
        <w:rPr>
          <w:rFonts w:asciiTheme="majorHAnsi" w:hAnsiTheme="majorHAnsi" w:cstheme="majorHAnsi"/>
          <w:sz w:val="24"/>
          <w:szCs w:val="24"/>
          <w:lang w:val="en-US"/>
        </w:rPr>
        <w:t xml:space="preserve">Pitzalis S, Sereno MI, Committeri G, Fattori P, Galati G, Tosoni A, Galletti, C (2013) The human homologue of macaque area V6A. Neuroimage 82:517–530. </w:t>
      </w:r>
    </w:p>
    <w:p w14:paraId="76B45286" w14:textId="5359375A" w:rsidR="00A32895" w:rsidRPr="002323E1" w:rsidRDefault="00A32895" w:rsidP="00773F30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Pitzalis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S,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Sdoia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S,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Bultrini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A,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Committeri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G, Di Russo F,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Fattori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P, Galati G (2013) Selectivity to translational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egomotion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in human brain motion areas.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PLoS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One 8:1–14. http://doi.org/10.1371/journal. pone.0060241.</w:t>
      </w:r>
    </w:p>
    <w:p w14:paraId="5E5B17AD" w14:textId="77777777" w:rsidR="00A32895" w:rsidRPr="002323E1" w:rsidRDefault="00A32895" w:rsidP="00A32895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Serra C,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Galletti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C, Di Marco S,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Fattori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P, Galati G, Sulpizio V,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Pitzalis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 xml:space="preserve"> S (2019) </w:t>
      </w:r>
      <w:proofErr w:type="spellStart"/>
      <w:r w:rsidRPr="002323E1">
        <w:rPr>
          <w:rFonts w:asciiTheme="majorHAnsi" w:hAnsiTheme="majorHAnsi" w:cstheme="majorHAnsi"/>
          <w:sz w:val="24"/>
          <w:szCs w:val="24"/>
          <w:lang w:val="en-US"/>
        </w:rPr>
        <w:t>Egomotion</w:t>
      </w:r>
      <w:proofErr w:type="spellEnd"/>
      <w:r w:rsidRPr="002323E1">
        <w:rPr>
          <w:rFonts w:asciiTheme="majorHAnsi" w:hAnsiTheme="majorHAnsi" w:cstheme="majorHAnsi"/>
          <w:sz w:val="24"/>
          <w:szCs w:val="24"/>
          <w:lang w:val="en-US"/>
        </w:rPr>
        <w:t>-related visual areas respond to active leg movements. Hum Brain Mapp 40:3174–3191.</w:t>
      </w:r>
    </w:p>
    <w:p w14:paraId="7ACC5DDC" w14:textId="4C732A28" w:rsidR="00A32895" w:rsidRPr="00DD2B85" w:rsidRDefault="00A32895" w:rsidP="00DD2B85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A32895">
        <w:rPr>
          <w:rFonts w:asciiTheme="majorHAnsi" w:hAnsiTheme="majorHAnsi" w:cstheme="majorHAnsi"/>
          <w:sz w:val="24"/>
          <w:szCs w:val="24"/>
          <w:lang w:val="en-US"/>
        </w:rPr>
        <w:t xml:space="preserve">Wall, M. B., &amp; Smith, A. T. (2008). The representation of </w:t>
      </w:r>
      <w:proofErr w:type="spellStart"/>
      <w:r w:rsidRPr="00A32895">
        <w:rPr>
          <w:rFonts w:asciiTheme="majorHAnsi" w:hAnsiTheme="majorHAnsi" w:cstheme="majorHAnsi"/>
          <w:sz w:val="24"/>
          <w:szCs w:val="24"/>
          <w:lang w:val="en-US"/>
        </w:rPr>
        <w:t>egomotion</w:t>
      </w:r>
      <w:proofErr w:type="spellEnd"/>
      <w:r w:rsidRPr="00A32895">
        <w:rPr>
          <w:rFonts w:asciiTheme="majorHAnsi" w:hAnsiTheme="majorHAnsi" w:cstheme="majorHAnsi"/>
          <w:sz w:val="24"/>
          <w:szCs w:val="24"/>
          <w:lang w:val="en-US"/>
        </w:rPr>
        <w:t xml:space="preserve"> in the human brain. Current Biology, 18(3), 191–194. http://doi.org/10.1016/ j.cub.2007.12.053 </w:t>
      </w:r>
    </w:p>
    <w:sectPr w:rsidR="00A32895" w:rsidRPr="00DD2B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2B"/>
    <w:rsid w:val="00035A86"/>
    <w:rsid w:val="000A33AC"/>
    <w:rsid w:val="000B70EC"/>
    <w:rsid w:val="000E7506"/>
    <w:rsid w:val="002323E1"/>
    <w:rsid w:val="00243796"/>
    <w:rsid w:val="00311FD3"/>
    <w:rsid w:val="004918D8"/>
    <w:rsid w:val="00522529"/>
    <w:rsid w:val="00540DB9"/>
    <w:rsid w:val="00575057"/>
    <w:rsid w:val="005B145D"/>
    <w:rsid w:val="00646FE4"/>
    <w:rsid w:val="006C7290"/>
    <w:rsid w:val="00773F30"/>
    <w:rsid w:val="007B5FE8"/>
    <w:rsid w:val="007C177F"/>
    <w:rsid w:val="00801103"/>
    <w:rsid w:val="0085789D"/>
    <w:rsid w:val="0089754D"/>
    <w:rsid w:val="008C2CED"/>
    <w:rsid w:val="008D578C"/>
    <w:rsid w:val="008E26CC"/>
    <w:rsid w:val="00913AC3"/>
    <w:rsid w:val="00934BB5"/>
    <w:rsid w:val="00985780"/>
    <w:rsid w:val="009B012D"/>
    <w:rsid w:val="009B3A2B"/>
    <w:rsid w:val="009C648F"/>
    <w:rsid w:val="00A00FC3"/>
    <w:rsid w:val="00A32895"/>
    <w:rsid w:val="00A71813"/>
    <w:rsid w:val="00B1576D"/>
    <w:rsid w:val="00B82C85"/>
    <w:rsid w:val="00B83B0E"/>
    <w:rsid w:val="00B94C0B"/>
    <w:rsid w:val="00BF42C0"/>
    <w:rsid w:val="00CC48DD"/>
    <w:rsid w:val="00D16D7B"/>
    <w:rsid w:val="00D70C64"/>
    <w:rsid w:val="00DC643C"/>
    <w:rsid w:val="00DD2B85"/>
    <w:rsid w:val="00DD768C"/>
    <w:rsid w:val="00F56BBB"/>
    <w:rsid w:val="00F8280B"/>
    <w:rsid w:val="00F8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5E97"/>
  <w15:chartTrackingRefBased/>
  <w15:docId w15:val="{7B9D1246-D1A7-44CB-B970-28B3956A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A2B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9B3A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B3A2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B3A2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3A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3A2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D578C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A3289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B82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7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8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Sabrina</dc:creator>
  <cp:keywords/>
  <dc:description/>
  <cp:lastModifiedBy>Valentina Sulpizio</cp:lastModifiedBy>
  <cp:revision>2</cp:revision>
  <dcterms:created xsi:type="dcterms:W3CDTF">2020-06-09T18:52:00Z</dcterms:created>
  <dcterms:modified xsi:type="dcterms:W3CDTF">2020-06-09T18:52:00Z</dcterms:modified>
</cp:coreProperties>
</file>