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61059" w14:textId="7C0BA4ED" w:rsidR="00054585" w:rsidRDefault="006D3B84" w:rsidP="00AC69E4">
      <w:pPr>
        <w:jc w:val="both"/>
        <w:rPr>
          <w:rFonts w:asciiTheme="majorHAnsi" w:hAnsiTheme="majorHAnsi" w:cstheme="majorHAnsi"/>
          <w:b/>
          <w:color w:val="000000" w:themeColor="text1"/>
          <w:sz w:val="32"/>
          <w:u w:val="single"/>
          <w:lang w:val="en-US"/>
        </w:rPr>
      </w:pPr>
      <w:r>
        <w:rPr>
          <w:rFonts w:asciiTheme="majorHAnsi" w:hAnsiTheme="majorHAnsi" w:cstheme="majorHAnsi"/>
          <w:b/>
          <w:color w:val="000000" w:themeColor="text1"/>
          <w:sz w:val="32"/>
          <w:u w:val="single"/>
          <w:lang w:val="en-US"/>
        </w:rPr>
        <w:t>Supplementary Material</w:t>
      </w:r>
    </w:p>
    <w:p w14:paraId="39E31894" w14:textId="77777777" w:rsidR="005F568E" w:rsidRDefault="005F568E" w:rsidP="00AC69E4">
      <w:pPr>
        <w:jc w:val="both"/>
        <w:rPr>
          <w:rFonts w:asciiTheme="majorHAnsi" w:hAnsiTheme="majorHAnsi" w:cstheme="majorHAnsi"/>
          <w:b/>
          <w:color w:val="000000" w:themeColor="text1"/>
          <w:sz w:val="32"/>
          <w:u w:val="single"/>
          <w:lang w:val="en-US"/>
        </w:rPr>
      </w:pPr>
    </w:p>
    <w:p w14:paraId="1A098754" w14:textId="74B3A347" w:rsidR="003A4BDB" w:rsidRDefault="003A4BDB" w:rsidP="00AC69E4">
      <w:pPr>
        <w:jc w:val="both"/>
        <w:rPr>
          <w:rFonts w:asciiTheme="majorHAnsi" w:hAnsiTheme="majorHAnsi" w:cstheme="majorHAnsi"/>
          <w:i/>
          <w:color w:val="000000" w:themeColor="text1"/>
          <w:lang w:val="en-US"/>
        </w:rPr>
      </w:pPr>
      <w:r w:rsidRPr="007511AD">
        <w:rPr>
          <w:rFonts w:asciiTheme="majorHAnsi" w:hAnsiTheme="majorHAnsi" w:cstheme="majorHAnsi"/>
          <w:i/>
          <w:color w:val="000000" w:themeColor="text1"/>
          <w:lang w:val="en-US"/>
        </w:rPr>
        <w:t xml:space="preserve">Anatomical </w:t>
      </w:r>
      <w:r w:rsidR="00D83C5B">
        <w:rPr>
          <w:rFonts w:asciiTheme="majorHAnsi" w:hAnsiTheme="majorHAnsi" w:cstheme="majorHAnsi"/>
          <w:i/>
          <w:color w:val="000000" w:themeColor="text1"/>
          <w:lang w:val="en-US"/>
        </w:rPr>
        <w:t>C</w:t>
      </w:r>
      <w:r>
        <w:rPr>
          <w:rFonts w:asciiTheme="majorHAnsi" w:hAnsiTheme="majorHAnsi" w:cstheme="majorHAnsi"/>
          <w:i/>
          <w:color w:val="000000" w:themeColor="text1"/>
          <w:lang w:val="en-US"/>
        </w:rPr>
        <w:t>haracterization</w:t>
      </w:r>
      <w:r w:rsidRPr="007511AD">
        <w:rPr>
          <w:rFonts w:asciiTheme="majorHAnsi" w:hAnsiTheme="majorHAnsi" w:cstheme="majorHAnsi"/>
          <w:i/>
          <w:color w:val="000000" w:themeColor="text1"/>
          <w:lang w:val="en-US"/>
        </w:rPr>
        <w:t xml:space="preserve"> of </w:t>
      </w:r>
      <w:r w:rsidR="00D83C5B">
        <w:rPr>
          <w:rFonts w:asciiTheme="majorHAnsi" w:hAnsiTheme="majorHAnsi" w:cstheme="majorHAnsi"/>
          <w:i/>
          <w:color w:val="000000" w:themeColor="text1"/>
          <w:lang w:val="en-US"/>
        </w:rPr>
        <w:t>S</w:t>
      </w:r>
      <w:r w:rsidRPr="007511AD">
        <w:rPr>
          <w:rFonts w:asciiTheme="majorHAnsi" w:hAnsiTheme="majorHAnsi" w:cstheme="majorHAnsi"/>
          <w:i/>
          <w:color w:val="000000" w:themeColor="text1"/>
          <w:lang w:val="en-US"/>
        </w:rPr>
        <w:t xml:space="preserve">ulcal </w:t>
      </w:r>
      <w:r w:rsidR="00D83C5B">
        <w:rPr>
          <w:rFonts w:asciiTheme="majorHAnsi" w:hAnsiTheme="majorHAnsi" w:cstheme="majorHAnsi"/>
          <w:i/>
          <w:color w:val="000000" w:themeColor="text1"/>
          <w:lang w:val="en-US"/>
        </w:rPr>
        <w:t>S</w:t>
      </w:r>
      <w:r w:rsidRPr="007511AD">
        <w:rPr>
          <w:rFonts w:asciiTheme="majorHAnsi" w:hAnsiTheme="majorHAnsi" w:cstheme="majorHAnsi"/>
          <w:i/>
          <w:color w:val="000000" w:themeColor="text1"/>
          <w:lang w:val="en-US"/>
        </w:rPr>
        <w:t>egments</w:t>
      </w:r>
      <w:r>
        <w:rPr>
          <w:rFonts w:asciiTheme="majorHAnsi" w:hAnsiTheme="majorHAnsi" w:cstheme="majorHAnsi"/>
          <w:i/>
          <w:color w:val="000000" w:themeColor="text1"/>
          <w:lang w:val="en-US"/>
        </w:rPr>
        <w:t xml:space="preserve"> based on </w:t>
      </w:r>
      <w:r w:rsidR="00D83C5B">
        <w:rPr>
          <w:rFonts w:asciiTheme="majorHAnsi" w:hAnsiTheme="majorHAnsi" w:cstheme="majorHAnsi"/>
          <w:i/>
          <w:color w:val="000000" w:themeColor="text1"/>
          <w:lang w:val="en-US"/>
        </w:rPr>
        <w:t>M</w:t>
      </w:r>
      <w:r>
        <w:rPr>
          <w:rFonts w:asciiTheme="majorHAnsi" w:hAnsiTheme="majorHAnsi" w:cstheme="majorHAnsi"/>
          <w:i/>
          <w:color w:val="000000" w:themeColor="text1"/>
          <w:lang w:val="en-US"/>
        </w:rPr>
        <w:t xml:space="preserve">orphological </w:t>
      </w:r>
      <w:r w:rsidR="00B251EC">
        <w:rPr>
          <w:rFonts w:asciiTheme="majorHAnsi" w:hAnsiTheme="majorHAnsi" w:cstheme="majorHAnsi"/>
          <w:i/>
          <w:color w:val="000000" w:themeColor="text1"/>
          <w:lang w:val="en-US"/>
        </w:rPr>
        <w:t>T</w:t>
      </w:r>
      <w:r>
        <w:rPr>
          <w:rFonts w:asciiTheme="majorHAnsi" w:hAnsiTheme="majorHAnsi" w:cstheme="majorHAnsi"/>
          <w:i/>
          <w:color w:val="000000" w:themeColor="text1"/>
          <w:lang w:val="en-US"/>
        </w:rPr>
        <w:t>ypes</w:t>
      </w:r>
    </w:p>
    <w:p w14:paraId="38359747" w14:textId="77777777" w:rsidR="00334DB7" w:rsidRPr="00D75C6A" w:rsidRDefault="00334DB7" w:rsidP="00AC69E4">
      <w:pPr>
        <w:jc w:val="both"/>
        <w:rPr>
          <w:rFonts w:asciiTheme="majorHAnsi" w:hAnsiTheme="majorHAnsi" w:cstheme="majorHAnsi"/>
          <w:i/>
          <w:color w:val="000000" w:themeColor="text1"/>
          <w:lang w:val="en-US"/>
        </w:rPr>
      </w:pPr>
    </w:p>
    <w:p w14:paraId="7040763C" w14:textId="06A6AF2C" w:rsidR="00054585" w:rsidRDefault="00F062E3" w:rsidP="00AC69E4">
      <w:pPr>
        <w:jc w:val="both"/>
        <w:rPr>
          <w:rFonts w:asciiTheme="majorHAnsi" w:hAnsiTheme="majorHAnsi" w:cstheme="majorHAnsi"/>
          <w:b/>
          <w:color w:val="000000" w:themeColor="text1"/>
          <w:sz w:val="32"/>
          <w:u w:val="single"/>
          <w:lang w:val="en-US"/>
        </w:rPr>
      </w:pPr>
      <w:r w:rsidRPr="00F062E3">
        <w:rPr>
          <w:rFonts w:asciiTheme="majorHAnsi" w:hAnsiTheme="majorHAnsi" w:cstheme="majorHAnsi"/>
          <w:bCs/>
          <w:noProof/>
          <w:color w:val="000000" w:themeColor="text1"/>
          <w:sz w:val="32"/>
          <w:lang w:val="en-US"/>
        </w:rPr>
        <w:drawing>
          <wp:inline distT="0" distB="0" distL="0" distR="0" wp14:anchorId="439AEB0C" wp14:editId="1492BD07">
            <wp:extent cx="5727700" cy="2968625"/>
            <wp:effectExtent l="0" t="0" r="0" b="3175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201F" w14:textId="2BB72C99" w:rsidR="003A4BDB" w:rsidRDefault="00FE4327" w:rsidP="003A4BDB">
      <w:pPr>
        <w:widowControl w:val="0"/>
        <w:autoSpaceDE w:val="0"/>
        <w:autoSpaceDN w:val="0"/>
        <w:adjustRightInd w:val="0"/>
        <w:jc w:val="both"/>
        <w:rPr>
          <w:rFonts w:ascii="Calibri Light" w:hAnsi="Calibri Light" w:cs="Calibri Light"/>
          <w:noProof/>
          <w:sz w:val="22"/>
          <w:lang w:val="en-US"/>
        </w:rPr>
      </w:pPr>
      <w:r w:rsidRPr="00FE4327">
        <w:rPr>
          <w:rFonts w:ascii="Calibri Light" w:hAnsi="Calibri Light" w:cs="Calibri Light"/>
          <w:b/>
          <w:noProof/>
          <w:sz w:val="22"/>
          <w:lang w:val="en-US"/>
        </w:rPr>
        <w:t>Fig.</w:t>
      </w:r>
      <w:r w:rsidR="003A4BDB" w:rsidRPr="00FE4327">
        <w:rPr>
          <w:rFonts w:ascii="Calibri Light" w:hAnsi="Calibri Light" w:cs="Calibri Light"/>
          <w:b/>
          <w:noProof/>
          <w:sz w:val="22"/>
          <w:lang w:val="en-US"/>
        </w:rPr>
        <w:t xml:space="preserve"> </w:t>
      </w:r>
      <w:r w:rsidR="000E1B01">
        <w:rPr>
          <w:rFonts w:ascii="Calibri Light" w:hAnsi="Calibri Light" w:cs="Calibri Light"/>
          <w:b/>
          <w:noProof/>
          <w:sz w:val="22"/>
          <w:lang w:val="en-US"/>
        </w:rPr>
        <w:t>7</w:t>
      </w:r>
      <w:r w:rsidR="003A4BDB" w:rsidRPr="00054585">
        <w:rPr>
          <w:rFonts w:ascii="Calibri Light" w:hAnsi="Calibri Light" w:cs="Calibri Light"/>
          <w:noProof/>
          <w:sz w:val="22"/>
          <w:lang w:val="en-US"/>
        </w:rPr>
        <w:t xml:space="preserve"> </w:t>
      </w:r>
      <w:r w:rsidR="003A4BDB">
        <w:rPr>
          <w:rFonts w:ascii="Calibri Light" w:hAnsi="Calibri Light" w:cs="Calibri Light"/>
          <w:noProof/>
          <w:sz w:val="22"/>
          <w:lang w:val="en-US"/>
        </w:rPr>
        <w:t>Anatomical measures for sulcal segments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in different morphological types</w:t>
      </w:r>
      <w:r w:rsidR="003A4BDB" w:rsidRPr="00054585">
        <w:rPr>
          <w:rFonts w:ascii="Calibri Light" w:hAnsi="Calibri Light" w:cs="Calibri Light"/>
          <w:noProof/>
          <w:sz w:val="22"/>
          <w:lang w:val="en-US"/>
        </w:rPr>
        <w:t>.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Morphological types refer to the pattern</w:t>
      </w:r>
      <w:r w:rsidR="000E5C77">
        <w:rPr>
          <w:rFonts w:ascii="Calibri Light" w:hAnsi="Calibri Light" w:cs="Calibri Light"/>
          <w:noProof/>
          <w:sz w:val="22"/>
          <w:lang w:val="en-US"/>
        </w:rPr>
        <w:t>s in the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subcentral region as shown in </w:t>
      </w:r>
      <w:r w:rsidR="00CB354A">
        <w:rPr>
          <w:rFonts w:ascii="Calibri Light" w:hAnsi="Calibri Light" w:cs="Calibri Light"/>
          <w:noProof/>
          <w:sz w:val="22"/>
          <w:lang w:val="en-US"/>
        </w:rPr>
        <w:t>Fig.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</w:t>
      </w:r>
      <w:r w:rsidR="00E726B9">
        <w:rPr>
          <w:rFonts w:ascii="Calibri Light" w:hAnsi="Calibri Light" w:cs="Calibri Light"/>
          <w:noProof/>
          <w:sz w:val="22"/>
          <w:lang w:val="en-US"/>
        </w:rPr>
        <w:t>2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. </w:t>
      </w:r>
      <w:r w:rsidR="00CF3589">
        <w:rPr>
          <w:rFonts w:ascii="Calibri Light" w:hAnsi="Calibri Light" w:cs="Calibri Light"/>
          <w:noProof/>
          <w:sz w:val="22"/>
          <w:lang w:val="en-US"/>
        </w:rPr>
        <w:t>For more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details </w:t>
      </w:r>
      <w:r w:rsidR="00CF3589">
        <w:rPr>
          <w:rFonts w:ascii="Calibri Light" w:hAnsi="Calibri Light" w:cs="Calibri Light"/>
          <w:noProof/>
          <w:sz w:val="22"/>
          <w:lang w:val="en-US"/>
        </w:rPr>
        <w:t>on</w:t>
      </w:r>
      <w:r w:rsidR="00E726B9">
        <w:rPr>
          <w:rFonts w:ascii="Calibri Light" w:hAnsi="Calibri Light" w:cs="Calibri Light"/>
          <w:noProof/>
          <w:sz w:val="22"/>
          <w:lang w:val="en-US"/>
        </w:rPr>
        <w:t xml:space="preserve"> the figure description 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see </w:t>
      </w:r>
      <w:r w:rsidR="00CB354A">
        <w:rPr>
          <w:rFonts w:ascii="Calibri Light" w:hAnsi="Calibri Light" w:cs="Calibri Light"/>
          <w:noProof/>
          <w:sz w:val="22"/>
          <w:lang w:val="en-US"/>
        </w:rPr>
        <w:t>Fig.</w:t>
      </w:r>
      <w:r w:rsidR="000C762B">
        <w:rPr>
          <w:rFonts w:ascii="Calibri Light" w:hAnsi="Calibri Light" w:cs="Calibri Light"/>
          <w:noProof/>
          <w:sz w:val="22"/>
          <w:lang w:val="en-US"/>
        </w:rPr>
        <w:t xml:space="preserve"> </w:t>
      </w:r>
      <w:r w:rsidR="00E726B9">
        <w:rPr>
          <w:rFonts w:ascii="Calibri Light" w:hAnsi="Calibri Light" w:cs="Calibri Light"/>
          <w:noProof/>
          <w:sz w:val="22"/>
          <w:lang w:val="en-US"/>
        </w:rPr>
        <w:t>4</w:t>
      </w:r>
      <w:r w:rsidR="000C762B">
        <w:rPr>
          <w:rFonts w:ascii="Calibri Light" w:hAnsi="Calibri Light" w:cs="Calibri Light"/>
          <w:noProof/>
          <w:sz w:val="22"/>
          <w:lang w:val="en-US"/>
        </w:rPr>
        <w:t>.</w:t>
      </w:r>
      <w:r w:rsidR="00CF3589">
        <w:rPr>
          <w:rFonts w:ascii="Calibri Light" w:hAnsi="Calibri Light" w:cs="Calibri Light"/>
          <w:noProof/>
          <w:sz w:val="22"/>
          <w:lang w:val="en-US"/>
        </w:rPr>
        <w:t xml:space="preserve"> Sample sizes underlying each type and hemisphere are provided in Table 1</w:t>
      </w:r>
    </w:p>
    <w:p w14:paraId="45532977" w14:textId="77777777" w:rsidR="003A4BDB" w:rsidRDefault="003A4BDB" w:rsidP="0064533A">
      <w:pPr>
        <w:widowControl w:val="0"/>
        <w:autoSpaceDE w:val="0"/>
        <w:autoSpaceDN w:val="0"/>
        <w:adjustRightInd w:val="0"/>
        <w:jc w:val="both"/>
        <w:rPr>
          <w:rFonts w:ascii="Calibri Light" w:hAnsi="Calibri Light" w:cs="Calibri Light"/>
          <w:noProof/>
          <w:sz w:val="22"/>
          <w:lang w:val="en-US"/>
        </w:rPr>
      </w:pPr>
    </w:p>
    <w:p w14:paraId="1E688C04" w14:textId="77777777" w:rsidR="000256FB" w:rsidRDefault="000256FB" w:rsidP="0064533A">
      <w:pPr>
        <w:widowControl w:val="0"/>
        <w:autoSpaceDE w:val="0"/>
        <w:autoSpaceDN w:val="0"/>
        <w:adjustRightInd w:val="0"/>
        <w:jc w:val="both"/>
        <w:rPr>
          <w:rFonts w:ascii="Calibri Light" w:hAnsi="Calibri Light" w:cs="Calibri Light"/>
          <w:noProof/>
          <w:sz w:val="22"/>
          <w:lang w:val="en-US"/>
        </w:rPr>
      </w:pPr>
    </w:p>
    <w:p w14:paraId="78BD12E8" w14:textId="43F1BF1E" w:rsidR="00134F78" w:rsidRPr="00FE4326" w:rsidRDefault="00134F78" w:rsidP="00FE4326">
      <w:pPr>
        <w:widowControl w:val="0"/>
        <w:autoSpaceDE w:val="0"/>
        <w:autoSpaceDN w:val="0"/>
        <w:adjustRightInd w:val="0"/>
        <w:jc w:val="both"/>
        <w:rPr>
          <w:rFonts w:ascii="Calibri Light" w:hAnsi="Calibri Light" w:cs="Calibri Light"/>
          <w:noProof/>
          <w:sz w:val="22"/>
          <w:lang w:val="en-US"/>
        </w:rPr>
      </w:pPr>
      <w:r w:rsidRPr="00674570">
        <w:rPr>
          <w:rFonts w:asciiTheme="majorHAnsi" w:hAnsiTheme="majorHAnsi" w:cstheme="majorHAnsi"/>
          <w:i/>
          <w:lang w:val="en-US"/>
        </w:rPr>
        <w:t>Regions-of-</w:t>
      </w:r>
      <w:r w:rsidR="00D83C5B">
        <w:rPr>
          <w:rFonts w:asciiTheme="majorHAnsi" w:hAnsiTheme="majorHAnsi" w:cstheme="majorHAnsi"/>
          <w:i/>
          <w:lang w:val="en-US"/>
        </w:rPr>
        <w:t>I</w:t>
      </w:r>
      <w:r w:rsidRPr="00674570">
        <w:rPr>
          <w:rFonts w:asciiTheme="majorHAnsi" w:hAnsiTheme="majorHAnsi" w:cstheme="majorHAnsi"/>
          <w:i/>
          <w:lang w:val="en-US"/>
        </w:rPr>
        <w:t xml:space="preserve">nterest to derive </w:t>
      </w:r>
      <w:r w:rsidR="00D83C5B">
        <w:rPr>
          <w:rFonts w:asciiTheme="majorHAnsi" w:hAnsiTheme="majorHAnsi" w:cstheme="majorHAnsi"/>
          <w:i/>
          <w:lang w:val="en-US"/>
        </w:rPr>
        <w:t>M</w:t>
      </w:r>
      <w:r w:rsidRPr="00674570">
        <w:rPr>
          <w:rFonts w:asciiTheme="majorHAnsi" w:hAnsiTheme="majorHAnsi" w:cstheme="majorHAnsi"/>
          <w:i/>
          <w:lang w:val="en-US"/>
        </w:rPr>
        <w:t xml:space="preserve">axima during </w:t>
      </w:r>
      <w:r w:rsidR="00D83C5B">
        <w:rPr>
          <w:rFonts w:asciiTheme="majorHAnsi" w:hAnsiTheme="majorHAnsi" w:cstheme="majorHAnsi"/>
          <w:i/>
          <w:lang w:val="en-US"/>
        </w:rPr>
        <w:t>T</w:t>
      </w:r>
      <w:r w:rsidRPr="00674570">
        <w:rPr>
          <w:rFonts w:asciiTheme="majorHAnsi" w:hAnsiTheme="majorHAnsi" w:cstheme="majorHAnsi"/>
          <w:i/>
          <w:lang w:val="en-US"/>
        </w:rPr>
        <w:t xml:space="preserve">ask </w:t>
      </w:r>
      <w:r w:rsidR="00D83C5B">
        <w:rPr>
          <w:rFonts w:asciiTheme="majorHAnsi" w:hAnsiTheme="majorHAnsi" w:cstheme="majorHAnsi"/>
          <w:i/>
          <w:lang w:val="en-US"/>
        </w:rPr>
        <w:t>A</w:t>
      </w:r>
      <w:r w:rsidRPr="00674570">
        <w:rPr>
          <w:rFonts w:asciiTheme="majorHAnsi" w:hAnsiTheme="majorHAnsi" w:cstheme="majorHAnsi"/>
          <w:i/>
          <w:lang w:val="en-US"/>
        </w:rPr>
        <w:t>ctivation</w:t>
      </w:r>
    </w:p>
    <w:p w14:paraId="088B518F" w14:textId="77777777" w:rsidR="00134F78" w:rsidRPr="00674570" w:rsidRDefault="00134F78" w:rsidP="00FE4326">
      <w:pPr>
        <w:rPr>
          <w:lang w:val="en-US"/>
        </w:rPr>
      </w:pPr>
    </w:p>
    <w:p w14:paraId="63C4976A" w14:textId="5E39EC51" w:rsidR="00134F78" w:rsidRPr="00674570" w:rsidRDefault="005461B2" w:rsidP="00FE4326">
      <w:pPr>
        <w:pStyle w:val="Heading3"/>
        <w:jc w:val="both"/>
        <w:rPr>
          <w:rFonts w:eastAsia="Times New Roman" w:cstheme="minorHAnsi"/>
          <w:color w:val="4472C4" w:themeColor="accent1"/>
          <w:lang w:val="en-US"/>
        </w:rPr>
      </w:pPr>
      <w:r>
        <w:rPr>
          <w:rFonts w:cstheme="majorHAnsi"/>
          <w:lang w:val="en-US"/>
        </w:rPr>
        <w:t>The definition of regions of interest is described, in detail, in Eichert et al. (2020</w:t>
      </w:r>
      <w:r w:rsidR="00ED7C35">
        <w:rPr>
          <w:rFonts w:cstheme="majorHAnsi"/>
          <w:lang w:val="en-US"/>
        </w:rPr>
        <w:t>a</w:t>
      </w:r>
      <w:r>
        <w:rPr>
          <w:rFonts w:cstheme="majorHAnsi"/>
          <w:lang w:val="en-US"/>
        </w:rPr>
        <w:t xml:space="preserve">) and </w:t>
      </w:r>
      <w:r w:rsidR="000800A2">
        <w:rPr>
          <w:rFonts w:cstheme="majorHAnsi"/>
          <w:lang w:val="en-US"/>
        </w:rPr>
        <w:t xml:space="preserve">is </w:t>
      </w:r>
      <w:r>
        <w:rPr>
          <w:rFonts w:cstheme="majorHAnsi"/>
          <w:lang w:val="en-US"/>
        </w:rPr>
        <w:t>repeated</w:t>
      </w:r>
      <w:r w:rsidR="00053529">
        <w:rPr>
          <w:rFonts w:cstheme="majorHAnsi"/>
          <w:lang w:val="en-US"/>
        </w:rPr>
        <w:t xml:space="preserve"> here</w:t>
      </w:r>
      <w:r>
        <w:rPr>
          <w:rFonts w:cstheme="majorHAnsi"/>
          <w:lang w:val="en-US"/>
        </w:rPr>
        <w:t xml:space="preserve"> in a modified version. </w:t>
      </w:r>
      <w:r w:rsidR="00134F78" w:rsidRPr="00674570">
        <w:rPr>
          <w:rFonts w:cstheme="majorHAnsi"/>
          <w:lang w:val="en-US"/>
        </w:rPr>
        <w:t xml:space="preserve">The central sulcus ROI used for the hand, lip and tongue was defined using </w:t>
      </w:r>
      <w:proofErr w:type="spellStart"/>
      <w:r w:rsidR="00134F78" w:rsidRPr="00674570">
        <w:rPr>
          <w:rFonts w:cstheme="majorHAnsi"/>
          <w:lang w:val="en-US"/>
        </w:rPr>
        <w:t>FreeSurfer’s</w:t>
      </w:r>
      <w:proofErr w:type="spellEnd"/>
      <w:r w:rsidR="00134F78" w:rsidRPr="00674570">
        <w:rPr>
          <w:rFonts w:cstheme="majorHAnsi"/>
          <w:lang w:val="en-US"/>
        </w:rPr>
        <w:t xml:space="preserve"> automatic volumetric labeling based on the </w:t>
      </w:r>
      <w:proofErr w:type="spellStart"/>
      <w:r w:rsidR="00134F78" w:rsidRPr="00674570">
        <w:rPr>
          <w:rFonts w:cstheme="majorHAnsi"/>
          <w:lang w:val="en-US"/>
        </w:rPr>
        <w:t>Destrieux</w:t>
      </w:r>
      <w:proofErr w:type="spellEnd"/>
      <w:r w:rsidR="00134F78" w:rsidRPr="00674570">
        <w:rPr>
          <w:rFonts w:cstheme="majorHAnsi"/>
          <w:lang w:val="en-US"/>
        </w:rPr>
        <w:t xml:space="preserve"> Atlas. </w:t>
      </w:r>
    </w:p>
    <w:p w14:paraId="07F1ADC1" w14:textId="77777777" w:rsidR="00134F78" w:rsidRPr="00674570" w:rsidRDefault="00134F78" w:rsidP="00FE4326">
      <w:pPr>
        <w:jc w:val="both"/>
        <w:rPr>
          <w:rFonts w:asciiTheme="majorHAnsi" w:hAnsiTheme="majorHAnsi" w:cstheme="majorHAnsi"/>
          <w:i/>
          <w:color w:val="000000" w:themeColor="text1"/>
          <w:lang w:val="en-US"/>
        </w:rPr>
      </w:pPr>
    </w:p>
    <w:p w14:paraId="5DA37C55" w14:textId="0D1A704C" w:rsidR="00134F78" w:rsidRPr="00674570" w:rsidRDefault="00134F78" w:rsidP="00FE4326">
      <w:pPr>
        <w:jc w:val="both"/>
        <w:rPr>
          <w:rFonts w:asciiTheme="majorHAnsi" w:hAnsiTheme="majorHAnsi" w:cstheme="majorHAnsi"/>
          <w:lang w:val="en-US"/>
        </w:rPr>
      </w:pP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For the larynx, we identified two activation maxima in separate ROIs: One for the dorsal and one for the ventral larynx representation. The dorsal larynx ROI was a portion of the same central sulcus ROI used above from </w:t>
      </w:r>
      <w:r w:rsidRPr="00674570">
        <w:rPr>
          <w:rFonts w:asciiTheme="majorHAnsi" w:hAnsiTheme="majorHAnsi" w:cstheme="majorHAnsi"/>
          <w:i/>
          <w:color w:val="000000" w:themeColor="text1"/>
          <w:lang w:val="en-US"/>
        </w:rPr>
        <w:t>z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-coordinates in MNI space of </w:t>
      </w:r>
      <w:r w:rsidRPr="00674570">
        <w:rPr>
          <w:rFonts w:asciiTheme="majorHAnsi" w:hAnsiTheme="majorHAnsi" w:cstheme="majorHAnsi"/>
          <w:lang w:val="en-US"/>
        </w:rPr>
        <w:t>50 - 30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. The limits were determined empirically, so that </w:t>
      </w:r>
      <w:r w:rsidR="00D975DF">
        <w:rPr>
          <w:rFonts w:asciiTheme="majorHAnsi" w:hAnsiTheme="majorHAnsi" w:cstheme="majorHAnsi"/>
          <w:color w:val="000000" w:themeColor="text1"/>
          <w:lang w:val="en-US"/>
        </w:rPr>
        <w:t xml:space="preserve">the dorsal larynx 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ROI did not capture the ventral larynx representation or an unrelated supra-dorsal activation in the trunk area, which was observed in some individuals 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fldChar w:fldCharType="begin" w:fldLock="1"/>
      </w:r>
      <w:r w:rsidR="00E10C31">
        <w:rPr>
          <w:rFonts w:asciiTheme="majorHAnsi" w:hAnsiTheme="majorHAnsi" w:cstheme="majorHAnsi"/>
          <w:color w:val="000000" w:themeColor="text1"/>
          <w:lang w:val="en-US"/>
        </w:rPr>
        <w:instrText>ADDIN CSL_CITATION {"citationItems":[{"id":"ITEM-1","itemData":{"author":[{"dropping-particle":"","family":"Foerster","given":"Otfrid","non-dropping-particle":"","parse-names":false,"suffix":""}],"container-title":"Lancet","id":"ITEM-1","issue":"2","issued":{"date-parts":[["1931"]]},"page":"309-312","title":"The Cerebral Cortex in Man","type":"article-journal","volume":"2"},"uris":["http://www.mendeley.com/documents/?uuid=ed14312b-f4b6-4a51-bd9d-bd97b1318353"]}],"mendeley":{"formattedCitation":"(Foerster 1931)","plainTextFormattedCitation":"(Foerster 1931)","previouslyFormattedCitation":"(Foerster 1931)"},"properties":{"noteIndex":0},"schema":"https://github.com/citation-style-language/schema/raw/master/csl-citation.json"}</w:instrTex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fldChar w:fldCharType="separate"/>
      </w:r>
      <w:r w:rsidR="006338F6" w:rsidRPr="006338F6">
        <w:rPr>
          <w:rFonts w:asciiTheme="majorHAnsi" w:hAnsiTheme="majorHAnsi" w:cstheme="majorHAnsi"/>
          <w:noProof/>
          <w:color w:val="000000" w:themeColor="text1"/>
          <w:lang w:val="en-US"/>
        </w:rPr>
        <w:t>(Foerster 1931)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fldChar w:fldCharType="end"/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. </w:t>
      </w:r>
      <w:r w:rsidRPr="00674570" w:rsidDel="00B4013E">
        <w:rPr>
          <w:rFonts w:asciiTheme="majorHAnsi" w:hAnsiTheme="majorHAnsi" w:cstheme="majorHAnsi"/>
          <w:color w:val="000000" w:themeColor="text1"/>
          <w:lang w:val="en-US"/>
        </w:rPr>
        <w:t xml:space="preserve"> </w:t>
      </w:r>
    </w:p>
    <w:p w14:paraId="63E5C40F" w14:textId="77777777" w:rsidR="00134F78" w:rsidRPr="00674570" w:rsidRDefault="00134F78" w:rsidP="00FE4326">
      <w:pPr>
        <w:jc w:val="both"/>
        <w:rPr>
          <w:rFonts w:asciiTheme="majorHAnsi" w:hAnsiTheme="majorHAnsi" w:cstheme="majorHAnsi"/>
          <w:color w:val="000000" w:themeColor="text1"/>
          <w:lang w:val="en-US"/>
        </w:rPr>
      </w:pPr>
    </w:p>
    <w:p w14:paraId="009F64F8" w14:textId="51EF5E86" w:rsidR="00134F78" w:rsidRPr="00674570" w:rsidRDefault="00134F78" w:rsidP="00FE4326">
      <w:pPr>
        <w:jc w:val="both"/>
        <w:rPr>
          <w:rFonts w:asciiTheme="majorHAnsi" w:hAnsiTheme="majorHAnsi" w:cstheme="majorHAnsi"/>
          <w:color w:val="000000" w:themeColor="text1"/>
          <w:lang w:val="en-US"/>
        </w:rPr>
      </w:pP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The ventral larynx representation lay outside the central sulcus and was located ventrally in the subcentral part of cortex. </w:t>
      </w:r>
      <w:r w:rsidR="0043195D">
        <w:rPr>
          <w:rFonts w:asciiTheme="majorHAnsi" w:hAnsiTheme="majorHAnsi" w:cstheme="majorHAnsi"/>
          <w:color w:val="000000" w:themeColor="text1"/>
          <w:lang w:val="en-US"/>
        </w:rPr>
        <w:t>Because of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 the high int</w:t>
      </w:r>
      <w:r w:rsidR="005D07A1">
        <w:rPr>
          <w:rFonts w:asciiTheme="majorHAnsi" w:hAnsiTheme="majorHAnsi" w:cstheme="majorHAnsi"/>
          <w:color w:val="000000" w:themeColor="text1"/>
          <w:lang w:val="en-US"/>
        </w:rPr>
        <w:t>er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-individual morphological variability in this region, </w:t>
      </w:r>
      <w:r w:rsidRPr="00674570">
        <w:rPr>
          <w:rFonts w:asciiTheme="majorHAnsi" w:hAnsiTheme="majorHAnsi" w:cstheme="majorHAnsi"/>
          <w:lang w:val="en-US"/>
        </w:rPr>
        <w:t>the ventral larynx ROI was derived manually based on individual anatomy in surface space. A liberal surface ROI was drawn on each individual’s mid</w:t>
      </w:r>
      <w:r w:rsidR="00D975DF">
        <w:rPr>
          <w:rFonts w:asciiTheme="majorHAnsi" w:hAnsiTheme="majorHAnsi" w:cstheme="majorHAnsi"/>
          <w:lang w:val="en-US"/>
        </w:rPr>
        <w:t>-</w:t>
      </w:r>
      <w:r w:rsidRPr="00674570">
        <w:rPr>
          <w:rFonts w:asciiTheme="majorHAnsi" w:hAnsiTheme="majorHAnsi" w:cstheme="majorHAnsi"/>
          <w:lang w:val="en-US"/>
        </w:rPr>
        <w:t xml:space="preserve">thickness surface 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>covering the ventral part of the central sulcus and adjacent gyri. Anteriorly, the ROI was delineated by the inferior portion of the precentral sulcus and</w:t>
      </w:r>
      <w:r w:rsidR="00C20328">
        <w:rPr>
          <w:rFonts w:asciiTheme="majorHAnsi" w:hAnsiTheme="majorHAnsi" w:cstheme="majorHAnsi"/>
          <w:color w:val="000000" w:themeColor="text1"/>
          <w:lang w:val="en-US"/>
        </w:rPr>
        <w:t>,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 posteriorly</w:t>
      </w:r>
      <w:r w:rsidR="00C20328">
        <w:rPr>
          <w:rFonts w:asciiTheme="majorHAnsi" w:hAnsiTheme="majorHAnsi" w:cstheme="majorHAnsi"/>
          <w:color w:val="000000" w:themeColor="text1"/>
          <w:lang w:val="en-US"/>
        </w:rPr>
        <w:t>,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 the ROI spanned the postcentral gyrus. If present, the lateral portion of the </w:t>
      </w:r>
      <w:r w:rsidR="005A1EFA">
        <w:rPr>
          <w:rFonts w:asciiTheme="majorHAnsi" w:hAnsiTheme="majorHAnsi" w:cstheme="majorHAnsi"/>
          <w:color w:val="000000" w:themeColor="text1"/>
          <w:lang w:val="en-US"/>
        </w:rPr>
        <w:t>anterior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 sulcus in the subcentral gyrus was included within the ROI. The dorsal limit of the ROI was defined by a horizontal plane across the gyrus at the level of the usual location of the posterior ramus of the inferior precentral sulcus. The 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lastRenderedPageBreak/>
        <w:t xml:space="preserve">ventral larynx surface ROI was converted into a volumetric ROI covering the underlying cortical ribbon using wb_command. We checked that the ventral larynx ROI did not overlap with subjacent auditory cortex in the temporal lobe or inferior frontal cortex.  </w:t>
      </w:r>
    </w:p>
    <w:p w14:paraId="7DF138AF" w14:textId="77777777" w:rsidR="00134F78" w:rsidRPr="00674570" w:rsidRDefault="00134F78" w:rsidP="00FE4326">
      <w:pPr>
        <w:jc w:val="both"/>
        <w:rPr>
          <w:rFonts w:asciiTheme="majorHAnsi" w:hAnsiTheme="majorHAnsi" w:cstheme="majorHAnsi"/>
          <w:color w:val="000000" w:themeColor="text1"/>
          <w:lang w:val="en-US"/>
        </w:rPr>
      </w:pPr>
    </w:p>
    <w:p w14:paraId="1B0AFD3A" w14:textId="6F2BCACC" w:rsidR="00652790" w:rsidRPr="00674570" w:rsidRDefault="00134F78" w:rsidP="00FE4326">
      <w:pPr>
        <w:jc w:val="both"/>
        <w:rPr>
          <w:rFonts w:asciiTheme="majorHAnsi" w:hAnsiTheme="majorHAnsi" w:cstheme="majorHAnsi"/>
          <w:color w:val="000000" w:themeColor="text1"/>
          <w:lang w:val="en-US"/>
        </w:rPr>
      </w:pP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In some </w:t>
      </w:r>
      <w:r w:rsidR="005D1C1C">
        <w:rPr>
          <w:rFonts w:asciiTheme="majorHAnsi" w:hAnsiTheme="majorHAnsi" w:cstheme="majorHAnsi"/>
          <w:color w:val="000000" w:themeColor="text1"/>
          <w:lang w:val="en-US"/>
        </w:rPr>
        <w:t>participant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>s, the main contrast for vocalization in the syllable production task had additional activity related to articulation of the tongue. To remove this</w:t>
      </w:r>
      <w:r w:rsidR="00D975DF">
        <w:rPr>
          <w:rFonts w:asciiTheme="majorHAnsi" w:hAnsiTheme="majorHAnsi" w:cstheme="majorHAnsi"/>
          <w:color w:val="000000" w:themeColor="text1"/>
          <w:lang w:val="en-US"/>
        </w:rPr>
        <w:t xml:space="preserve"> additional activity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, we transformed the coordinates for each individual’s maximal voxel from the tongue contrast (from the basic localizer task) to the functional space of the syllable production task (task 1) using rigid-body transformation and then derived a spherical ROI (7 voxels </w:t>
      </w:r>
      <w:r w:rsidR="00D975DF">
        <w:rPr>
          <w:rFonts w:asciiTheme="majorHAnsi" w:hAnsiTheme="majorHAnsi" w:cstheme="majorHAnsi"/>
          <w:color w:val="000000" w:themeColor="text1"/>
          <w:lang w:val="en-US"/>
        </w:rPr>
        <w:t xml:space="preserve">in 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 xml:space="preserve">diameter) around it. This sphere was used to mask the </w:t>
      </w:r>
      <w:r w:rsidRPr="00674570">
        <w:rPr>
          <w:rFonts w:asciiTheme="majorHAnsi" w:hAnsiTheme="majorHAnsi" w:cstheme="majorHAnsi"/>
          <w:i/>
          <w:color w:val="000000" w:themeColor="text1"/>
          <w:lang w:val="en-US"/>
        </w:rPr>
        <w:t>z</w:t>
      </w:r>
      <w:r w:rsidRPr="00674570">
        <w:rPr>
          <w:rFonts w:asciiTheme="majorHAnsi" w:hAnsiTheme="majorHAnsi" w:cstheme="majorHAnsi"/>
          <w:color w:val="000000" w:themeColor="text1"/>
          <w:lang w:val="en-US"/>
        </w:rPr>
        <w:t>-statistic image of the main contrast for vocalization prior to localizing the maxima for laryngeal activity in the dorsal and ventral ROIs described above.</w:t>
      </w:r>
    </w:p>
    <w:p w14:paraId="0BDC99BD" w14:textId="77777777" w:rsidR="00134F78" w:rsidRDefault="00134F78" w:rsidP="00FE4326">
      <w:pPr>
        <w:jc w:val="both"/>
        <w:rPr>
          <w:rFonts w:asciiTheme="majorHAnsi" w:hAnsiTheme="majorHAnsi" w:cstheme="majorHAnsi"/>
          <w:b/>
          <w:u w:val="single"/>
          <w:lang w:val="en-US"/>
        </w:rPr>
      </w:pPr>
    </w:p>
    <w:p w14:paraId="1F4B4A5E" w14:textId="77777777" w:rsidR="00C903D2" w:rsidRPr="00674570" w:rsidRDefault="00C903D2" w:rsidP="00FE4326">
      <w:pPr>
        <w:jc w:val="both"/>
        <w:rPr>
          <w:rFonts w:asciiTheme="majorHAnsi" w:hAnsiTheme="majorHAnsi" w:cstheme="majorHAnsi"/>
          <w:b/>
          <w:u w:val="single"/>
          <w:lang w:val="en-US"/>
        </w:rPr>
      </w:pPr>
    </w:p>
    <w:p w14:paraId="7B524C6F" w14:textId="09261290" w:rsidR="00C903D2" w:rsidRDefault="00C903D2" w:rsidP="00C903D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lang w:val="en-US"/>
        </w:rPr>
      </w:pPr>
      <w:r>
        <w:rPr>
          <w:rFonts w:asciiTheme="majorHAnsi" w:hAnsiTheme="majorHAnsi" w:cstheme="majorHAnsi"/>
          <w:i/>
          <w:lang w:val="en-US"/>
        </w:rPr>
        <w:t xml:space="preserve">Animation of </w:t>
      </w:r>
      <w:r w:rsidR="00804026">
        <w:rPr>
          <w:rFonts w:asciiTheme="majorHAnsi" w:hAnsiTheme="majorHAnsi" w:cstheme="majorHAnsi"/>
          <w:i/>
          <w:lang w:val="en-US"/>
        </w:rPr>
        <w:t>one</w:t>
      </w:r>
      <w:r>
        <w:rPr>
          <w:rFonts w:asciiTheme="majorHAnsi" w:hAnsiTheme="majorHAnsi" w:cstheme="majorHAnsi"/>
          <w:i/>
          <w:lang w:val="en-US"/>
        </w:rPr>
        <w:t xml:space="preserve"> </w:t>
      </w:r>
      <w:r w:rsidR="00D83C5B">
        <w:rPr>
          <w:rFonts w:asciiTheme="majorHAnsi" w:hAnsiTheme="majorHAnsi" w:cstheme="majorHAnsi"/>
          <w:i/>
          <w:lang w:val="en-US"/>
        </w:rPr>
        <w:t>I</w:t>
      </w:r>
      <w:r>
        <w:rPr>
          <w:rFonts w:asciiTheme="majorHAnsi" w:hAnsiTheme="majorHAnsi" w:cstheme="majorHAnsi"/>
          <w:i/>
          <w:lang w:val="en-US"/>
        </w:rPr>
        <w:t xml:space="preserve">ndividual’s </w:t>
      </w:r>
      <w:r w:rsidR="00D83C5B">
        <w:rPr>
          <w:rFonts w:asciiTheme="majorHAnsi" w:hAnsiTheme="majorHAnsi" w:cstheme="majorHAnsi"/>
          <w:i/>
          <w:lang w:val="en-US"/>
        </w:rPr>
        <w:t>S</w:t>
      </w:r>
      <w:r>
        <w:rPr>
          <w:rFonts w:asciiTheme="majorHAnsi" w:hAnsiTheme="majorHAnsi" w:cstheme="majorHAnsi"/>
          <w:i/>
          <w:lang w:val="en-US"/>
        </w:rPr>
        <w:t xml:space="preserve">ulcal </w:t>
      </w:r>
      <w:r w:rsidR="00D83C5B">
        <w:rPr>
          <w:rFonts w:asciiTheme="majorHAnsi" w:hAnsiTheme="majorHAnsi" w:cstheme="majorHAnsi"/>
          <w:i/>
          <w:lang w:val="en-US"/>
        </w:rPr>
        <w:t>S</w:t>
      </w:r>
      <w:r>
        <w:rPr>
          <w:rFonts w:asciiTheme="majorHAnsi" w:hAnsiTheme="majorHAnsi" w:cstheme="majorHAnsi"/>
          <w:i/>
          <w:lang w:val="en-US"/>
        </w:rPr>
        <w:t>egments</w:t>
      </w:r>
    </w:p>
    <w:p w14:paraId="2C51AEBE" w14:textId="2566764C" w:rsidR="00C903D2" w:rsidRDefault="00C903D2" w:rsidP="00C903D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 w:themeColor="text1"/>
          <w:lang w:val="en-US"/>
        </w:rPr>
      </w:pPr>
    </w:p>
    <w:p w14:paraId="66D501C9" w14:textId="410901AE" w:rsidR="00C903D2" w:rsidRPr="00B13F5F" w:rsidRDefault="00C903D2" w:rsidP="00C903D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 w:themeColor="text1"/>
          <w:lang w:val="en-US"/>
        </w:rPr>
      </w:pPr>
      <w:r w:rsidRPr="00804026">
        <w:rPr>
          <w:rFonts w:asciiTheme="majorHAnsi" w:hAnsiTheme="majorHAnsi" w:cstheme="majorHAnsi"/>
          <w:b/>
          <w:color w:val="000000" w:themeColor="text1"/>
          <w:lang w:val="en-US"/>
        </w:rPr>
        <w:t>Online Resource 1</w:t>
      </w:r>
      <w:r>
        <w:rPr>
          <w:rFonts w:asciiTheme="majorHAnsi" w:hAnsiTheme="majorHAnsi" w:cstheme="majorHAnsi"/>
          <w:color w:val="000000" w:themeColor="text1"/>
          <w:lang w:val="en-US"/>
        </w:rPr>
        <w:t xml:space="preserve"> The animation shows the 3D rendering of one individual’s sulcal segments in native volume space</w:t>
      </w:r>
      <w:r w:rsidR="00D975DF">
        <w:rPr>
          <w:rFonts w:asciiTheme="majorHAnsi" w:hAnsiTheme="majorHAnsi" w:cstheme="majorHAnsi"/>
          <w:color w:val="000000" w:themeColor="text1"/>
          <w:lang w:val="en-US"/>
        </w:rPr>
        <w:t xml:space="preserve">, i.e. </w:t>
      </w:r>
      <w:r w:rsidR="00804026">
        <w:rPr>
          <w:rFonts w:asciiTheme="majorHAnsi" w:hAnsiTheme="majorHAnsi" w:cstheme="majorHAnsi"/>
          <w:color w:val="000000" w:themeColor="text1"/>
          <w:lang w:val="en-US"/>
        </w:rPr>
        <w:t xml:space="preserve">the same </w:t>
      </w:r>
      <w:r w:rsidR="005D1C1C">
        <w:rPr>
          <w:rFonts w:asciiTheme="majorHAnsi" w:hAnsiTheme="majorHAnsi" w:cstheme="majorHAnsi"/>
          <w:color w:val="000000" w:themeColor="text1"/>
          <w:lang w:val="en-US"/>
        </w:rPr>
        <w:t>participant</w:t>
      </w:r>
      <w:r w:rsidR="00804026">
        <w:rPr>
          <w:rFonts w:asciiTheme="majorHAnsi" w:hAnsiTheme="majorHAnsi" w:cstheme="majorHAnsi"/>
          <w:color w:val="000000" w:themeColor="text1"/>
          <w:lang w:val="en-US"/>
        </w:rPr>
        <w:t xml:space="preserve"> as in Fig. 1 using the same color legend</w:t>
      </w:r>
      <w:r>
        <w:rPr>
          <w:rFonts w:asciiTheme="majorHAnsi" w:hAnsiTheme="majorHAnsi" w:cstheme="majorHAnsi"/>
          <w:color w:val="000000" w:themeColor="text1"/>
          <w:lang w:val="en-US"/>
        </w:rPr>
        <w:t>.</w:t>
      </w:r>
    </w:p>
    <w:sectPr w:rsidR="00C903D2" w:rsidRPr="00B13F5F" w:rsidSect="00AC69E4">
      <w:footerReference w:type="even" r:id="rId9"/>
      <w:footerReference w:type="default" r:id="rId10"/>
      <w:pgSz w:w="11900" w:h="16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BC9F4" w14:textId="77777777" w:rsidR="00795206" w:rsidRDefault="00795206" w:rsidP="006E4E13">
      <w:r>
        <w:separator/>
      </w:r>
    </w:p>
  </w:endnote>
  <w:endnote w:type="continuationSeparator" w:id="0">
    <w:p w14:paraId="43830343" w14:textId="77777777" w:rsidR="00795206" w:rsidRDefault="00795206" w:rsidP="006E4E13">
      <w:r>
        <w:continuationSeparator/>
      </w:r>
    </w:p>
  </w:endnote>
  <w:endnote w:type="continuationNotice" w:id="1">
    <w:p w14:paraId="5178F810" w14:textId="77777777" w:rsidR="00795206" w:rsidRDefault="00795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45827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69F079" w14:textId="7E540B0E" w:rsidR="00AD7B36" w:rsidRDefault="00AD7B36" w:rsidP="007956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251947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7BB943" w14:textId="2697722F" w:rsidR="00AD7B36" w:rsidRDefault="00795206" w:rsidP="0079563C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</w:p>
    </w:sdtContent>
  </w:sdt>
  <w:p w14:paraId="599D4C0F" w14:textId="77777777" w:rsidR="00AD7B36" w:rsidRDefault="00AD7B36" w:rsidP="006E4E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709893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5BC70E" w14:textId="5ECA39A0" w:rsidR="00AD7B36" w:rsidRDefault="00AD7B36" w:rsidP="007956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9146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58F92B" w14:textId="77777777" w:rsidR="00AD7B36" w:rsidRDefault="00AD7B36" w:rsidP="006E4E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C8F1E" w14:textId="77777777" w:rsidR="00795206" w:rsidRDefault="00795206" w:rsidP="006E4E13">
      <w:r>
        <w:separator/>
      </w:r>
    </w:p>
  </w:footnote>
  <w:footnote w:type="continuationSeparator" w:id="0">
    <w:p w14:paraId="0C7184A1" w14:textId="77777777" w:rsidR="00795206" w:rsidRDefault="00795206" w:rsidP="006E4E13">
      <w:r>
        <w:continuationSeparator/>
      </w:r>
    </w:p>
  </w:footnote>
  <w:footnote w:type="continuationNotice" w:id="1">
    <w:p w14:paraId="01F15872" w14:textId="77777777" w:rsidR="00795206" w:rsidRDefault="007952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B0969"/>
    <w:multiLevelType w:val="hybridMultilevel"/>
    <w:tmpl w:val="AD9E1126"/>
    <w:lvl w:ilvl="0" w:tplc="05E21E02">
      <w:start w:val="1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D4F5D"/>
    <w:multiLevelType w:val="hybridMultilevel"/>
    <w:tmpl w:val="AF46B9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78A3"/>
    <w:multiLevelType w:val="multilevel"/>
    <w:tmpl w:val="90EAFFBE"/>
    <w:lvl w:ilvl="0">
      <w:start w:val="4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298F"/>
    <w:multiLevelType w:val="hybridMultilevel"/>
    <w:tmpl w:val="EADA5216"/>
    <w:lvl w:ilvl="0" w:tplc="68F2A69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12"/>
    <w:rsid w:val="00001590"/>
    <w:rsid w:val="00001C1F"/>
    <w:rsid w:val="0000495C"/>
    <w:rsid w:val="000162A6"/>
    <w:rsid w:val="00020FA5"/>
    <w:rsid w:val="00021CA1"/>
    <w:rsid w:val="00022A7D"/>
    <w:rsid w:val="00022C62"/>
    <w:rsid w:val="000241ED"/>
    <w:rsid w:val="000256FB"/>
    <w:rsid w:val="00026692"/>
    <w:rsid w:val="00026D0A"/>
    <w:rsid w:val="00027C2B"/>
    <w:rsid w:val="000344C4"/>
    <w:rsid w:val="00035443"/>
    <w:rsid w:val="00036115"/>
    <w:rsid w:val="000363BA"/>
    <w:rsid w:val="00036609"/>
    <w:rsid w:val="000441F2"/>
    <w:rsid w:val="000443B8"/>
    <w:rsid w:val="00045713"/>
    <w:rsid w:val="00045C1E"/>
    <w:rsid w:val="00047E21"/>
    <w:rsid w:val="00047F31"/>
    <w:rsid w:val="00053529"/>
    <w:rsid w:val="000539A0"/>
    <w:rsid w:val="00054585"/>
    <w:rsid w:val="000609E2"/>
    <w:rsid w:val="0006187B"/>
    <w:rsid w:val="00061F6F"/>
    <w:rsid w:val="00062F3B"/>
    <w:rsid w:val="00063F58"/>
    <w:rsid w:val="000665C5"/>
    <w:rsid w:val="00071B0C"/>
    <w:rsid w:val="00071E8D"/>
    <w:rsid w:val="0007509A"/>
    <w:rsid w:val="000758CE"/>
    <w:rsid w:val="000760C9"/>
    <w:rsid w:val="0007614A"/>
    <w:rsid w:val="00077819"/>
    <w:rsid w:val="000800A2"/>
    <w:rsid w:val="0008169D"/>
    <w:rsid w:val="00084746"/>
    <w:rsid w:val="00085FFA"/>
    <w:rsid w:val="00086A89"/>
    <w:rsid w:val="000875B9"/>
    <w:rsid w:val="00091460"/>
    <w:rsid w:val="00092025"/>
    <w:rsid w:val="00092982"/>
    <w:rsid w:val="00094D45"/>
    <w:rsid w:val="000B1491"/>
    <w:rsid w:val="000B1EEF"/>
    <w:rsid w:val="000B2C62"/>
    <w:rsid w:val="000B359E"/>
    <w:rsid w:val="000B4B71"/>
    <w:rsid w:val="000C02EB"/>
    <w:rsid w:val="000C202C"/>
    <w:rsid w:val="000C4377"/>
    <w:rsid w:val="000C5F27"/>
    <w:rsid w:val="000C66C5"/>
    <w:rsid w:val="000C762B"/>
    <w:rsid w:val="000C78AF"/>
    <w:rsid w:val="000D24C6"/>
    <w:rsid w:val="000D330A"/>
    <w:rsid w:val="000D627B"/>
    <w:rsid w:val="000D6FB7"/>
    <w:rsid w:val="000D7A5B"/>
    <w:rsid w:val="000E00B4"/>
    <w:rsid w:val="000E1B01"/>
    <w:rsid w:val="000E1B17"/>
    <w:rsid w:val="000E57BA"/>
    <w:rsid w:val="000E5C77"/>
    <w:rsid w:val="000E6201"/>
    <w:rsid w:val="000F2BE8"/>
    <w:rsid w:val="000F6960"/>
    <w:rsid w:val="00101638"/>
    <w:rsid w:val="00103743"/>
    <w:rsid w:val="001060A3"/>
    <w:rsid w:val="00106FC3"/>
    <w:rsid w:val="00110CB3"/>
    <w:rsid w:val="00113197"/>
    <w:rsid w:val="00113835"/>
    <w:rsid w:val="00115C75"/>
    <w:rsid w:val="00117B06"/>
    <w:rsid w:val="001233D4"/>
    <w:rsid w:val="00124C98"/>
    <w:rsid w:val="00130B18"/>
    <w:rsid w:val="0013131A"/>
    <w:rsid w:val="00132F5E"/>
    <w:rsid w:val="00134F78"/>
    <w:rsid w:val="00135B64"/>
    <w:rsid w:val="00137597"/>
    <w:rsid w:val="00137607"/>
    <w:rsid w:val="00140589"/>
    <w:rsid w:val="001414D1"/>
    <w:rsid w:val="0014794C"/>
    <w:rsid w:val="00147981"/>
    <w:rsid w:val="001512AB"/>
    <w:rsid w:val="001513EA"/>
    <w:rsid w:val="001515FF"/>
    <w:rsid w:val="00152092"/>
    <w:rsid w:val="0015216A"/>
    <w:rsid w:val="001523A1"/>
    <w:rsid w:val="00154222"/>
    <w:rsid w:val="00155413"/>
    <w:rsid w:val="0015706B"/>
    <w:rsid w:val="0015779F"/>
    <w:rsid w:val="00163A7D"/>
    <w:rsid w:val="00163F86"/>
    <w:rsid w:val="00164F98"/>
    <w:rsid w:val="00167950"/>
    <w:rsid w:val="00172054"/>
    <w:rsid w:val="001721DC"/>
    <w:rsid w:val="00172D07"/>
    <w:rsid w:val="00176D8D"/>
    <w:rsid w:val="00182CA8"/>
    <w:rsid w:val="001858CD"/>
    <w:rsid w:val="00187F88"/>
    <w:rsid w:val="00187FC9"/>
    <w:rsid w:val="00192520"/>
    <w:rsid w:val="00192DC2"/>
    <w:rsid w:val="0019489C"/>
    <w:rsid w:val="00194C2B"/>
    <w:rsid w:val="001963D4"/>
    <w:rsid w:val="00196513"/>
    <w:rsid w:val="001A1733"/>
    <w:rsid w:val="001A28D8"/>
    <w:rsid w:val="001A3A7A"/>
    <w:rsid w:val="001A4FDC"/>
    <w:rsid w:val="001A537A"/>
    <w:rsid w:val="001A6581"/>
    <w:rsid w:val="001B3241"/>
    <w:rsid w:val="001B3F5B"/>
    <w:rsid w:val="001B4EF3"/>
    <w:rsid w:val="001B5295"/>
    <w:rsid w:val="001B710C"/>
    <w:rsid w:val="001C247D"/>
    <w:rsid w:val="001C54A7"/>
    <w:rsid w:val="001C6062"/>
    <w:rsid w:val="001C6467"/>
    <w:rsid w:val="001C784F"/>
    <w:rsid w:val="001D0448"/>
    <w:rsid w:val="001D41F2"/>
    <w:rsid w:val="001D4E84"/>
    <w:rsid w:val="001D5DDE"/>
    <w:rsid w:val="001D7B11"/>
    <w:rsid w:val="001E0E62"/>
    <w:rsid w:val="001E15E2"/>
    <w:rsid w:val="001E1A1B"/>
    <w:rsid w:val="001E1BD8"/>
    <w:rsid w:val="001E48B3"/>
    <w:rsid w:val="001F059A"/>
    <w:rsid w:val="001F15E6"/>
    <w:rsid w:val="001F6816"/>
    <w:rsid w:val="00201644"/>
    <w:rsid w:val="00202016"/>
    <w:rsid w:val="002020F6"/>
    <w:rsid w:val="00202699"/>
    <w:rsid w:val="0020740E"/>
    <w:rsid w:val="00211073"/>
    <w:rsid w:val="002114CB"/>
    <w:rsid w:val="00213978"/>
    <w:rsid w:val="00213E43"/>
    <w:rsid w:val="00216C1C"/>
    <w:rsid w:val="00221995"/>
    <w:rsid w:val="00223711"/>
    <w:rsid w:val="00223B9B"/>
    <w:rsid w:val="00227267"/>
    <w:rsid w:val="0023095E"/>
    <w:rsid w:val="00230F3D"/>
    <w:rsid w:val="00231CA6"/>
    <w:rsid w:val="00236F3E"/>
    <w:rsid w:val="00241685"/>
    <w:rsid w:val="00245A14"/>
    <w:rsid w:val="0024673E"/>
    <w:rsid w:val="0025045F"/>
    <w:rsid w:val="00256822"/>
    <w:rsid w:val="002624E7"/>
    <w:rsid w:val="00264E24"/>
    <w:rsid w:val="002658D0"/>
    <w:rsid w:val="00266579"/>
    <w:rsid w:val="0026728E"/>
    <w:rsid w:val="00272958"/>
    <w:rsid w:val="002730E9"/>
    <w:rsid w:val="002735F2"/>
    <w:rsid w:val="0027742B"/>
    <w:rsid w:val="00277FAC"/>
    <w:rsid w:val="00283D83"/>
    <w:rsid w:val="00285182"/>
    <w:rsid w:val="00290726"/>
    <w:rsid w:val="00292789"/>
    <w:rsid w:val="00294338"/>
    <w:rsid w:val="002950E2"/>
    <w:rsid w:val="002970C4"/>
    <w:rsid w:val="00297951"/>
    <w:rsid w:val="00297CB1"/>
    <w:rsid w:val="002A025D"/>
    <w:rsid w:val="002A56A0"/>
    <w:rsid w:val="002A58A5"/>
    <w:rsid w:val="002B0D0B"/>
    <w:rsid w:val="002B444D"/>
    <w:rsid w:val="002B6B5B"/>
    <w:rsid w:val="002C41BC"/>
    <w:rsid w:val="002D2423"/>
    <w:rsid w:val="002D3A29"/>
    <w:rsid w:val="002D3D38"/>
    <w:rsid w:val="002D4227"/>
    <w:rsid w:val="002D51BD"/>
    <w:rsid w:val="002D5456"/>
    <w:rsid w:val="002E088F"/>
    <w:rsid w:val="002E1694"/>
    <w:rsid w:val="002E290A"/>
    <w:rsid w:val="002E3664"/>
    <w:rsid w:val="002E47CD"/>
    <w:rsid w:val="002F0E4D"/>
    <w:rsid w:val="002F5E92"/>
    <w:rsid w:val="002F7E62"/>
    <w:rsid w:val="002F7F80"/>
    <w:rsid w:val="00301158"/>
    <w:rsid w:val="00304BE5"/>
    <w:rsid w:val="00307BFC"/>
    <w:rsid w:val="00311615"/>
    <w:rsid w:val="00311DC1"/>
    <w:rsid w:val="003130EF"/>
    <w:rsid w:val="00314720"/>
    <w:rsid w:val="0031534B"/>
    <w:rsid w:val="00315BF7"/>
    <w:rsid w:val="00320C6E"/>
    <w:rsid w:val="003226B1"/>
    <w:rsid w:val="00322E7B"/>
    <w:rsid w:val="0032774C"/>
    <w:rsid w:val="0033222F"/>
    <w:rsid w:val="00334ACF"/>
    <w:rsid w:val="00334DB7"/>
    <w:rsid w:val="00335978"/>
    <w:rsid w:val="00342D6D"/>
    <w:rsid w:val="00343C9C"/>
    <w:rsid w:val="00343D47"/>
    <w:rsid w:val="0034414A"/>
    <w:rsid w:val="003476EB"/>
    <w:rsid w:val="00347EAC"/>
    <w:rsid w:val="00351F61"/>
    <w:rsid w:val="00352AE2"/>
    <w:rsid w:val="003535D4"/>
    <w:rsid w:val="00354968"/>
    <w:rsid w:val="00355BE4"/>
    <w:rsid w:val="00356510"/>
    <w:rsid w:val="00361586"/>
    <w:rsid w:val="0036279C"/>
    <w:rsid w:val="00364ACD"/>
    <w:rsid w:val="0036621F"/>
    <w:rsid w:val="003817B6"/>
    <w:rsid w:val="00381BD5"/>
    <w:rsid w:val="00382BC4"/>
    <w:rsid w:val="003831D5"/>
    <w:rsid w:val="0038497F"/>
    <w:rsid w:val="00384BC7"/>
    <w:rsid w:val="0038630F"/>
    <w:rsid w:val="00386E58"/>
    <w:rsid w:val="003871E6"/>
    <w:rsid w:val="00390288"/>
    <w:rsid w:val="00392DFA"/>
    <w:rsid w:val="003937AA"/>
    <w:rsid w:val="003942E6"/>
    <w:rsid w:val="00394C7C"/>
    <w:rsid w:val="00397EFC"/>
    <w:rsid w:val="003A064A"/>
    <w:rsid w:val="003A1298"/>
    <w:rsid w:val="003A4737"/>
    <w:rsid w:val="003A4BDB"/>
    <w:rsid w:val="003A6A42"/>
    <w:rsid w:val="003A7924"/>
    <w:rsid w:val="003A7B6C"/>
    <w:rsid w:val="003B3A15"/>
    <w:rsid w:val="003C0FF3"/>
    <w:rsid w:val="003C1B03"/>
    <w:rsid w:val="003C3131"/>
    <w:rsid w:val="003C491B"/>
    <w:rsid w:val="003C5CE9"/>
    <w:rsid w:val="003C726E"/>
    <w:rsid w:val="003D4936"/>
    <w:rsid w:val="003D7BF4"/>
    <w:rsid w:val="003E0E9E"/>
    <w:rsid w:val="003E0FF0"/>
    <w:rsid w:val="003E1810"/>
    <w:rsid w:val="003E27E5"/>
    <w:rsid w:val="003E4DD4"/>
    <w:rsid w:val="003E6851"/>
    <w:rsid w:val="003F11BF"/>
    <w:rsid w:val="003F167B"/>
    <w:rsid w:val="003F1B40"/>
    <w:rsid w:val="003F3CF4"/>
    <w:rsid w:val="003F58C5"/>
    <w:rsid w:val="003F7424"/>
    <w:rsid w:val="003F76A4"/>
    <w:rsid w:val="00402682"/>
    <w:rsid w:val="00410E06"/>
    <w:rsid w:val="004159CB"/>
    <w:rsid w:val="00415C84"/>
    <w:rsid w:val="004171EA"/>
    <w:rsid w:val="00417215"/>
    <w:rsid w:val="004202AD"/>
    <w:rsid w:val="004210D0"/>
    <w:rsid w:val="00421AA7"/>
    <w:rsid w:val="004223CF"/>
    <w:rsid w:val="00422F8E"/>
    <w:rsid w:val="00423448"/>
    <w:rsid w:val="00425067"/>
    <w:rsid w:val="00427DDF"/>
    <w:rsid w:val="0043195D"/>
    <w:rsid w:val="004319B9"/>
    <w:rsid w:val="00434399"/>
    <w:rsid w:val="0043518E"/>
    <w:rsid w:val="0043674E"/>
    <w:rsid w:val="004512E7"/>
    <w:rsid w:val="00453FEF"/>
    <w:rsid w:val="00454125"/>
    <w:rsid w:val="004571A7"/>
    <w:rsid w:val="004636F3"/>
    <w:rsid w:val="004647E7"/>
    <w:rsid w:val="00472762"/>
    <w:rsid w:val="00474C37"/>
    <w:rsid w:val="00474F32"/>
    <w:rsid w:val="00475158"/>
    <w:rsid w:val="004819A2"/>
    <w:rsid w:val="0048339D"/>
    <w:rsid w:val="004867BC"/>
    <w:rsid w:val="00486E39"/>
    <w:rsid w:val="00491ABF"/>
    <w:rsid w:val="00491C9F"/>
    <w:rsid w:val="00493576"/>
    <w:rsid w:val="004935CD"/>
    <w:rsid w:val="00495D03"/>
    <w:rsid w:val="00495FD5"/>
    <w:rsid w:val="0049616C"/>
    <w:rsid w:val="004A1F23"/>
    <w:rsid w:val="004A3D37"/>
    <w:rsid w:val="004A4FD9"/>
    <w:rsid w:val="004A5292"/>
    <w:rsid w:val="004B0166"/>
    <w:rsid w:val="004B29C0"/>
    <w:rsid w:val="004B380D"/>
    <w:rsid w:val="004B4108"/>
    <w:rsid w:val="004B6823"/>
    <w:rsid w:val="004C0E70"/>
    <w:rsid w:val="004C3B97"/>
    <w:rsid w:val="004C4DF4"/>
    <w:rsid w:val="004C5232"/>
    <w:rsid w:val="004C6EA0"/>
    <w:rsid w:val="004C755D"/>
    <w:rsid w:val="004D03E1"/>
    <w:rsid w:val="004D0AD5"/>
    <w:rsid w:val="004D3F47"/>
    <w:rsid w:val="004D48AA"/>
    <w:rsid w:val="004D7C26"/>
    <w:rsid w:val="004E0072"/>
    <w:rsid w:val="004E42D0"/>
    <w:rsid w:val="004E5223"/>
    <w:rsid w:val="004E6363"/>
    <w:rsid w:val="004E71EA"/>
    <w:rsid w:val="004E7ACC"/>
    <w:rsid w:val="004F1EFC"/>
    <w:rsid w:val="004F3261"/>
    <w:rsid w:val="004F4EC5"/>
    <w:rsid w:val="004F6145"/>
    <w:rsid w:val="004F75C5"/>
    <w:rsid w:val="00503C76"/>
    <w:rsid w:val="00507203"/>
    <w:rsid w:val="0050796A"/>
    <w:rsid w:val="0051025C"/>
    <w:rsid w:val="00511623"/>
    <w:rsid w:val="00513EDE"/>
    <w:rsid w:val="00514314"/>
    <w:rsid w:val="0051446E"/>
    <w:rsid w:val="005200A7"/>
    <w:rsid w:val="00522364"/>
    <w:rsid w:val="00522A4C"/>
    <w:rsid w:val="00522A55"/>
    <w:rsid w:val="00524D35"/>
    <w:rsid w:val="00526080"/>
    <w:rsid w:val="00530ED1"/>
    <w:rsid w:val="00530FF3"/>
    <w:rsid w:val="00534301"/>
    <w:rsid w:val="00534792"/>
    <w:rsid w:val="00535365"/>
    <w:rsid w:val="00535D2A"/>
    <w:rsid w:val="00542068"/>
    <w:rsid w:val="00542581"/>
    <w:rsid w:val="00542B62"/>
    <w:rsid w:val="00543FD3"/>
    <w:rsid w:val="005442BB"/>
    <w:rsid w:val="005445D4"/>
    <w:rsid w:val="005461B2"/>
    <w:rsid w:val="00553BB6"/>
    <w:rsid w:val="005569D1"/>
    <w:rsid w:val="00560055"/>
    <w:rsid w:val="00565A4D"/>
    <w:rsid w:val="00565B82"/>
    <w:rsid w:val="00565BEB"/>
    <w:rsid w:val="00565D4B"/>
    <w:rsid w:val="005702F3"/>
    <w:rsid w:val="00571B34"/>
    <w:rsid w:val="00572220"/>
    <w:rsid w:val="00573407"/>
    <w:rsid w:val="00576347"/>
    <w:rsid w:val="005768D7"/>
    <w:rsid w:val="005817A0"/>
    <w:rsid w:val="0058267A"/>
    <w:rsid w:val="00582EB8"/>
    <w:rsid w:val="00585157"/>
    <w:rsid w:val="00586C54"/>
    <w:rsid w:val="005917FA"/>
    <w:rsid w:val="005940F7"/>
    <w:rsid w:val="00596B27"/>
    <w:rsid w:val="005A0084"/>
    <w:rsid w:val="005A0DB5"/>
    <w:rsid w:val="005A1EFA"/>
    <w:rsid w:val="005B05C5"/>
    <w:rsid w:val="005B0A16"/>
    <w:rsid w:val="005B1395"/>
    <w:rsid w:val="005B1EBC"/>
    <w:rsid w:val="005B3AEC"/>
    <w:rsid w:val="005B403C"/>
    <w:rsid w:val="005B5B6C"/>
    <w:rsid w:val="005B66B0"/>
    <w:rsid w:val="005C363F"/>
    <w:rsid w:val="005C3972"/>
    <w:rsid w:val="005C4C1E"/>
    <w:rsid w:val="005C4D16"/>
    <w:rsid w:val="005C5EF2"/>
    <w:rsid w:val="005C629E"/>
    <w:rsid w:val="005D0166"/>
    <w:rsid w:val="005D07A1"/>
    <w:rsid w:val="005D1C1C"/>
    <w:rsid w:val="005D3926"/>
    <w:rsid w:val="005D3E6E"/>
    <w:rsid w:val="005D63D9"/>
    <w:rsid w:val="005E451B"/>
    <w:rsid w:val="005E607B"/>
    <w:rsid w:val="005E617A"/>
    <w:rsid w:val="005E75F7"/>
    <w:rsid w:val="005E7DCD"/>
    <w:rsid w:val="005F2FEF"/>
    <w:rsid w:val="005F568E"/>
    <w:rsid w:val="005F59FC"/>
    <w:rsid w:val="005F6DA3"/>
    <w:rsid w:val="005F7174"/>
    <w:rsid w:val="005F7481"/>
    <w:rsid w:val="0060012E"/>
    <w:rsid w:val="00600256"/>
    <w:rsid w:val="006005F4"/>
    <w:rsid w:val="0060228E"/>
    <w:rsid w:val="006035FD"/>
    <w:rsid w:val="00612A17"/>
    <w:rsid w:val="00613706"/>
    <w:rsid w:val="00614AE2"/>
    <w:rsid w:val="00625958"/>
    <w:rsid w:val="006263BF"/>
    <w:rsid w:val="006321DF"/>
    <w:rsid w:val="006338F6"/>
    <w:rsid w:val="006352AD"/>
    <w:rsid w:val="00636129"/>
    <w:rsid w:val="0063700C"/>
    <w:rsid w:val="00644EBB"/>
    <w:rsid w:val="006450DE"/>
    <w:rsid w:val="0064533A"/>
    <w:rsid w:val="00646C9D"/>
    <w:rsid w:val="006476CC"/>
    <w:rsid w:val="006479DA"/>
    <w:rsid w:val="00652790"/>
    <w:rsid w:val="00652B4E"/>
    <w:rsid w:val="00655D68"/>
    <w:rsid w:val="00660450"/>
    <w:rsid w:val="00660F44"/>
    <w:rsid w:val="006614BD"/>
    <w:rsid w:val="00661DC2"/>
    <w:rsid w:val="0066387B"/>
    <w:rsid w:val="006669E4"/>
    <w:rsid w:val="006670C3"/>
    <w:rsid w:val="00673F27"/>
    <w:rsid w:val="00674850"/>
    <w:rsid w:val="00675222"/>
    <w:rsid w:val="00676532"/>
    <w:rsid w:val="00676656"/>
    <w:rsid w:val="00680741"/>
    <w:rsid w:val="00681773"/>
    <w:rsid w:val="00682F83"/>
    <w:rsid w:val="00683212"/>
    <w:rsid w:val="00690213"/>
    <w:rsid w:val="00691B1B"/>
    <w:rsid w:val="0069262B"/>
    <w:rsid w:val="006930F1"/>
    <w:rsid w:val="006A0257"/>
    <w:rsid w:val="006A1377"/>
    <w:rsid w:val="006A2EF3"/>
    <w:rsid w:val="006A461E"/>
    <w:rsid w:val="006A53D1"/>
    <w:rsid w:val="006A705D"/>
    <w:rsid w:val="006A76A8"/>
    <w:rsid w:val="006B0FCA"/>
    <w:rsid w:val="006B23BC"/>
    <w:rsid w:val="006B2D24"/>
    <w:rsid w:val="006B79C1"/>
    <w:rsid w:val="006C3674"/>
    <w:rsid w:val="006C38A1"/>
    <w:rsid w:val="006C3AD0"/>
    <w:rsid w:val="006C5D1E"/>
    <w:rsid w:val="006C684B"/>
    <w:rsid w:val="006C7B39"/>
    <w:rsid w:val="006D10FA"/>
    <w:rsid w:val="006D27F4"/>
    <w:rsid w:val="006D33B2"/>
    <w:rsid w:val="006D3B84"/>
    <w:rsid w:val="006E2B18"/>
    <w:rsid w:val="006E4E13"/>
    <w:rsid w:val="006E5477"/>
    <w:rsid w:val="006E7437"/>
    <w:rsid w:val="006F30F0"/>
    <w:rsid w:val="006F435F"/>
    <w:rsid w:val="006F47DE"/>
    <w:rsid w:val="006F6D5B"/>
    <w:rsid w:val="006F7409"/>
    <w:rsid w:val="00700A21"/>
    <w:rsid w:val="0070127B"/>
    <w:rsid w:val="007016AE"/>
    <w:rsid w:val="00703237"/>
    <w:rsid w:val="007045CB"/>
    <w:rsid w:val="00705C8F"/>
    <w:rsid w:val="00710037"/>
    <w:rsid w:val="00712F31"/>
    <w:rsid w:val="007139B8"/>
    <w:rsid w:val="00713ADB"/>
    <w:rsid w:val="00715A80"/>
    <w:rsid w:val="00717B13"/>
    <w:rsid w:val="0072027E"/>
    <w:rsid w:val="0072414C"/>
    <w:rsid w:val="00730662"/>
    <w:rsid w:val="00731E98"/>
    <w:rsid w:val="0073224F"/>
    <w:rsid w:val="007329BD"/>
    <w:rsid w:val="007334A2"/>
    <w:rsid w:val="00734E17"/>
    <w:rsid w:val="00737854"/>
    <w:rsid w:val="007417DC"/>
    <w:rsid w:val="00741CB8"/>
    <w:rsid w:val="007420B5"/>
    <w:rsid w:val="007445ED"/>
    <w:rsid w:val="00744B2C"/>
    <w:rsid w:val="007467B2"/>
    <w:rsid w:val="007468B7"/>
    <w:rsid w:val="00751D0A"/>
    <w:rsid w:val="0075220A"/>
    <w:rsid w:val="00752F9E"/>
    <w:rsid w:val="007541C3"/>
    <w:rsid w:val="00754462"/>
    <w:rsid w:val="00755095"/>
    <w:rsid w:val="007563E9"/>
    <w:rsid w:val="00760D34"/>
    <w:rsid w:val="00762567"/>
    <w:rsid w:val="007639F8"/>
    <w:rsid w:val="00764EFB"/>
    <w:rsid w:val="00765F65"/>
    <w:rsid w:val="00770073"/>
    <w:rsid w:val="00773CEE"/>
    <w:rsid w:val="00781912"/>
    <w:rsid w:val="00784611"/>
    <w:rsid w:val="00784D22"/>
    <w:rsid w:val="007875E3"/>
    <w:rsid w:val="007877D0"/>
    <w:rsid w:val="00791A4A"/>
    <w:rsid w:val="007920F3"/>
    <w:rsid w:val="00792EC1"/>
    <w:rsid w:val="0079489B"/>
    <w:rsid w:val="00795206"/>
    <w:rsid w:val="0079563C"/>
    <w:rsid w:val="007968CB"/>
    <w:rsid w:val="00797140"/>
    <w:rsid w:val="007B1BFE"/>
    <w:rsid w:val="007C3B2A"/>
    <w:rsid w:val="007C3C39"/>
    <w:rsid w:val="007C3E85"/>
    <w:rsid w:val="007C61CA"/>
    <w:rsid w:val="007D1349"/>
    <w:rsid w:val="007D1492"/>
    <w:rsid w:val="007D318D"/>
    <w:rsid w:val="007D38EA"/>
    <w:rsid w:val="007D4457"/>
    <w:rsid w:val="007D5C8C"/>
    <w:rsid w:val="007D5FD0"/>
    <w:rsid w:val="007D6557"/>
    <w:rsid w:val="007E09A4"/>
    <w:rsid w:val="007E0C7A"/>
    <w:rsid w:val="007E1129"/>
    <w:rsid w:val="007E1A3A"/>
    <w:rsid w:val="007E1F17"/>
    <w:rsid w:val="007E6DB0"/>
    <w:rsid w:val="007F0A2B"/>
    <w:rsid w:val="007F2300"/>
    <w:rsid w:val="007F239F"/>
    <w:rsid w:val="007F2E65"/>
    <w:rsid w:val="007F4CB6"/>
    <w:rsid w:val="007F67E6"/>
    <w:rsid w:val="007F69EE"/>
    <w:rsid w:val="007F704A"/>
    <w:rsid w:val="00801E20"/>
    <w:rsid w:val="00802BC5"/>
    <w:rsid w:val="0080391B"/>
    <w:rsid w:val="00804026"/>
    <w:rsid w:val="008041C7"/>
    <w:rsid w:val="00806ABA"/>
    <w:rsid w:val="00814477"/>
    <w:rsid w:val="00815060"/>
    <w:rsid w:val="008177D9"/>
    <w:rsid w:val="00817CFA"/>
    <w:rsid w:val="00820BA1"/>
    <w:rsid w:val="0082139C"/>
    <w:rsid w:val="00821E56"/>
    <w:rsid w:val="00823A03"/>
    <w:rsid w:val="00823C2A"/>
    <w:rsid w:val="00831F02"/>
    <w:rsid w:val="00832F18"/>
    <w:rsid w:val="00834FCF"/>
    <w:rsid w:val="00837E8C"/>
    <w:rsid w:val="008427D7"/>
    <w:rsid w:val="00842809"/>
    <w:rsid w:val="00843155"/>
    <w:rsid w:val="00843EB8"/>
    <w:rsid w:val="0084488C"/>
    <w:rsid w:val="0084632D"/>
    <w:rsid w:val="00846A63"/>
    <w:rsid w:val="00847A1F"/>
    <w:rsid w:val="00853A30"/>
    <w:rsid w:val="00856109"/>
    <w:rsid w:val="00856F2B"/>
    <w:rsid w:val="00856FAD"/>
    <w:rsid w:val="0086158B"/>
    <w:rsid w:val="00866DEE"/>
    <w:rsid w:val="008748F7"/>
    <w:rsid w:val="008767FA"/>
    <w:rsid w:val="00881B62"/>
    <w:rsid w:val="00881B92"/>
    <w:rsid w:val="00883EC7"/>
    <w:rsid w:val="0088567C"/>
    <w:rsid w:val="008864FB"/>
    <w:rsid w:val="00890D3D"/>
    <w:rsid w:val="00892A87"/>
    <w:rsid w:val="00893812"/>
    <w:rsid w:val="00896355"/>
    <w:rsid w:val="00897727"/>
    <w:rsid w:val="008A0F01"/>
    <w:rsid w:val="008A1EB3"/>
    <w:rsid w:val="008A3200"/>
    <w:rsid w:val="008A4365"/>
    <w:rsid w:val="008B013D"/>
    <w:rsid w:val="008B1653"/>
    <w:rsid w:val="008B3A16"/>
    <w:rsid w:val="008B6574"/>
    <w:rsid w:val="008C637A"/>
    <w:rsid w:val="008C6BBA"/>
    <w:rsid w:val="008C6BEE"/>
    <w:rsid w:val="008D1906"/>
    <w:rsid w:val="008D3F60"/>
    <w:rsid w:val="008D5174"/>
    <w:rsid w:val="008D62C5"/>
    <w:rsid w:val="008D677D"/>
    <w:rsid w:val="008D7D2A"/>
    <w:rsid w:val="008E0025"/>
    <w:rsid w:val="008E2A12"/>
    <w:rsid w:val="008E3721"/>
    <w:rsid w:val="008E631F"/>
    <w:rsid w:val="008E6FE1"/>
    <w:rsid w:val="008E7F15"/>
    <w:rsid w:val="008F603F"/>
    <w:rsid w:val="009061E6"/>
    <w:rsid w:val="00907EE5"/>
    <w:rsid w:val="00910166"/>
    <w:rsid w:val="0091265A"/>
    <w:rsid w:val="00913575"/>
    <w:rsid w:val="00914BCC"/>
    <w:rsid w:val="00916B5A"/>
    <w:rsid w:val="009170EF"/>
    <w:rsid w:val="0091748C"/>
    <w:rsid w:val="009177A8"/>
    <w:rsid w:val="00920817"/>
    <w:rsid w:val="00923E50"/>
    <w:rsid w:val="009356D5"/>
    <w:rsid w:val="00940B62"/>
    <w:rsid w:val="0094308D"/>
    <w:rsid w:val="009442DB"/>
    <w:rsid w:val="00946431"/>
    <w:rsid w:val="00946837"/>
    <w:rsid w:val="00946B5D"/>
    <w:rsid w:val="00950F89"/>
    <w:rsid w:val="00952CC6"/>
    <w:rsid w:val="0095508D"/>
    <w:rsid w:val="00961680"/>
    <w:rsid w:val="0096230C"/>
    <w:rsid w:val="00967C58"/>
    <w:rsid w:val="009777B6"/>
    <w:rsid w:val="00977A34"/>
    <w:rsid w:val="00982886"/>
    <w:rsid w:val="00984AE2"/>
    <w:rsid w:val="00984FA5"/>
    <w:rsid w:val="00984FEE"/>
    <w:rsid w:val="0099204B"/>
    <w:rsid w:val="009927E3"/>
    <w:rsid w:val="00993614"/>
    <w:rsid w:val="00994813"/>
    <w:rsid w:val="009A253D"/>
    <w:rsid w:val="009A3013"/>
    <w:rsid w:val="009A3691"/>
    <w:rsid w:val="009A3F56"/>
    <w:rsid w:val="009A5A7F"/>
    <w:rsid w:val="009A7068"/>
    <w:rsid w:val="009A7D76"/>
    <w:rsid w:val="009B0B13"/>
    <w:rsid w:val="009B3DE9"/>
    <w:rsid w:val="009B4F29"/>
    <w:rsid w:val="009B5117"/>
    <w:rsid w:val="009B6198"/>
    <w:rsid w:val="009B7F11"/>
    <w:rsid w:val="009C1C55"/>
    <w:rsid w:val="009C1D12"/>
    <w:rsid w:val="009C68FC"/>
    <w:rsid w:val="009C7399"/>
    <w:rsid w:val="009D0580"/>
    <w:rsid w:val="009D185C"/>
    <w:rsid w:val="009D2A4A"/>
    <w:rsid w:val="009D2B56"/>
    <w:rsid w:val="009D2CA5"/>
    <w:rsid w:val="009D3DB7"/>
    <w:rsid w:val="009D48F4"/>
    <w:rsid w:val="009D5D7C"/>
    <w:rsid w:val="009D7616"/>
    <w:rsid w:val="009D7D36"/>
    <w:rsid w:val="009E0F7C"/>
    <w:rsid w:val="009E41F3"/>
    <w:rsid w:val="009E4AAB"/>
    <w:rsid w:val="009F016C"/>
    <w:rsid w:val="009F08DE"/>
    <w:rsid w:val="009F1B37"/>
    <w:rsid w:val="009F1F8A"/>
    <w:rsid w:val="009F3956"/>
    <w:rsid w:val="009F4E52"/>
    <w:rsid w:val="009F77FE"/>
    <w:rsid w:val="00A0290A"/>
    <w:rsid w:val="00A04967"/>
    <w:rsid w:val="00A05343"/>
    <w:rsid w:val="00A05FDB"/>
    <w:rsid w:val="00A069D9"/>
    <w:rsid w:val="00A06FE6"/>
    <w:rsid w:val="00A1202F"/>
    <w:rsid w:val="00A14D29"/>
    <w:rsid w:val="00A16B9A"/>
    <w:rsid w:val="00A20A41"/>
    <w:rsid w:val="00A21223"/>
    <w:rsid w:val="00A215C8"/>
    <w:rsid w:val="00A22211"/>
    <w:rsid w:val="00A223D7"/>
    <w:rsid w:val="00A22852"/>
    <w:rsid w:val="00A24214"/>
    <w:rsid w:val="00A24A3F"/>
    <w:rsid w:val="00A265E8"/>
    <w:rsid w:val="00A32A02"/>
    <w:rsid w:val="00A374FB"/>
    <w:rsid w:val="00A46561"/>
    <w:rsid w:val="00A46E59"/>
    <w:rsid w:val="00A4759C"/>
    <w:rsid w:val="00A475B7"/>
    <w:rsid w:val="00A500D9"/>
    <w:rsid w:val="00A508D6"/>
    <w:rsid w:val="00A53F0D"/>
    <w:rsid w:val="00A62786"/>
    <w:rsid w:val="00A6331D"/>
    <w:rsid w:val="00A638A2"/>
    <w:rsid w:val="00A63FBF"/>
    <w:rsid w:val="00A70194"/>
    <w:rsid w:val="00A70CB5"/>
    <w:rsid w:val="00A729FA"/>
    <w:rsid w:val="00A7438F"/>
    <w:rsid w:val="00A81810"/>
    <w:rsid w:val="00A828AC"/>
    <w:rsid w:val="00A83DF7"/>
    <w:rsid w:val="00A8722F"/>
    <w:rsid w:val="00A877EB"/>
    <w:rsid w:val="00A9614A"/>
    <w:rsid w:val="00AA1758"/>
    <w:rsid w:val="00AA31AE"/>
    <w:rsid w:val="00AA3EC1"/>
    <w:rsid w:val="00AA4E5E"/>
    <w:rsid w:val="00AA6A76"/>
    <w:rsid w:val="00AB08C8"/>
    <w:rsid w:val="00AB10B0"/>
    <w:rsid w:val="00AB11DF"/>
    <w:rsid w:val="00AB14C4"/>
    <w:rsid w:val="00AB4A62"/>
    <w:rsid w:val="00AC2566"/>
    <w:rsid w:val="00AC3310"/>
    <w:rsid w:val="00AC4882"/>
    <w:rsid w:val="00AC4C0B"/>
    <w:rsid w:val="00AC69E4"/>
    <w:rsid w:val="00AD021A"/>
    <w:rsid w:val="00AD3033"/>
    <w:rsid w:val="00AD4DA0"/>
    <w:rsid w:val="00AD4E53"/>
    <w:rsid w:val="00AD64A3"/>
    <w:rsid w:val="00AD69D4"/>
    <w:rsid w:val="00AD7477"/>
    <w:rsid w:val="00AD7B36"/>
    <w:rsid w:val="00AE4E5A"/>
    <w:rsid w:val="00AE643B"/>
    <w:rsid w:val="00AF0B48"/>
    <w:rsid w:val="00AF17F1"/>
    <w:rsid w:val="00AF1D6C"/>
    <w:rsid w:val="00AF7CFB"/>
    <w:rsid w:val="00B02A7E"/>
    <w:rsid w:val="00B0799C"/>
    <w:rsid w:val="00B12140"/>
    <w:rsid w:val="00B12C32"/>
    <w:rsid w:val="00B12F31"/>
    <w:rsid w:val="00B13F5F"/>
    <w:rsid w:val="00B15577"/>
    <w:rsid w:val="00B16A10"/>
    <w:rsid w:val="00B16D98"/>
    <w:rsid w:val="00B17C32"/>
    <w:rsid w:val="00B17E46"/>
    <w:rsid w:val="00B22876"/>
    <w:rsid w:val="00B240B5"/>
    <w:rsid w:val="00B24305"/>
    <w:rsid w:val="00B251EC"/>
    <w:rsid w:val="00B26E19"/>
    <w:rsid w:val="00B31D57"/>
    <w:rsid w:val="00B32060"/>
    <w:rsid w:val="00B34B83"/>
    <w:rsid w:val="00B359D1"/>
    <w:rsid w:val="00B37069"/>
    <w:rsid w:val="00B40990"/>
    <w:rsid w:val="00B425E7"/>
    <w:rsid w:val="00B4402C"/>
    <w:rsid w:val="00B45100"/>
    <w:rsid w:val="00B45711"/>
    <w:rsid w:val="00B46299"/>
    <w:rsid w:val="00B4639B"/>
    <w:rsid w:val="00B4765D"/>
    <w:rsid w:val="00B52667"/>
    <w:rsid w:val="00B526C8"/>
    <w:rsid w:val="00B56DBD"/>
    <w:rsid w:val="00B6206A"/>
    <w:rsid w:val="00B625FB"/>
    <w:rsid w:val="00B63B93"/>
    <w:rsid w:val="00B63CAD"/>
    <w:rsid w:val="00B64E3E"/>
    <w:rsid w:val="00B665EA"/>
    <w:rsid w:val="00B667A2"/>
    <w:rsid w:val="00B707A3"/>
    <w:rsid w:val="00B71239"/>
    <w:rsid w:val="00B71990"/>
    <w:rsid w:val="00B77004"/>
    <w:rsid w:val="00B80BF6"/>
    <w:rsid w:val="00B810D5"/>
    <w:rsid w:val="00B81112"/>
    <w:rsid w:val="00B84502"/>
    <w:rsid w:val="00B85496"/>
    <w:rsid w:val="00B8685E"/>
    <w:rsid w:val="00B924EB"/>
    <w:rsid w:val="00B92AF6"/>
    <w:rsid w:val="00B946AE"/>
    <w:rsid w:val="00B959A3"/>
    <w:rsid w:val="00BA01C9"/>
    <w:rsid w:val="00BA0314"/>
    <w:rsid w:val="00BA0477"/>
    <w:rsid w:val="00BA1C47"/>
    <w:rsid w:val="00BA300D"/>
    <w:rsid w:val="00BA66A9"/>
    <w:rsid w:val="00BA7DDD"/>
    <w:rsid w:val="00BB03C5"/>
    <w:rsid w:val="00BB1027"/>
    <w:rsid w:val="00BB5B36"/>
    <w:rsid w:val="00BC1343"/>
    <w:rsid w:val="00BC2203"/>
    <w:rsid w:val="00BC2C1F"/>
    <w:rsid w:val="00BC3417"/>
    <w:rsid w:val="00BC4A06"/>
    <w:rsid w:val="00BC5C42"/>
    <w:rsid w:val="00BC6576"/>
    <w:rsid w:val="00BC7315"/>
    <w:rsid w:val="00BC7E0D"/>
    <w:rsid w:val="00BD08A9"/>
    <w:rsid w:val="00BD24B3"/>
    <w:rsid w:val="00BD28E4"/>
    <w:rsid w:val="00BD29B4"/>
    <w:rsid w:val="00BD7AE2"/>
    <w:rsid w:val="00BE141E"/>
    <w:rsid w:val="00BE42FE"/>
    <w:rsid w:val="00BE5C4E"/>
    <w:rsid w:val="00BE73C8"/>
    <w:rsid w:val="00BE7C5E"/>
    <w:rsid w:val="00BF0276"/>
    <w:rsid w:val="00BF186F"/>
    <w:rsid w:val="00BF4E9E"/>
    <w:rsid w:val="00BF5798"/>
    <w:rsid w:val="00C0108D"/>
    <w:rsid w:val="00C01BB6"/>
    <w:rsid w:val="00C02F16"/>
    <w:rsid w:val="00C031CE"/>
    <w:rsid w:val="00C04881"/>
    <w:rsid w:val="00C04A22"/>
    <w:rsid w:val="00C04CCF"/>
    <w:rsid w:val="00C07012"/>
    <w:rsid w:val="00C1012E"/>
    <w:rsid w:val="00C110B8"/>
    <w:rsid w:val="00C11673"/>
    <w:rsid w:val="00C147DE"/>
    <w:rsid w:val="00C16C88"/>
    <w:rsid w:val="00C20328"/>
    <w:rsid w:val="00C21283"/>
    <w:rsid w:val="00C244AB"/>
    <w:rsid w:val="00C25E1B"/>
    <w:rsid w:val="00C26911"/>
    <w:rsid w:val="00C279DF"/>
    <w:rsid w:val="00C304D9"/>
    <w:rsid w:val="00C310A7"/>
    <w:rsid w:val="00C31518"/>
    <w:rsid w:val="00C339E0"/>
    <w:rsid w:val="00C34F6E"/>
    <w:rsid w:val="00C36285"/>
    <w:rsid w:val="00C3668E"/>
    <w:rsid w:val="00C370D1"/>
    <w:rsid w:val="00C40057"/>
    <w:rsid w:val="00C40A8D"/>
    <w:rsid w:val="00C417BB"/>
    <w:rsid w:val="00C43E55"/>
    <w:rsid w:val="00C4481B"/>
    <w:rsid w:val="00C46CE2"/>
    <w:rsid w:val="00C46EF7"/>
    <w:rsid w:val="00C51054"/>
    <w:rsid w:val="00C5197F"/>
    <w:rsid w:val="00C52031"/>
    <w:rsid w:val="00C5286C"/>
    <w:rsid w:val="00C53B8E"/>
    <w:rsid w:val="00C555A8"/>
    <w:rsid w:val="00C562D3"/>
    <w:rsid w:val="00C65B26"/>
    <w:rsid w:val="00C74412"/>
    <w:rsid w:val="00C75228"/>
    <w:rsid w:val="00C819EF"/>
    <w:rsid w:val="00C830B0"/>
    <w:rsid w:val="00C83D69"/>
    <w:rsid w:val="00C84598"/>
    <w:rsid w:val="00C8495F"/>
    <w:rsid w:val="00C864DC"/>
    <w:rsid w:val="00C86E0C"/>
    <w:rsid w:val="00C87666"/>
    <w:rsid w:val="00C903D2"/>
    <w:rsid w:val="00C912FE"/>
    <w:rsid w:val="00C91319"/>
    <w:rsid w:val="00C929F3"/>
    <w:rsid w:val="00C942B5"/>
    <w:rsid w:val="00C943F8"/>
    <w:rsid w:val="00C97DF5"/>
    <w:rsid w:val="00CA294B"/>
    <w:rsid w:val="00CA620A"/>
    <w:rsid w:val="00CB10E7"/>
    <w:rsid w:val="00CB16DB"/>
    <w:rsid w:val="00CB265E"/>
    <w:rsid w:val="00CB354A"/>
    <w:rsid w:val="00CB398D"/>
    <w:rsid w:val="00CB52EA"/>
    <w:rsid w:val="00CB796D"/>
    <w:rsid w:val="00CC00E5"/>
    <w:rsid w:val="00CC3726"/>
    <w:rsid w:val="00CC5337"/>
    <w:rsid w:val="00CC766D"/>
    <w:rsid w:val="00CD434E"/>
    <w:rsid w:val="00CD4C5A"/>
    <w:rsid w:val="00CD59F3"/>
    <w:rsid w:val="00CD6598"/>
    <w:rsid w:val="00CD6BEC"/>
    <w:rsid w:val="00CE0A79"/>
    <w:rsid w:val="00CE302D"/>
    <w:rsid w:val="00CE3074"/>
    <w:rsid w:val="00CE3C20"/>
    <w:rsid w:val="00CF0321"/>
    <w:rsid w:val="00CF3589"/>
    <w:rsid w:val="00CF399C"/>
    <w:rsid w:val="00CF6F4B"/>
    <w:rsid w:val="00D022D8"/>
    <w:rsid w:val="00D03B9F"/>
    <w:rsid w:val="00D07DE4"/>
    <w:rsid w:val="00D10C5D"/>
    <w:rsid w:val="00D10E3B"/>
    <w:rsid w:val="00D111D4"/>
    <w:rsid w:val="00D114D1"/>
    <w:rsid w:val="00D127A8"/>
    <w:rsid w:val="00D14880"/>
    <w:rsid w:val="00D17D7C"/>
    <w:rsid w:val="00D22AF0"/>
    <w:rsid w:val="00D23377"/>
    <w:rsid w:val="00D24A94"/>
    <w:rsid w:val="00D27275"/>
    <w:rsid w:val="00D306E0"/>
    <w:rsid w:val="00D34145"/>
    <w:rsid w:val="00D37194"/>
    <w:rsid w:val="00D37E75"/>
    <w:rsid w:val="00D434A1"/>
    <w:rsid w:val="00D444FE"/>
    <w:rsid w:val="00D44806"/>
    <w:rsid w:val="00D4488B"/>
    <w:rsid w:val="00D46165"/>
    <w:rsid w:val="00D4649C"/>
    <w:rsid w:val="00D50A15"/>
    <w:rsid w:val="00D50EDC"/>
    <w:rsid w:val="00D51616"/>
    <w:rsid w:val="00D517CE"/>
    <w:rsid w:val="00D5199C"/>
    <w:rsid w:val="00D51AD7"/>
    <w:rsid w:val="00D51DE1"/>
    <w:rsid w:val="00D53A8F"/>
    <w:rsid w:val="00D56B6A"/>
    <w:rsid w:val="00D60452"/>
    <w:rsid w:val="00D6052A"/>
    <w:rsid w:val="00D60701"/>
    <w:rsid w:val="00D62AEE"/>
    <w:rsid w:val="00D63215"/>
    <w:rsid w:val="00D63BF4"/>
    <w:rsid w:val="00D7297A"/>
    <w:rsid w:val="00D75C6A"/>
    <w:rsid w:val="00D767E6"/>
    <w:rsid w:val="00D778A6"/>
    <w:rsid w:val="00D77D62"/>
    <w:rsid w:val="00D77EF2"/>
    <w:rsid w:val="00D8138F"/>
    <w:rsid w:val="00D82668"/>
    <w:rsid w:val="00D83962"/>
    <w:rsid w:val="00D83C5B"/>
    <w:rsid w:val="00D84A26"/>
    <w:rsid w:val="00D90FB0"/>
    <w:rsid w:val="00D929C9"/>
    <w:rsid w:val="00D92F38"/>
    <w:rsid w:val="00D939A1"/>
    <w:rsid w:val="00D93FA6"/>
    <w:rsid w:val="00D94ACC"/>
    <w:rsid w:val="00D94F9A"/>
    <w:rsid w:val="00D975DF"/>
    <w:rsid w:val="00DA1549"/>
    <w:rsid w:val="00DA1B19"/>
    <w:rsid w:val="00DA279F"/>
    <w:rsid w:val="00DA2BFF"/>
    <w:rsid w:val="00DA5A88"/>
    <w:rsid w:val="00DA614D"/>
    <w:rsid w:val="00DB412A"/>
    <w:rsid w:val="00DB581B"/>
    <w:rsid w:val="00DB59D6"/>
    <w:rsid w:val="00DB5DEF"/>
    <w:rsid w:val="00DB7C0F"/>
    <w:rsid w:val="00DC0117"/>
    <w:rsid w:val="00DC084B"/>
    <w:rsid w:val="00DC1EE3"/>
    <w:rsid w:val="00DC2367"/>
    <w:rsid w:val="00DC2709"/>
    <w:rsid w:val="00DC30A0"/>
    <w:rsid w:val="00DD262C"/>
    <w:rsid w:val="00DE0AC1"/>
    <w:rsid w:val="00DE1710"/>
    <w:rsid w:val="00DE3A26"/>
    <w:rsid w:val="00DE55F9"/>
    <w:rsid w:val="00DE5EF7"/>
    <w:rsid w:val="00DE695E"/>
    <w:rsid w:val="00DF001B"/>
    <w:rsid w:val="00DF1FE7"/>
    <w:rsid w:val="00DF258E"/>
    <w:rsid w:val="00DF4F6E"/>
    <w:rsid w:val="00DF6DDA"/>
    <w:rsid w:val="00DF7272"/>
    <w:rsid w:val="00DF76C4"/>
    <w:rsid w:val="00E000F5"/>
    <w:rsid w:val="00E0102A"/>
    <w:rsid w:val="00E0123B"/>
    <w:rsid w:val="00E01407"/>
    <w:rsid w:val="00E0644A"/>
    <w:rsid w:val="00E074A8"/>
    <w:rsid w:val="00E103E7"/>
    <w:rsid w:val="00E10923"/>
    <w:rsid w:val="00E10BE2"/>
    <w:rsid w:val="00E10C31"/>
    <w:rsid w:val="00E11A19"/>
    <w:rsid w:val="00E12945"/>
    <w:rsid w:val="00E15CDC"/>
    <w:rsid w:val="00E16AE9"/>
    <w:rsid w:val="00E17A0F"/>
    <w:rsid w:val="00E2105A"/>
    <w:rsid w:val="00E24DB8"/>
    <w:rsid w:val="00E26005"/>
    <w:rsid w:val="00E263E6"/>
    <w:rsid w:val="00E27804"/>
    <w:rsid w:val="00E30643"/>
    <w:rsid w:val="00E345BC"/>
    <w:rsid w:val="00E3690E"/>
    <w:rsid w:val="00E40455"/>
    <w:rsid w:val="00E41420"/>
    <w:rsid w:val="00E46FB5"/>
    <w:rsid w:val="00E51523"/>
    <w:rsid w:val="00E5204A"/>
    <w:rsid w:val="00E52243"/>
    <w:rsid w:val="00E522EE"/>
    <w:rsid w:val="00E54F01"/>
    <w:rsid w:val="00E55513"/>
    <w:rsid w:val="00E55A1C"/>
    <w:rsid w:val="00E61DAC"/>
    <w:rsid w:val="00E63EB2"/>
    <w:rsid w:val="00E6489E"/>
    <w:rsid w:val="00E660B4"/>
    <w:rsid w:val="00E7076B"/>
    <w:rsid w:val="00E726B9"/>
    <w:rsid w:val="00E7329A"/>
    <w:rsid w:val="00E772DB"/>
    <w:rsid w:val="00E800CD"/>
    <w:rsid w:val="00E825FD"/>
    <w:rsid w:val="00E8280B"/>
    <w:rsid w:val="00E832E2"/>
    <w:rsid w:val="00E83AC6"/>
    <w:rsid w:val="00E84CE9"/>
    <w:rsid w:val="00E8700C"/>
    <w:rsid w:val="00E91AFF"/>
    <w:rsid w:val="00E92D06"/>
    <w:rsid w:val="00E9463F"/>
    <w:rsid w:val="00E94A3B"/>
    <w:rsid w:val="00E94CFF"/>
    <w:rsid w:val="00E962F1"/>
    <w:rsid w:val="00E964F1"/>
    <w:rsid w:val="00E96F8B"/>
    <w:rsid w:val="00EA09F7"/>
    <w:rsid w:val="00EA220D"/>
    <w:rsid w:val="00EA23A6"/>
    <w:rsid w:val="00EA5099"/>
    <w:rsid w:val="00EA6F95"/>
    <w:rsid w:val="00EB2E4B"/>
    <w:rsid w:val="00EB5D10"/>
    <w:rsid w:val="00EC0AD9"/>
    <w:rsid w:val="00EC0AE2"/>
    <w:rsid w:val="00EC0DD8"/>
    <w:rsid w:val="00EC2AA4"/>
    <w:rsid w:val="00EC4157"/>
    <w:rsid w:val="00EC664B"/>
    <w:rsid w:val="00ED24E6"/>
    <w:rsid w:val="00ED2D68"/>
    <w:rsid w:val="00ED2E3B"/>
    <w:rsid w:val="00ED5F6A"/>
    <w:rsid w:val="00ED7048"/>
    <w:rsid w:val="00ED7C35"/>
    <w:rsid w:val="00EE36DF"/>
    <w:rsid w:val="00EE5489"/>
    <w:rsid w:val="00EE6601"/>
    <w:rsid w:val="00EF076D"/>
    <w:rsid w:val="00EF3070"/>
    <w:rsid w:val="00EF3802"/>
    <w:rsid w:val="00EF4A91"/>
    <w:rsid w:val="00F003A9"/>
    <w:rsid w:val="00F0275E"/>
    <w:rsid w:val="00F062E3"/>
    <w:rsid w:val="00F0731F"/>
    <w:rsid w:val="00F109FF"/>
    <w:rsid w:val="00F14F8F"/>
    <w:rsid w:val="00F15841"/>
    <w:rsid w:val="00F21B8B"/>
    <w:rsid w:val="00F233B0"/>
    <w:rsid w:val="00F24631"/>
    <w:rsid w:val="00F25703"/>
    <w:rsid w:val="00F3109C"/>
    <w:rsid w:val="00F3176A"/>
    <w:rsid w:val="00F333C4"/>
    <w:rsid w:val="00F334CA"/>
    <w:rsid w:val="00F36F0C"/>
    <w:rsid w:val="00F37499"/>
    <w:rsid w:val="00F401D3"/>
    <w:rsid w:val="00F40639"/>
    <w:rsid w:val="00F42BC4"/>
    <w:rsid w:val="00F439C2"/>
    <w:rsid w:val="00F456A5"/>
    <w:rsid w:val="00F45869"/>
    <w:rsid w:val="00F4798E"/>
    <w:rsid w:val="00F56F31"/>
    <w:rsid w:val="00F70310"/>
    <w:rsid w:val="00F70713"/>
    <w:rsid w:val="00F75F08"/>
    <w:rsid w:val="00F77A90"/>
    <w:rsid w:val="00F8009B"/>
    <w:rsid w:val="00F82607"/>
    <w:rsid w:val="00F82DB0"/>
    <w:rsid w:val="00F831CD"/>
    <w:rsid w:val="00F83595"/>
    <w:rsid w:val="00F84555"/>
    <w:rsid w:val="00F86F2E"/>
    <w:rsid w:val="00F92B1F"/>
    <w:rsid w:val="00F92B69"/>
    <w:rsid w:val="00F93989"/>
    <w:rsid w:val="00F95592"/>
    <w:rsid w:val="00F959C3"/>
    <w:rsid w:val="00FA141F"/>
    <w:rsid w:val="00FA2880"/>
    <w:rsid w:val="00FA4A1C"/>
    <w:rsid w:val="00FA56C3"/>
    <w:rsid w:val="00FB23DA"/>
    <w:rsid w:val="00FB3EF7"/>
    <w:rsid w:val="00FB5F89"/>
    <w:rsid w:val="00FC528B"/>
    <w:rsid w:val="00FD00BB"/>
    <w:rsid w:val="00FD010F"/>
    <w:rsid w:val="00FD1427"/>
    <w:rsid w:val="00FD1610"/>
    <w:rsid w:val="00FD19B3"/>
    <w:rsid w:val="00FD48FB"/>
    <w:rsid w:val="00FD5C88"/>
    <w:rsid w:val="00FE08E3"/>
    <w:rsid w:val="00FE39B6"/>
    <w:rsid w:val="00FE4326"/>
    <w:rsid w:val="00FE4327"/>
    <w:rsid w:val="00FE5BF4"/>
    <w:rsid w:val="00FE7C6A"/>
    <w:rsid w:val="00FF3930"/>
    <w:rsid w:val="00FF70BC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DC42E"/>
  <w14:defaultImageDpi w14:val="32767"/>
  <w15:chartTrackingRefBased/>
  <w15:docId w15:val="{1A5C5081-B48E-EC48-9BCE-3EEC9BE4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20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0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30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81912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95D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130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3130E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313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0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0E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EF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F0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D0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41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F67E6"/>
  </w:style>
  <w:style w:type="character" w:styleId="Hyperlink">
    <w:name w:val="Hyperlink"/>
    <w:basedOn w:val="DefaultParagraphFont"/>
    <w:uiPriority w:val="99"/>
    <w:unhideWhenUsed/>
    <w:rsid w:val="007F67E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F8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5F2F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796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64EF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E4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E1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E4E1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4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4222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D23377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CA620A"/>
  </w:style>
  <w:style w:type="paragraph" w:styleId="Header">
    <w:name w:val="header"/>
    <w:basedOn w:val="Normal"/>
    <w:link w:val="HeaderChar"/>
    <w:uiPriority w:val="99"/>
    <w:unhideWhenUsed/>
    <w:rsid w:val="00795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6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9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4ACAD1-C511-44A9-9F57-732B06F1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Nicole Eichert</cp:lastModifiedBy>
  <cp:revision>4</cp:revision>
  <cp:lastPrinted>2019-12-18T17:06:00Z</cp:lastPrinted>
  <dcterms:created xsi:type="dcterms:W3CDTF">2020-12-01T10:34:00Z</dcterms:created>
  <dcterms:modified xsi:type="dcterms:W3CDTF">2020-12-01T12:03:00Z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http://www.zotero.org/styles/brain-structure-and-function</vt:lpwstr>
  </property>
  <property fmtid="{D5CDD505-2E9C-101B-9397-08002B2CF9AE}" pid="7" name="Mendeley Recent Style Name 2_1">
    <vt:lpwstr>Brain Structure and Function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http://www.zotero.org/styles/cortex</vt:lpwstr>
  </property>
  <property fmtid="{D5CDD505-2E9C-101B-9397-08002B2CF9AE}" pid="11" name="Mendeley Recent Style Name 4_1">
    <vt:lpwstr>Cortex</vt:lpwstr>
  </property>
  <property fmtid="{D5CDD505-2E9C-101B-9397-08002B2CF9AE}" pid="12" name="Mendeley Recent Style Id 5_1">
    <vt:lpwstr>http://www.zotero.org/styles/embo-reports</vt:lpwstr>
  </property>
  <property fmtid="{D5CDD505-2E9C-101B-9397-08002B2CF9AE}" pid="13" name="Mendeley Recent Style Name 5_1">
    <vt:lpwstr>EMBO reports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http://www.zotero.org/styles/the-embo-journal</vt:lpwstr>
  </property>
  <property fmtid="{D5CDD505-2E9C-101B-9397-08002B2CF9AE}" pid="19" name="Mendeley Recent Style Name 8_1">
    <vt:lpwstr>The EMBO Journal</vt:lpwstr>
  </property>
  <property fmtid="{D5CDD505-2E9C-101B-9397-08002B2CF9AE}" pid="20" name="Mendeley Recent Style Id 9_1">
    <vt:lpwstr>http://www.zotero.org/styles/the-journal-of-neuroscience</vt:lpwstr>
  </property>
  <property fmtid="{D5CDD505-2E9C-101B-9397-08002B2CF9AE}" pid="21" name="Mendeley Recent Style Name 9_1">
    <vt:lpwstr>The Journal of Neuroscience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208c0666-0b82-30b5-9ffa-06df431c27a9</vt:lpwstr>
  </property>
  <property fmtid="{D5CDD505-2E9C-101B-9397-08002B2CF9AE}" pid="24" name="Mendeley Citation Style_1">
    <vt:lpwstr>http://www.zotero.org/styles/brain-structure-and-function</vt:lpwstr>
  </property>
</Properties>
</file>