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750" w:rsidRPr="007D34CD" w:rsidRDefault="007D34CD">
      <w:pPr>
        <w:pStyle w:val="BodyText"/>
        <w:spacing w:line="48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Supplementary Material</w:t>
      </w:r>
    </w:p>
    <w:p w:rsidR="00114750" w:rsidRPr="007D34CD" w:rsidRDefault="007D34CD">
      <w:pPr>
        <w:pStyle w:val="BodyText"/>
        <w:spacing w:line="48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1. Goldsmith-Musical Sophistical Index, selected questions, 19 in total used for study</w:t>
      </w:r>
    </w:p>
    <w:p w:rsidR="00114750" w:rsidRPr="007D34CD" w:rsidRDefault="007D34CD">
      <w:pPr>
        <w:pStyle w:val="BodyText"/>
        <w:spacing w:line="480" w:lineRule="auto"/>
        <w:rPr>
          <w:rFonts w:ascii="Times New Roman" w:hAnsi="Times New Roman"/>
          <w:color w:val="auto"/>
          <w:sz w:val="20"/>
          <w:szCs w:val="20"/>
        </w:rPr>
      </w:pPr>
      <w:r w:rsidRPr="007D34CD">
        <w:rPr>
          <w:rFonts w:ascii="Times New Roman" w:hAnsi="Times New Roman"/>
          <w:color w:val="auto"/>
          <w:sz w:val="20"/>
          <w:szCs w:val="20"/>
        </w:rPr>
        <w:t xml:space="preserve">Question 1: </w:t>
      </w:r>
      <w:r w:rsidRPr="007D34CD">
        <w:rPr>
          <w:rFonts w:ascii="Times New Roman" w:hAnsi="Times New Roman"/>
          <w:color w:val="auto"/>
          <w:kern w:val="0"/>
          <w:sz w:val="20"/>
          <w:szCs w:val="20"/>
          <w:lang w:eastAsia="de-DE" w:bidi="ar-SA"/>
        </w:rPr>
        <w:t xml:space="preserve">I spend a lot of my free time doing music-related activities. </w:t>
      </w:r>
      <w:r w:rsidRPr="007D34CD">
        <w:rPr>
          <w:rFonts w:ascii="Times New Roman" w:hAnsi="Times New Roman"/>
          <w:color w:val="auto"/>
          <w:kern w:val="0"/>
          <w:sz w:val="20"/>
          <w:szCs w:val="20"/>
          <w:lang w:eastAsia="de-DE" w:bidi="ar-SA"/>
        </w:rPr>
        <w:br/>
      </w:r>
      <w:r w:rsidRPr="007D34CD">
        <w:rPr>
          <w:rFonts w:ascii="Times New Roman" w:hAnsi="Times New Roman"/>
          <w:color w:val="auto"/>
          <w:kern w:val="0"/>
          <w:sz w:val="20"/>
          <w:szCs w:val="20"/>
          <w:lang w:eastAsia="de-DE" w:bidi="ar-SA"/>
        </w:rPr>
        <w:t>Reversed Negative Items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: 5, 6, 9 and 11. </w:t>
      </w:r>
    </w:p>
    <w:p w:rsidR="00114750" w:rsidRPr="007D34CD" w:rsidRDefault="007D34CD">
      <w:pPr>
        <w:pStyle w:val="BodyText"/>
        <w:spacing w:line="48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Scorer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: </w:t>
      </w:r>
      <w:r w:rsidRPr="007D34CD">
        <w:rPr>
          <w:rFonts w:ascii="Times New Roman" w:hAnsi="Times New Roman"/>
          <w:color w:val="auto"/>
          <w:sz w:val="20"/>
          <w:szCs w:val="20"/>
        </w:rPr>
        <w:t>https://shiny.gold-msi.org/gmsiscorer/</w:t>
      </w:r>
    </w:p>
    <w:p w:rsidR="00114750" w:rsidRPr="007D34CD" w:rsidRDefault="007D34CD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7D34CD">
        <w:rPr>
          <w:rFonts w:ascii="Times New Roman" w:hAnsi="Times New Roman" w:cs="Times New Roman"/>
          <w:b/>
          <w:sz w:val="20"/>
          <w:szCs w:val="20"/>
        </w:rPr>
        <w:t>Questions about your musical background</w:t>
      </w:r>
    </w:p>
    <w:tbl>
      <w:tblPr>
        <w:tblW w:w="97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5"/>
        <w:gridCol w:w="852"/>
        <w:gridCol w:w="849"/>
        <w:gridCol w:w="852"/>
        <w:gridCol w:w="991"/>
        <w:gridCol w:w="567"/>
        <w:gridCol w:w="710"/>
        <w:gridCol w:w="850"/>
      </w:tblGrid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/>
              <w:jc w:val="both"/>
              <w:rPr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b/>
                <w:kern w:val="0"/>
                <w:sz w:val="20"/>
                <w:szCs w:val="20"/>
                <w:lang w:val="en-US" w:eastAsia="de-DE" w:bidi="ar-SA"/>
              </w:rPr>
              <w:t xml:space="preserve">Please circle the most appropriate category: </w:t>
            </w:r>
          </w:p>
          <w:p w:rsidR="00114750" w:rsidRPr="007D34CD" w:rsidRDefault="00114750">
            <w:pPr>
              <w:pStyle w:val="NormalWeb"/>
              <w:spacing w:after="0"/>
              <w:jc w:val="both"/>
              <w:rPr>
                <w:b/>
                <w:kern w:val="0"/>
                <w:sz w:val="20"/>
                <w:szCs w:val="20"/>
                <w:lang w:val="de-DE" w:eastAsia="de-DE" w:bidi="ar-SA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  <w:p w:rsidR="00114750" w:rsidRPr="007D34CD" w:rsidRDefault="007D34CD">
            <w:pPr>
              <w:pStyle w:val="NormalWeb"/>
              <w:spacing w:before="0" w:after="0"/>
              <w:contextualSpacing/>
              <w:jc w:val="both"/>
              <w:rPr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b/>
                <w:kern w:val="0"/>
                <w:sz w:val="20"/>
                <w:szCs w:val="20"/>
                <w:lang w:val="de-DE" w:eastAsia="de-DE" w:bidi="ar-SA"/>
              </w:rPr>
              <w:t xml:space="preserve">Completely dis-agree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  <w:p w:rsidR="00114750" w:rsidRPr="007D34CD" w:rsidRDefault="007D34CD">
            <w:pPr>
              <w:contextualSpacing/>
              <w:jc w:val="both"/>
              <w:rPr>
                <w:rFonts w:ascii="Times New Roman" w:hAnsi="Times New Roman"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Strongly dis-agree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Dis-agree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Neither agree nor dis-agree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5</w:t>
            </w:r>
          </w:p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Agree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6</w:t>
            </w:r>
          </w:p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Strongly agree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7</w:t>
            </w:r>
          </w:p>
          <w:p w:rsidR="00114750" w:rsidRPr="007D34CD" w:rsidRDefault="007D34CD">
            <w:pPr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Completely agree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spend a lot of my free time doing music-related activities.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sometimes choose music that can trigger shivers down my spine.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enjoy writing about music, for example on blogs and forums.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I’m intrigued by musical styles I’m not familiar with and want to find out more.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Pieces of music rarely evoke emotions for me.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have never been complimented for my talents as a musical performer.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often read or search the internet for things related to music.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often pick certain music to motivate or excite me.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don’t spend much of my disposable income on music.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Music is kind of an addiction for me - I couldn’t live without it.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would not consider myself a musician.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keep track of new music that I come across (e.g. new artists or recordings).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7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engaged in regular, </w:t>
            </w: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>daily practice of a musical instrument (including voice) for … years.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4-5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6-9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&gt; 9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At the peak of my interest, I practiced … hours per day on my primary instrument.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0,5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3-4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&gt; 4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have attended ... live music events as an audience member in the past twelve months.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4-6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7-10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&gt; 10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>I have had formal training in music theory for … years.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0,5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4-6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&gt; 6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 xml:space="preserve">I have had … years of formal training on a musical instrument (including voice) during my lifetime.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0,5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3-5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6-9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&gt; 9</w:t>
            </w:r>
          </w:p>
        </w:tc>
      </w:tr>
      <w:tr w:rsidR="007D34CD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>I can play ... musical instruments.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D5D5"/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de-DE" w:eastAsia="de-DE" w:bidi="ar-SA"/>
              </w:rPr>
              <w:t>&gt; 5</w:t>
            </w:r>
          </w:p>
        </w:tc>
      </w:tr>
      <w:tr w:rsidR="00114750" w:rsidRPr="007D34CD"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pStyle w:val="NormalWeb"/>
              <w:spacing w:before="0" w:after="0"/>
              <w:jc w:val="both"/>
              <w:rPr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kern w:val="0"/>
                <w:sz w:val="20"/>
                <w:szCs w:val="20"/>
                <w:lang w:val="en-US" w:eastAsia="de-DE" w:bidi="ar-SA"/>
              </w:rPr>
              <w:t>I listen attentively to music for … per day.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0-15 min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15-30 min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30-60 min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60-90</w:t>
            </w: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 xml:space="preserve"> min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 xml:space="preserve">2 </w:t>
            </w:r>
            <w:proofErr w:type="spellStart"/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hrs</w:t>
            </w:r>
            <w:proofErr w:type="spell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 xml:space="preserve">2-3 </w:t>
            </w:r>
            <w:proofErr w:type="spellStart"/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hrs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4750" w:rsidRPr="007D34CD" w:rsidRDefault="007D34CD">
            <w:pPr>
              <w:spacing w:line="360" w:lineRule="auto"/>
              <w:contextualSpacing/>
              <w:jc w:val="both"/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</w:pPr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 xml:space="preserve">&gt; 3 </w:t>
            </w:r>
            <w:proofErr w:type="spellStart"/>
            <w:r w:rsidRPr="007D34CD">
              <w:rPr>
                <w:rFonts w:ascii="Times New Roman" w:eastAsia="Times" w:hAnsi="Times New Roman" w:cs="Times New Roman"/>
                <w:b/>
                <w:kern w:val="0"/>
                <w:sz w:val="20"/>
                <w:szCs w:val="20"/>
                <w:lang w:val="en-US" w:eastAsia="de-DE" w:bidi="ar-SA"/>
              </w:rPr>
              <w:t>hrs</w:t>
            </w:r>
            <w:proofErr w:type="spellEnd"/>
          </w:p>
        </w:tc>
      </w:tr>
    </w:tbl>
    <w:p w:rsidR="00114750" w:rsidRPr="007D34CD" w:rsidRDefault="00114750">
      <w:pPr>
        <w:spacing w:line="36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114750">
      <w:pPr>
        <w:pStyle w:val="BodyText"/>
        <w:spacing w:line="480" w:lineRule="auto"/>
        <w:jc w:val="both"/>
        <w:rPr>
          <w:rFonts w:ascii="Times New Roman" w:hAnsi="Times New Roman"/>
          <w:color w:val="auto"/>
          <w:sz w:val="20"/>
          <w:szCs w:val="20"/>
        </w:rPr>
      </w:pPr>
    </w:p>
    <w:p w:rsidR="00114750" w:rsidRPr="007D34CD" w:rsidRDefault="007D34CD">
      <w:pPr>
        <w:pStyle w:val="BodyText"/>
        <w:spacing w:line="48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lastRenderedPageBreak/>
        <w:t>2. Calculation of Groups from MT score</w:t>
      </w:r>
    </w:p>
    <w:p w:rsidR="00114750" w:rsidRPr="007D34CD" w:rsidRDefault="007D34CD">
      <w:pPr>
        <w:pStyle w:val="BodyText"/>
        <w:spacing w:line="48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2.1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To be categorized as an amateur-musician, e</w:t>
      </w:r>
      <w:r w:rsidRPr="007D34CD">
        <w:rPr>
          <w:rFonts w:ascii="Times New Roman" w:hAnsi="Times New Roman"/>
          <w:color w:val="auto"/>
          <w:sz w:val="20"/>
          <w:szCs w:val="20"/>
        </w:rPr>
        <w:t>ach participant had at least neutral or answered in the affirmative when asked if they consider themselves musicians and had received compliments for their talents as a musical performer, had at least 3 years of regular, daily practice of a musical instrum</w:t>
      </w:r>
      <w:r w:rsidRPr="007D34CD">
        <w:rPr>
          <w:rFonts w:ascii="Times New Roman" w:hAnsi="Times New Roman"/>
          <w:color w:val="auto"/>
          <w:sz w:val="20"/>
          <w:szCs w:val="20"/>
        </w:rPr>
        <w:t>ent (including voice), practiced at least 1.5 hours or more per day on primary instrument at peak of interest, had at least 2 years or more of formal training in music theory, at least 2 years or more of formal training on a musical instrument (including v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oice), and could play at least 3 instruments or more. Non-musicians were considered to have less than the above requirements. This meant that non-musicians had a mean MT score below 4/7 and amateur-musicians had a score above 4. </w:t>
      </w:r>
    </w:p>
    <w:p w:rsidR="00114750" w:rsidRPr="007D34CD" w:rsidRDefault="007D34CD">
      <w:pPr>
        <w:widowControl w:val="0"/>
        <w:spacing w:line="480" w:lineRule="auto"/>
        <w:jc w:val="both"/>
        <w:rPr>
          <w:rFonts w:ascii="Monospaced" w:hAnsi="Monospaced"/>
          <w:sz w:val="20"/>
          <w:szCs w:val="20"/>
        </w:rPr>
      </w:pPr>
      <w:r w:rsidRPr="007D34CD">
        <w:rPr>
          <w:rFonts w:ascii="Monospaced" w:hAnsi="Monospaced"/>
          <w:sz w:val="20"/>
          <w:szCs w:val="20"/>
        </w:rPr>
        <w:t xml:space="preserve">Syntax in SPSS: T-TEST </w:t>
      </w:r>
      <w:r w:rsidRPr="007D34CD">
        <w:rPr>
          <w:rFonts w:ascii="Monospaced" w:hAnsi="Monospaced"/>
          <w:sz w:val="20"/>
          <w:szCs w:val="20"/>
        </w:rPr>
        <w:t>GROUPS=LowBelow4_VsOver4(0 1)</w:t>
      </w:r>
    </w:p>
    <w:p w:rsidR="00114750" w:rsidRPr="007D34CD" w:rsidRDefault="007D34CD">
      <w:pPr>
        <w:jc w:val="both"/>
        <w:rPr>
          <w:rFonts w:ascii="Monospaced" w:hAnsi="Monospaced"/>
          <w:sz w:val="20"/>
          <w:szCs w:val="20"/>
        </w:rPr>
      </w:pPr>
      <w:r w:rsidRPr="007D34CD">
        <w:rPr>
          <w:rFonts w:ascii="Monospaced" w:hAnsi="Monospaced"/>
          <w:sz w:val="20"/>
          <w:szCs w:val="20"/>
        </w:rPr>
        <w:t xml:space="preserve">  /MISSING=ANALYSIS</w:t>
      </w:r>
    </w:p>
    <w:p w:rsidR="00114750" w:rsidRPr="007D34CD" w:rsidRDefault="007D34CD">
      <w:pPr>
        <w:jc w:val="both"/>
        <w:rPr>
          <w:rFonts w:ascii="Monospaced" w:hAnsi="Monospaced"/>
          <w:sz w:val="20"/>
          <w:szCs w:val="20"/>
        </w:rPr>
      </w:pPr>
      <w:r w:rsidRPr="007D34CD">
        <w:rPr>
          <w:rFonts w:ascii="Monospaced" w:hAnsi="Monospaced"/>
          <w:sz w:val="20"/>
          <w:szCs w:val="20"/>
        </w:rPr>
        <w:t xml:space="preserve">  /VARIABLES=BrainAge2022</w:t>
      </w:r>
    </w:p>
    <w:p w:rsidR="00114750" w:rsidRPr="007D34CD" w:rsidRDefault="007D34CD">
      <w:pPr>
        <w:widowControl w:val="0"/>
        <w:spacing w:line="480" w:lineRule="auto"/>
        <w:jc w:val="both"/>
        <w:rPr>
          <w:rFonts w:ascii="Monospaced" w:hAnsi="Monospaced"/>
          <w:i/>
          <w:iCs/>
          <w:sz w:val="20"/>
          <w:szCs w:val="20"/>
          <w:lang w:val="en-US"/>
        </w:rPr>
      </w:pPr>
      <w:r w:rsidRPr="007D34CD">
        <w:rPr>
          <w:rFonts w:ascii="Monospaced" w:hAnsi="Monospaced"/>
          <w:i/>
          <w:iCs/>
          <w:sz w:val="20"/>
          <w:szCs w:val="20"/>
          <w:lang w:val="en-US"/>
        </w:rPr>
        <w:t xml:space="preserve">  /CRITERIA=</w:t>
      </w:r>
      <w:proofErr w:type="gramStart"/>
      <w:r w:rsidRPr="007D34CD">
        <w:rPr>
          <w:rFonts w:ascii="Monospaced" w:hAnsi="Monospaced"/>
          <w:i/>
          <w:iCs/>
          <w:sz w:val="20"/>
          <w:szCs w:val="20"/>
          <w:lang w:val="en-US"/>
        </w:rPr>
        <w:t>CI(</w:t>
      </w:r>
      <w:proofErr w:type="gramEnd"/>
      <w:r w:rsidRPr="007D34CD">
        <w:rPr>
          <w:rFonts w:ascii="Monospaced" w:hAnsi="Monospaced"/>
          <w:i/>
          <w:iCs/>
          <w:sz w:val="20"/>
          <w:szCs w:val="20"/>
          <w:lang w:val="en-US"/>
        </w:rPr>
        <w:t>.95).</w:t>
      </w:r>
    </w:p>
    <w:tbl>
      <w:tblPr>
        <w:tblW w:w="88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7"/>
        <w:gridCol w:w="2187"/>
        <w:gridCol w:w="1025"/>
        <w:gridCol w:w="1024"/>
        <w:gridCol w:w="1469"/>
        <w:gridCol w:w="1469"/>
      </w:tblGrid>
      <w:tr w:rsidR="007D34CD" w:rsidRPr="007D34CD">
        <w:trPr>
          <w:cantSplit/>
        </w:trPr>
        <w:tc>
          <w:tcPr>
            <w:tcW w:w="8811" w:type="dxa"/>
            <w:gridSpan w:val="6"/>
            <w:shd w:val="clear" w:color="auto" w:fill="FFFFFF"/>
            <w:vAlign w:val="center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b/>
                <w:sz w:val="20"/>
                <w:szCs w:val="20"/>
              </w:rPr>
            </w:pPr>
            <w:r w:rsidRPr="007D34CD">
              <w:rPr>
                <w:rFonts w:ascii="SansSerif" w:hAnsi="SansSerif"/>
                <w:b/>
                <w:sz w:val="20"/>
                <w:szCs w:val="20"/>
              </w:rPr>
              <w:t>Group Statistics</w:t>
            </w:r>
          </w:p>
        </w:tc>
      </w:tr>
      <w:tr w:rsidR="007D34CD" w:rsidRPr="007D34CD">
        <w:trPr>
          <w:cantSplit/>
        </w:trPr>
        <w:tc>
          <w:tcPr>
            <w:tcW w:w="1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14750" w:rsidRPr="007D34CD" w:rsidRDefault="00114750">
            <w:pPr>
              <w:widowControl w:val="0"/>
              <w:jc w:val="both"/>
              <w:rPr>
                <w:rFonts w:ascii="SansSerif" w:hAnsi="SansSerif"/>
                <w:sz w:val="20"/>
                <w:szCs w:val="20"/>
              </w:rPr>
            </w:pPr>
          </w:p>
        </w:tc>
        <w:tc>
          <w:tcPr>
            <w:tcW w:w="2187" w:type="dxa"/>
            <w:tcBorders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LowBelow4_VsOver4</w:t>
            </w:r>
          </w:p>
        </w:tc>
        <w:tc>
          <w:tcPr>
            <w:tcW w:w="1025" w:type="dxa"/>
            <w:tcBorders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N</w:t>
            </w:r>
          </w:p>
        </w:tc>
        <w:tc>
          <w:tcPr>
            <w:tcW w:w="1024" w:type="dxa"/>
            <w:tcBorders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Mean</w:t>
            </w:r>
          </w:p>
        </w:tc>
        <w:tc>
          <w:tcPr>
            <w:tcW w:w="1469" w:type="dxa"/>
            <w:tcBorders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Std. Deviation</w:t>
            </w:r>
          </w:p>
        </w:tc>
        <w:tc>
          <w:tcPr>
            <w:tcW w:w="1469" w:type="dxa"/>
            <w:tcBorders>
              <w:left w:val="single" w:sz="8" w:space="0" w:color="E0E0E0"/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Std. Error Mean</w:t>
            </w:r>
          </w:p>
        </w:tc>
      </w:tr>
      <w:tr w:rsidR="007D34CD" w:rsidRPr="007D34CD">
        <w:trPr>
          <w:cantSplit/>
        </w:trPr>
        <w:tc>
          <w:tcPr>
            <w:tcW w:w="1637" w:type="dxa"/>
            <w:vMerge w:val="restart"/>
            <w:tcBorders>
              <w:top w:val="single" w:sz="8" w:space="0" w:color="152935"/>
              <w:bottom w:val="single" w:sz="8" w:space="0" w:color="152935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BrainAge2022</w:t>
            </w:r>
          </w:p>
        </w:tc>
        <w:tc>
          <w:tcPr>
            <w:tcW w:w="2187" w:type="dxa"/>
            <w:tcBorders>
              <w:top w:val="single" w:sz="8" w:space="0" w:color="152935"/>
              <w:bottom w:val="single" w:sz="8" w:space="0" w:color="AEAEAE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.00</w:t>
            </w:r>
          </w:p>
        </w:tc>
        <w:tc>
          <w:tcPr>
            <w:tcW w:w="1025" w:type="dxa"/>
            <w:tcBorders>
              <w:top w:val="single" w:sz="8" w:space="0" w:color="152935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77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.1572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5.40830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.61633</w:t>
            </w:r>
          </w:p>
        </w:tc>
      </w:tr>
      <w:tr w:rsidR="007D34CD" w:rsidRPr="007D34CD">
        <w:trPr>
          <w:cantSplit/>
        </w:trPr>
        <w:tc>
          <w:tcPr>
            <w:tcW w:w="1637" w:type="dxa"/>
            <w:vMerge/>
            <w:tcBorders>
              <w:top w:val="single" w:sz="8" w:space="0" w:color="152935"/>
              <w:bottom w:val="single" w:sz="8" w:space="0" w:color="152935"/>
            </w:tcBorders>
            <w:shd w:val="clear" w:color="auto" w:fill="E0E0E0"/>
          </w:tcPr>
          <w:p w:rsidR="00114750" w:rsidRPr="007D34CD" w:rsidRDefault="00114750"/>
        </w:tc>
        <w:tc>
          <w:tcPr>
            <w:tcW w:w="2187" w:type="dxa"/>
            <w:tcBorders>
              <w:top w:val="single" w:sz="8" w:space="0" w:color="AEAEAE"/>
              <w:bottom w:val="single" w:sz="8" w:space="0" w:color="152935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1.00</w:t>
            </w:r>
          </w:p>
        </w:tc>
        <w:tc>
          <w:tcPr>
            <w:tcW w:w="1025" w:type="dxa"/>
            <w:tcBorders>
              <w:top w:val="single" w:sz="8" w:space="0" w:color="AEAEAE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48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-.3957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6.05319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.87370</w:t>
            </w:r>
          </w:p>
        </w:tc>
      </w:tr>
    </w:tbl>
    <w:p w:rsidR="00114750" w:rsidRPr="007D34CD" w:rsidRDefault="007D34CD">
      <w:pPr>
        <w:widowControl w:val="0"/>
        <w:spacing w:line="400" w:lineRule="atLeast"/>
        <w:jc w:val="both"/>
        <w:rPr>
          <w:rFonts w:ascii="Times New Roman" w:hAnsi="Times New Roman"/>
          <w:sz w:val="20"/>
          <w:szCs w:val="20"/>
        </w:rPr>
      </w:pPr>
      <w:r w:rsidRPr="007D34CD">
        <w:rPr>
          <w:rFonts w:ascii="Times New Roman" w:hAnsi="Times New Roman"/>
          <w:sz w:val="20"/>
          <w:szCs w:val="20"/>
        </w:rPr>
        <w:t>Shapiro-Wilk test showed both are equal in variance (between 77 (low) and 48 (high) MT groups)</w:t>
      </w:r>
    </w:p>
    <w:p w:rsidR="00114750" w:rsidRPr="007D34CD" w:rsidRDefault="007D34CD">
      <w:pPr>
        <w:widowControl w:val="0"/>
        <w:spacing w:line="480" w:lineRule="auto"/>
        <w:jc w:val="both"/>
        <w:rPr>
          <w:sz w:val="20"/>
          <w:szCs w:val="20"/>
        </w:rPr>
      </w:pPr>
      <w:r w:rsidRPr="007D34CD">
        <w:rPr>
          <w:rFonts w:ascii="Times New Roman" w:hAnsi="Times New Roman"/>
          <w:sz w:val="20"/>
          <w:szCs w:val="20"/>
        </w:rPr>
        <w:t xml:space="preserve">Independent samples t-test:  </w:t>
      </w:r>
      <w:r w:rsidRPr="007D34CD">
        <w:rPr>
          <w:rFonts w:ascii="Times New Roman" w:hAnsi="Times New Roman"/>
          <w:i/>
          <w:iCs/>
          <w:sz w:val="20"/>
          <w:szCs w:val="20"/>
          <w:lang w:val="en-US"/>
        </w:rPr>
        <w:t>t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(123)= 0.531  </w:t>
      </w:r>
      <w:r w:rsidRPr="007D34CD">
        <w:rPr>
          <w:rFonts w:ascii="Times New Roman" w:hAnsi="Times New Roman"/>
          <w:i/>
          <w:iCs/>
          <w:sz w:val="20"/>
          <w:szCs w:val="20"/>
          <w:lang w:val="en-US"/>
        </w:rPr>
        <w:t xml:space="preserve">p = </w:t>
      </w:r>
      <w:r w:rsidRPr="007D34CD">
        <w:rPr>
          <w:rFonts w:ascii="Times New Roman" w:hAnsi="Times New Roman"/>
          <w:sz w:val="20"/>
          <w:szCs w:val="20"/>
          <w:lang w:val="en-US"/>
        </w:rPr>
        <w:t>0.596, 2-tailed.</w:t>
      </w:r>
    </w:p>
    <w:p w:rsidR="00114750" w:rsidRPr="007D34CD" w:rsidRDefault="00114750">
      <w:pPr>
        <w:widowControl w:val="0"/>
        <w:spacing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114750" w:rsidRPr="007D34CD" w:rsidRDefault="007D34CD">
      <w:pPr>
        <w:widowControl w:val="0"/>
        <w:spacing w:line="480" w:lineRule="auto"/>
        <w:jc w:val="both"/>
        <w:rPr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 xml:space="preserve">2.2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We also divided the groups in three, non-musician, amateur, and musician, yet they still did not have any significant effect on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score. In this case, musician was selected for participants who had at least 6 to 9 years of practice on an instrument,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 at least 4 to 6 years of formal music theory, and music training, and strongly agreed that they considered themselves musicians and were praised on their musical skill. </w:t>
      </w:r>
    </w:p>
    <w:p w:rsidR="00114750" w:rsidRPr="007D34CD" w:rsidRDefault="00114750">
      <w:pPr>
        <w:widowControl w:val="0"/>
        <w:spacing w:line="480" w:lineRule="auto"/>
        <w:jc w:val="both"/>
        <w:rPr>
          <w:rFonts w:ascii="Monospaced" w:hAnsi="Monospaced"/>
          <w:sz w:val="20"/>
          <w:szCs w:val="20"/>
          <w:lang w:val="en-US"/>
        </w:rPr>
      </w:pPr>
    </w:p>
    <w:p w:rsidR="00114750" w:rsidRPr="007D34CD" w:rsidRDefault="007D34CD">
      <w:pPr>
        <w:widowControl w:val="0"/>
        <w:spacing w:line="480" w:lineRule="auto"/>
        <w:jc w:val="both"/>
        <w:rPr>
          <w:sz w:val="20"/>
          <w:szCs w:val="20"/>
        </w:rPr>
      </w:pPr>
      <w:r w:rsidRPr="007D34CD">
        <w:rPr>
          <w:rFonts w:ascii="Monospaced" w:hAnsi="Monospaced"/>
          <w:sz w:val="20"/>
          <w:szCs w:val="20"/>
          <w:lang w:val="en-US"/>
        </w:rPr>
        <w:t xml:space="preserve">Syntax in SPSS: ONEWAY </w:t>
      </w:r>
      <w:proofErr w:type="spellStart"/>
      <w:r w:rsidRPr="007D34CD">
        <w:rPr>
          <w:rFonts w:ascii="Monospaced" w:hAnsi="Monospaced"/>
          <w:sz w:val="20"/>
          <w:szCs w:val="20"/>
          <w:lang w:val="en-US"/>
        </w:rPr>
        <w:t>BrainAGE</w:t>
      </w:r>
      <w:proofErr w:type="spellEnd"/>
      <w:r w:rsidRPr="007D34CD">
        <w:rPr>
          <w:rFonts w:ascii="Monospaced" w:hAnsi="Monospaced"/>
          <w:sz w:val="20"/>
          <w:szCs w:val="20"/>
          <w:lang w:val="en-US"/>
        </w:rPr>
        <w:t xml:space="preserve"> BY </w:t>
      </w:r>
      <w:proofErr w:type="spellStart"/>
      <w:r w:rsidRPr="007D34CD">
        <w:rPr>
          <w:rFonts w:ascii="Monospaced" w:hAnsi="Monospaced"/>
          <w:sz w:val="20"/>
          <w:szCs w:val="20"/>
          <w:lang w:val="en-US"/>
        </w:rPr>
        <w:t>Musician_Status_Non_vs_Amateur_vs_Musician</w:t>
      </w:r>
      <w:proofErr w:type="spellEnd"/>
    </w:p>
    <w:p w:rsidR="00114750" w:rsidRPr="007D34CD" w:rsidRDefault="007D34CD">
      <w:pPr>
        <w:jc w:val="both"/>
        <w:rPr>
          <w:rFonts w:ascii="Monospaced" w:hAnsi="Monospaced"/>
          <w:sz w:val="20"/>
          <w:szCs w:val="20"/>
        </w:rPr>
      </w:pPr>
      <w:r w:rsidRPr="007D34CD">
        <w:rPr>
          <w:rFonts w:ascii="Monospaced" w:hAnsi="Monospaced"/>
          <w:sz w:val="20"/>
          <w:szCs w:val="20"/>
        </w:rPr>
        <w:t xml:space="preserve">  /MIS</w:t>
      </w:r>
      <w:r w:rsidRPr="007D34CD">
        <w:rPr>
          <w:rFonts w:ascii="Monospaced" w:hAnsi="Monospaced"/>
          <w:sz w:val="20"/>
          <w:szCs w:val="20"/>
        </w:rPr>
        <w:t>SING ANALYSIS.</w:t>
      </w:r>
    </w:p>
    <w:p w:rsidR="00114750" w:rsidRPr="007D34CD" w:rsidRDefault="007D34CD">
      <w:pPr>
        <w:jc w:val="both"/>
        <w:rPr>
          <w:rFonts w:ascii="Monospaced" w:hAnsi="Monospaced"/>
          <w:sz w:val="20"/>
          <w:szCs w:val="20"/>
        </w:rPr>
      </w:pPr>
      <w:r w:rsidRPr="007D34CD">
        <w:rPr>
          <w:rFonts w:ascii="Monospaced" w:hAnsi="Monospaced"/>
          <w:sz w:val="20"/>
          <w:szCs w:val="20"/>
        </w:rPr>
        <w:t xml:space="preserve">  </w:t>
      </w:r>
    </w:p>
    <w:p w:rsidR="00114750" w:rsidRPr="007D34CD" w:rsidRDefault="00114750">
      <w:pPr>
        <w:widowControl w:val="0"/>
        <w:spacing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</w:p>
    <w:tbl>
      <w:tblPr>
        <w:tblW w:w="63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7"/>
        <w:gridCol w:w="1393"/>
        <w:gridCol w:w="1024"/>
        <w:gridCol w:w="1469"/>
      </w:tblGrid>
      <w:tr w:rsidR="007D34CD" w:rsidRPr="007D34CD">
        <w:trPr>
          <w:cantSplit/>
        </w:trPr>
        <w:tc>
          <w:tcPr>
            <w:tcW w:w="6333" w:type="dxa"/>
            <w:gridSpan w:val="4"/>
            <w:shd w:val="clear" w:color="auto" w:fill="FFFFFF"/>
            <w:vAlign w:val="center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b/>
                <w:sz w:val="20"/>
                <w:szCs w:val="20"/>
              </w:rPr>
            </w:pPr>
            <w:r w:rsidRPr="007D34CD">
              <w:rPr>
                <w:rFonts w:ascii="SansSerif" w:hAnsi="SansSerif"/>
                <w:b/>
                <w:sz w:val="20"/>
                <w:szCs w:val="20"/>
              </w:rPr>
              <w:t>Report</w:t>
            </w:r>
          </w:p>
        </w:tc>
      </w:tr>
      <w:tr w:rsidR="007D34CD" w:rsidRPr="007D34CD">
        <w:trPr>
          <w:cantSplit/>
        </w:trPr>
        <w:tc>
          <w:tcPr>
            <w:tcW w:w="6333" w:type="dxa"/>
            <w:gridSpan w:val="4"/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jc w:val="both"/>
              <w:rPr>
                <w:rFonts w:ascii="SansSerif" w:hAnsi="SansSerif"/>
                <w:sz w:val="20"/>
                <w:szCs w:val="20"/>
                <w:shd w:val="clear" w:color="auto" w:fill="FFFFFF"/>
              </w:rPr>
            </w:pPr>
            <w:r w:rsidRPr="007D34CD">
              <w:rPr>
                <w:rFonts w:ascii="SansSerif" w:hAnsi="SansSerif"/>
                <w:sz w:val="20"/>
                <w:szCs w:val="20"/>
                <w:shd w:val="clear" w:color="auto" w:fill="FFFFFF"/>
              </w:rPr>
              <w:t xml:space="preserve">BrainAGE  </w:t>
            </w:r>
          </w:p>
        </w:tc>
      </w:tr>
      <w:tr w:rsidR="007D34CD" w:rsidRPr="007D34CD">
        <w:trPr>
          <w:cantSplit/>
        </w:trPr>
        <w:tc>
          <w:tcPr>
            <w:tcW w:w="2447" w:type="dxa"/>
            <w:tcBorders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Musician_Status_Non_vs_Amateur_vs_Musician</w:t>
            </w:r>
          </w:p>
        </w:tc>
        <w:tc>
          <w:tcPr>
            <w:tcW w:w="1393" w:type="dxa"/>
            <w:tcBorders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Mean</w:t>
            </w:r>
          </w:p>
        </w:tc>
        <w:tc>
          <w:tcPr>
            <w:tcW w:w="1024" w:type="dxa"/>
            <w:tcBorders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N</w:t>
            </w:r>
          </w:p>
        </w:tc>
        <w:tc>
          <w:tcPr>
            <w:tcW w:w="1469" w:type="dxa"/>
            <w:tcBorders>
              <w:left w:val="single" w:sz="8" w:space="0" w:color="E0E0E0"/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Std. Deviation</w:t>
            </w:r>
          </w:p>
        </w:tc>
      </w:tr>
      <w:tr w:rsidR="007D34CD" w:rsidRPr="007D34CD">
        <w:trPr>
          <w:cantSplit/>
        </w:trPr>
        <w:tc>
          <w:tcPr>
            <w:tcW w:w="2447" w:type="dxa"/>
            <w:tcBorders>
              <w:top w:val="single" w:sz="8" w:space="0" w:color="152935"/>
              <w:bottom w:val="single" w:sz="8" w:space="0" w:color="AEAEAE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Non Musician</w:t>
            </w:r>
          </w:p>
        </w:tc>
        <w:tc>
          <w:tcPr>
            <w:tcW w:w="1393" w:type="dxa"/>
            <w:tcBorders>
              <w:top w:val="single" w:sz="8" w:space="0" w:color="152935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.60166129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62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5.106127284</w:t>
            </w:r>
          </w:p>
        </w:tc>
      </w:tr>
      <w:tr w:rsidR="007D34CD" w:rsidRPr="007D34CD">
        <w:trPr>
          <w:cantSplit/>
        </w:trPr>
        <w:tc>
          <w:tcPr>
            <w:tcW w:w="2447" w:type="dxa"/>
            <w:tcBorders>
              <w:top w:val="single" w:sz="8" w:space="0" w:color="AEAEAE"/>
              <w:bottom w:val="single" w:sz="8" w:space="0" w:color="AEAEAE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Amateur Musician</w:t>
            </w:r>
          </w:p>
        </w:tc>
        <w:tc>
          <w:tcPr>
            <w:tcW w:w="1393" w:type="dxa"/>
            <w:tcBorders>
              <w:top w:val="single" w:sz="8" w:space="0" w:color="AEAEAE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-.93527451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51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6.082850307</w:t>
            </w:r>
          </w:p>
        </w:tc>
      </w:tr>
      <w:tr w:rsidR="007D34CD" w:rsidRPr="007D34CD">
        <w:trPr>
          <w:cantSplit/>
        </w:trPr>
        <w:tc>
          <w:tcPr>
            <w:tcW w:w="2447" w:type="dxa"/>
            <w:tcBorders>
              <w:top w:val="single" w:sz="8" w:space="0" w:color="AEAEAE"/>
              <w:bottom w:val="single" w:sz="8" w:space="0" w:color="AEAEAE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Musician</w:t>
            </w:r>
          </w:p>
        </w:tc>
        <w:tc>
          <w:tcPr>
            <w:tcW w:w="1393" w:type="dxa"/>
            <w:tcBorders>
              <w:top w:val="single" w:sz="8" w:space="0" w:color="AEAEAE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.29232500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12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6.367286671</w:t>
            </w:r>
          </w:p>
        </w:tc>
      </w:tr>
      <w:tr w:rsidR="007D34CD" w:rsidRPr="007D34CD">
        <w:trPr>
          <w:cantSplit/>
        </w:trPr>
        <w:tc>
          <w:tcPr>
            <w:tcW w:w="2447" w:type="dxa"/>
            <w:tcBorders>
              <w:top w:val="single" w:sz="8" w:space="0" w:color="AEAEAE"/>
              <w:bottom w:val="single" w:sz="8" w:space="0" w:color="152935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Total</w:t>
            </w:r>
          </w:p>
        </w:tc>
        <w:tc>
          <w:tcPr>
            <w:tcW w:w="1393" w:type="dxa"/>
            <w:tcBorders>
              <w:top w:val="single" w:sz="8" w:space="0" w:color="AEAEAE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-.05510480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125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5.646969729</w:t>
            </w:r>
          </w:p>
        </w:tc>
      </w:tr>
    </w:tbl>
    <w:p w:rsidR="00114750" w:rsidRPr="007D34CD" w:rsidRDefault="00114750">
      <w:pPr>
        <w:widowControl w:val="0"/>
        <w:spacing w:line="400" w:lineRule="atLeast"/>
        <w:jc w:val="both"/>
        <w:rPr>
          <w:rFonts w:ascii="Times New Roman" w:hAnsi="Times New Roman"/>
          <w:sz w:val="20"/>
          <w:szCs w:val="20"/>
          <w:lang w:val="en-US"/>
        </w:rPr>
      </w:pPr>
    </w:p>
    <w:tbl>
      <w:tblPr>
        <w:tblW w:w="78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468"/>
        <w:gridCol w:w="1025"/>
        <w:gridCol w:w="1468"/>
        <w:gridCol w:w="1025"/>
        <w:gridCol w:w="1025"/>
      </w:tblGrid>
      <w:tr w:rsidR="007D34CD" w:rsidRPr="007D34CD">
        <w:trPr>
          <w:cantSplit/>
        </w:trPr>
        <w:tc>
          <w:tcPr>
            <w:tcW w:w="7878" w:type="dxa"/>
            <w:gridSpan w:val="6"/>
            <w:shd w:val="clear" w:color="auto" w:fill="FFFFFF"/>
            <w:vAlign w:val="center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b/>
                <w:sz w:val="20"/>
                <w:szCs w:val="20"/>
              </w:rPr>
            </w:pPr>
            <w:r w:rsidRPr="007D34CD">
              <w:rPr>
                <w:rFonts w:ascii="SansSerif" w:hAnsi="SansSerif"/>
                <w:b/>
                <w:sz w:val="20"/>
                <w:szCs w:val="20"/>
              </w:rPr>
              <w:t>ANOVA</w:t>
            </w:r>
          </w:p>
        </w:tc>
      </w:tr>
      <w:tr w:rsidR="007D34CD" w:rsidRPr="007D34CD">
        <w:trPr>
          <w:cantSplit/>
        </w:trPr>
        <w:tc>
          <w:tcPr>
            <w:tcW w:w="7878" w:type="dxa"/>
            <w:gridSpan w:val="6"/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jc w:val="both"/>
              <w:rPr>
                <w:rFonts w:ascii="SansSerif" w:hAnsi="SansSerif"/>
                <w:sz w:val="20"/>
                <w:szCs w:val="20"/>
                <w:shd w:val="clear" w:color="auto" w:fill="FFFFFF"/>
              </w:rPr>
            </w:pPr>
            <w:r w:rsidRPr="007D34CD">
              <w:rPr>
                <w:rFonts w:ascii="SansSerif" w:hAnsi="SansSerif"/>
                <w:sz w:val="20"/>
                <w:szCs w:val="20"/>
                <w:shd w:val="clear" w:color="auto" w:fill="FFFFFF"/>
              </w:rPr>
              <w:t xml:space="preserve">BrainAGE  </w:t>
            </w:r>
          </w:p>
        </w:tc>
      </w:tr>
      <w:tr w:rsidR="007D34CD" w:rsidRPr="007D34CD">
        <w:trPr>
          <w:cantSplit/>
        </w:trPr>
        <w:tc>
          <w:tcPr>
            <w:tcW w:w="1867" w:type="dxa"/>
            <w:tcBorders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11475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8" w:type="dxa"/>
            <w:tcBorders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Sum of Squares</w:t>
            </w:r>
          </w:p>
        </w:tc>
        <w:tc>
          <w:tcPr>
            <w:tcW w:w="1025" w:type="dxa"/>
            <w:tcBorders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df</w:t>
            </w:r>
          </w:p>
        </w:tc>
        <w:tc>
          <w:tcPr>
            <w:tcW w:w="1468" w:type="dxa"/>
            <w:tcBorders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Mean Square</w:t>
            </w:r>
          </w:p>
        </w:tc>
        <w:tc>
          <w:tcPr>
            <w:tcW w:w="1025" w:type="dxa"/>
            <w:tcBorders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F</w:t>
            </w:r>
          </w:p>
        </w:tc>
        <w:tc>
          <w:tcPr>
            <w:tcW w:w="1025" w:type="dxa"/>
            <w:tcBorders>
              <w:left w:val="single" w:sz="8" w:space="0" w:color="E0E0E0"/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Sig.</w:t>
            </w:r>
          </w:p>
        </w:tc>
      </w:tr>
      <w:tr w:rsidR="007D34CD" w:rsidRPr="007D34CD">
        <w:trPr>
          <w:cantSplit/>
        </w:trPr>
        <w:tc>
          <w:tcPr>
            <w:tcW w:w="1867" w:type="dxa"/>
            <w:tcBorders>
              <w:top w:val="single" w:sz="8" w:space="0" w:color="152935"/>
              <w:bottom w:val="single" w:sz="8" w:space="0" w:color="AEAEAE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Between Groups</w:t>
            </w:r>
          </w:p>
        </w:tc>
        <w:tc>
          <w:tcPr>
            <w:tcW w:w="1468" w:type="dxa"/>
            <w:tcBorders>
              <w:top w:val="single" w:sz="8" w:space="0" w:color="152935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67.701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2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33.851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1.063</w:t>
            </w:r>
          </w:p>
        </w:tc>
        <w:tc>
          <w:tcPr>
            <w:tcW w:w="102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.349</w:t>
            </w:r>
          </w:p>
        </w:tc>
      </w:tr>
      <w:tr w:rsidR="007D34CD" w:rsidRPr="007D34CD">
        <w:trPr>
          <w:cantSplit/>
        </w:trPr>
        <w:tc>
          <w:tcPr>
            <w:tcW w:w="1867" w:type="dxa"/>
            <w:tcBorders>
              <w:top w:val="single" w:sz="8" w:space="0" w:color="AEAEAE"/>
              <w:bottom w:val="single" w:sz="8" w:space="0" w:color="AEAEAE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Within Groups</w:t>
            </w:r>
          </w:p>
        </w:tc>
        <w:tc>
          <w:tcPr>
            <w:tcW w:w="1468" w:type="dxa"/>
            <w:tcBorders>
              <w:top w:val="single" w:sz="8" w:space="0" w:color="AEAEAE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3886.444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122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31.856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114750" w:rsidRPr="007D34CD" w:rsidRDefault="0011475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</w:tcBorders>
            <w:shd w:val="clear" w:color="auto" w:fill="FFFFFF"/>
            <w:vAlign w:val="center"/>
          </w:tcPr>
          <w:p w:rsidR="00114750" w:rsidRPr="007D34CD" w:rsidRDefault="0011475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D34CD" w:rsidRPr="007D34CD">
        <w:trPr>
          <w:cantSplit/>
        </w:trPr>
        <w:tc>
          <w:tcPr>
            <w:tcW w:w="1867" w:type="dxa"/>
            <w:tcBorders>
              <w:top w:val="single" w:sz="8" w:space="0" w:color="AEAEAE"/>
              <w:bottom w:val="single" w:sz="8" w:space="0" w:color="152935"/>
            </w:tcBorders>
            <w:shd w:val="clear" w:color="auto" w:fill="E0E0E0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Total</w:t>
            </w:r>
          </w:p>
        </w:tc>
        <w:tc>
          <w:tcPr>
            <w:tcW w:w="1468" w:type="dxa"/>
            <w:tcBorders>
              <w:top w:val="single" w:sz="8" w:space="0" w:color="AEAEAE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3954.145</w:t>
            </w: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320" w:lineRule="atLeast"/>
              <w:ind w:left="60" w:right="60"/>
              <w:jc w:val="both"/>
              <w:rPr>
                <w:rFonts w:ascii="SansSerif" w:hAnsi="SansSerif"/>
                <w:sz w:val="20"/>
                <w:szCs w:val="20"/>
              </w:rPr>
            </w:pPr>
            <w:r w:rsidRPr="007D34CD">
              <w:rPr>
                <w:rFonts w:ascii="SansSerif" w:hAnsi="SansSerif"/>
                <w:sz w:val="20"/>
                <w:szCs w:val="20"/>
              </w:rPr>
              <w:t>124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114750" w:rsidRPr="007D34CD" w:rsidRDefault="0011475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114750" w:rsidRPr="007D34CD" w:rsidRDefault="0011475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</w:tcBorders>
            <w:shd w:val="clear" w:color="auto" w:fill="FFFFFF"/>
            <w:vAlign w:val="center"/>
          </w:tcPr>
          <w:p w:rsidR="00114750" w:rsidRPr="007D34CD" w:rsidRDefault="00114750">
            <w:pPr>
              <w:widowControl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14750" w:rsidRPr="007D34CD" w:rsidRDefault="00114750">
      <w:pPr>
        <w:widowControl w:val="0"/>
        <w:spacing w:line="400" w:lineRule="atLeast"/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114750">
      <w:pPr>
        <w:widowControl w:val="0"/>
        <w:spacing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</w:p>
    <w:p w:rsidR="00114750" w:rsidRPr="007D34CD" w:rsidRDefault="007D34CD">
      <w:pPr>
        <w:pStyle w:val="BodyText"/>
        <w:spacing w:line="480" w:lineRule="auto"/>
        <w:rPr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3. Calculation of Musical Anhedonia, MA, subscale in SPSS</w:t>
      </w:r>
    </w:p>
    <w:p w:rsidR="00114750" w:rsidRPr="007D34CD" w:rsidRDefault="007D34CD">
      <w:pPr>
        <w:spacing w:line="480" w:lineRule="auto"/>
        <w:rPr>
          <w:rFonts w:ascii="Times New Roman" w:hAnsi="Times New Roman"/>
          <w:sz w:val="20"/>
          <w:szCs w:val="20"/>
        </w:rPr>
      </w:pPr>
      <w:r w:rsidRPr="007D34CD">
        <w:rPr>
          <w:rFonts w:ascii="Times New Roman" w:hAnsi="Times New Roman"/>
          <w:sz w:val="20"/>
          <w:szCs w:val="20"/>
        </w:rPr>
        <w:t>*ANHEDONIA</w:t>
      </w:r>
      <w:r w:rsidRPr="007D34CD">
        <w:rPr>
          <w:rFonts w:ascii="Times New Roman" w:hAnsi="Times New Roman"/>
          <w:sz w:val="20"/>
          <w:szCs w:val="20"/>
        </w:rPr>
        <w:t> </w:t>
      </w:r>
      <w:r w:rsidRPr="007D34CD">
        <w:rPr>
          <w:rFonts w:ascii="Times New Roman" w:hAnsi="Times New Roman"/>
          <w:sz w:val="20"/>
          <w:szCs w:val="20"/>
        </w:rPr>
        <w:t>- BMRQscale.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 xml:space="preserve">COMPUTE </w:t>
      </w:r>
      <w:r w:rsidRPr="007D34CD">
        <w:rPr>
          <w:rFonts w:ascii="Times New Roman" w:hAnsi="Times New Roman"/>
          <w:sz w:val="20"/>
          <w:szCs w:val="20"/>
        </w:rPr>
        <w:t>MUS_ANHEDONIA=(MS02_01 + MS02_03 + MS02_04_r + MS02_06 + MS02_07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+ MS02_08_r + MS02_09)/7.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EXECUTE.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MS02_01 'Spend a lot of free time doing music related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activities'.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ADD VALUE LABELS MS02_01 '1' 'completely 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disagre</w:t>
      </w:r>
      <w:r w:rsidRPr="007D34CD">
        <w:rPr>
          <w:rFonts w:ascii="Times New Roman" w:hAnsi="Times New Roman"/>
          <w:sz w:val="20"/>
          <w:szCs w:val="20"/>
        </w:rPr>
        <w:t>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MS02_01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ALTER TYPE MS02_01 (f2).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MS02_03 'often read or search internet for music'.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ADD</w:t>
      </w:r>
      <w:r w:rsidRPr="007D34CD">
        <w:rPr>
          <w:rFonts w:ascii="Times New Roman" w:hAnsi="Times New Roman"/>
          <w:sz w:val="20"/>
          <w:szCs w:val="20"/>
        </w:rPr>
        <w:t xml:space="preserve"> VALUE LABELS MS02_03 '1' 'completely 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disagree'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MS02_03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MS02_04 'd</w:t>
      </w:r>
      <w:r w:rsidRPr="007D34CD">
        <w:rPr>
          <w:rFonts w:ascii="Times New Roman" w:hAnsi="Times New Roman"/>
          <w:sz w:val="20"/>
          <w:szCs w:val="20"/>
        </w:rPr>
        <w:t>o NOT spend much of income on music'.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ADD VALUE LABELS MS02_04 '1' 'completely 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disagree'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MS0</w:t>
      </w:r>
      <w:r w:rsidRPr="007D34CD">
        <w:rPr>
          <w:rFonts w:ascii="Times New Roman" w:hAnsi="Times New Roman"/>
          <w:sz w:val="20"/>
          <w:szCs w:val="20"/>
        </w:rPr>
        <w:t>2_04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RECODE MS02_04 (1=7) (2=6) (3=5) (4=4) (5=3) (6=2) (7=1) INTO MS02_04_r.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  MS02_04_r 'Reversert'.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EXECUTE.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MS02_06 'I keep track of new music'.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ADD VALUE LABELS MS02_06 '1' 'completely 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</w:t>
      </w:r>
      <w:r w:rsidRPr="007D34CD">
        <w:rPr>
          <w:rFonts w:ascii="Times New Roman" w:hAnsi="Times New Roman"/>
          <w:sz w:val="20"/>
          <w:szCs w:val="20"/>
        </w:rPr>
        <w:t>isagree'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MS02_06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MS02_07 'choose music that can trigger shivers down my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spine'.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 xml:space="preserve">ADD VALUE </w:t>
      </w:r>
      <w:r w:rsidRPr="007D34CD">
        <w:rPr>
          <w:rFonts w:ascii="Times New Roman" w:hAnsi="Times New Roman"/>
          <w:sz w:val="20"/>
          <w:szCs w:val="20"/>
        </w:rPr>
        <w:t>LABELS MS02_07 '1' 'completely 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disagree'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MS02_07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MS02_08 'piecec o</w:t>
      </w:r>
      <w:r w:rsidRPr="007D34CD">
        <w:rPr>
          <w:rFonts w:ascii="Times New Roman" w:hAnsi="Times New Roman"/>
          <w:sz w:val="20"/>
          <w:szCs w:val="20"/>
        </w:rPr>
        <w:t>f music RARELY evoke emotions for me'.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ADD VALUE LABELS MS02_08 '1' 'completely 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disagree'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</w:t>
      </w:r>
      <w:r w:rsidRPr="007D34CD">
        <w:rPr>
          <w:rFonts w:ascii="Times New Roman" w:hAnsi="Times New Roman"/>
          <w:sz w:val="20"/>
          <w:szCs w:val="20"/>
        </w:rPr>
        <w:t>02_08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RECODE MS02_08 (1=7) (2=6) (3=5) (4=4) (5=3) (6=2) (7=1) INTO MS02_08_r.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  MS02_08_r 'Reversert'.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EXECUTE.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LABELS MS02_09 'often pick certain music to motivate or excite me'.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 xml:space="preserve">ADD VALUE LABELS MS02_09 '1' 'completely </w:t>
      </w:r>
      <w:r w:rsidRPr="007D34CD">
        <w:rPr>
          <w:rFonts w:ascii="Times New Roman" w:hAnsi="Times New Roman"/>
          <w:sz w:val="20"/>
          <w:szCs w:val="20"/>
        </w:rPr>
        <w:t>disagree' '2' 'strongly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disagree' '3' 'disagree' '4' 'neither agree nor disagree' '5' 'agree'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'6' 'strongly agree' '7' 'completely agree' '-9' 'not answered'.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VARIABLE LEVEL MS02_09 (SCALE).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RECODE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(-9 = SYSMIS).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EXECUTE.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* Compute Cronbach's alpha.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RELIABILITY /VARIABLES= MUS_ANHEDONIA</w:t>
      </w:r>
      <w:r w:rsidRPr="007D34CD">
        <w:rPr>
          <w:rFonts w:ascii="Times New Roman" w:hAnsi="Times New Roman"/>
          <w:sz w:val="20"/>
          <w:szCs w:val="20"/>
        </w:rPr>
        <w:br/>
      </w:r>
      <w:r w:rsidRPr="007D34CD">
        <w:rPr>
          <w:rFonts w:ascii="Times New Roman" w:hAnsi="Times New Roman"/>
          <w:sz w:val="20"/>
          <w:szCs w:val="20"/>
        </w:rPr>
        <w:t>ALL /MODEL=ALPHA /STATISTICS=SCALE.</w:t>
      </w: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2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9"/>
        <w:gridCol w:w="1290"/>
      </w:tblGrid>
      <w:tr w:rsidR="007D34CD" w:rsidRPr="007D34CD">
        <w:trPr>
          <w:cantSplit/>
        </w:trPr>
        <w:tc>
          <w:tcPr>
            <w:tcW w:w="2799" w:type="dxa"/>
            <w:gridSpan w:val="2"/>
            <w:shd w:val="clear" w:color="auto" w:fill="FFFFFF"/>
            <w:vAlign w:val="center"/>
          </w:tcPr>
          <w:p w:rsidR="00114750" w:rsidRPr="007D34CD" w:rsidRDefault="007D34CD">
            <w:pPr>
              <w:widowControl w:val="0"/>
              <w:spacing w:line="480" w:lineRule="auto"/>
              <w:ind w:left="60" w:right="6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D34CD">
              <w:rPr>
                <w:rFonts w:ascii="Times New Roman" w:hAnsi="Times New Roman"/>
                <w:b/>
                <w:sz w:val="20"/>
                <w:szCs w:val="20"/>
              </w:rPr>
              <w:t>Reliability Statistics</w:t>
            </w:r>
          </w:p>
        </w:tc>
      </w:tr>
      <w:tr w:rsidR="007D34CD" w:rsidRPr="007D34CD">
        <w:trPr>
          <w:cantSplit/>
        </w:trPr>
        <w:tc>
          <w:tcPr>
            <w:tcW w:w="1509" w:type="dxa"/>
            <w:tcBorders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480" w:lineRule="auto"/>
              <w:ind w:left="60" w:right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34CD">
              <w:rPr>
                <w:rFonts w:ascii="Times New Roman" w:hAnsi="Times New Roman"/>
                <w:sz w:val="20"/>
                <w:szCs w:val="20"/>
              </w:rPr>
              <w:t>Cronbach's Alpha</w:t>
            </w:r>
          </w:p>
        </w:tc>
        <w:tc>
          <w:tcPr>
            <w:tcW w:w="1290" w:type="dxa"/>
            <w:tcBorders>
              <w:left w:val="single" w:sz="8" w:space="0" w:color="E0E0E0"/>
              <w:bottom w:val="single" w:sz="8" w:space="0" w:color="152935"/>
            </w:tcBorders>
            <w:shd w:val="clear" w:color="auto" w:fill="FFFFFF"/>
            <w:vAlign w:val="bottom"/>
          </w:tcPr>
          <w:p w:rsidR="00114750" w:rsidRPr="007D34CD" w:rsidRDefault="007D34CD">
            <w:pPr>
              <w:widowControl w:val="0"/>
              <w:spacing w:line="480" w:lineRule="auto"/>
              <w:ind w:left="60" w:right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34CD">
              <w:rPr>
                <w:rFonts w:ascii="Times New Roman" w:hAnsi="Times New Roman"/>
                <w:sz w:val="20"/>
                <w:szCs w:val="20"/>
              </w:rPr>
              <w:t>N of Items</w:t>
            </w:r>
          </w:p>
        </w:tc>
      </w:tr>
      <w:tr w:rsidR="007D34CD" w:rsidRPr="007D34CD">
        <w:trPr>
          <w:cantSplit/>
        </w:trPr>
        <w:tc>
          <w:tcPr>
            <w:tcW w:w="1509" w:type="dxa"/>
            <w:tcBorders>
              <w:top w:val="single" w:sz="8" w:space="0" w:color="152935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480" w:lineRule="auto"/>
              <w:ind w:left="60" w:right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34CD">
              <w:rPr>
                <w:rFonts w:ascii="Times New Roman" w:hAnsi="Times New Roman"/>
                <w:sz w:val="20"/>
                <w:szCs w:val="20"/>
              </w:rPr>
              <w:t>.813</w:t>
            </w:r>
          </w:p>
        </w:tc>
        <w:tc>
          <w:tcPr>
            <w:tcW w:w="129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</w:tcBorders>
            <w:shd w:val="clear" w:color="auto" w:fill="FFFFFF"/>
          </w:tcPr>
          <w:p w:rsidR="00114750" w:rsidRPr="007D34CD" w:rsidRDefault="007D34CD">
            <w:pPr>
              <w:widowControl w:val="0"/>
              <w:spacing w:line="480" w:lineRule="auto"/>
              <w:ind w:left="60" w:right="6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D34C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</w:tbl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4.1 </w:t>
      </w:r>
      <w:r w:rsidRPr="007D34CD">
        <w:rPr>
          <w:rFonts w:ascii="Times New Roman" w:hAnsi="Times New Roman"/>
          <w:bCs/>
          <w:sz w:val="20"/>
          <w:szCs w:val="20"/>
        </w:rPr>
        <w:t xml:space="preserve">Relationship between chronological (biological age) in years and brain predicted age (brainAGE) in years. </w:t>
      </w:r>
      <w:r w:rsidRPr="007D34CD">
        <w:rPr>
          <w:rFonts w:ascii="Times New Roman" w:hAnsi="Times New Roman"/>
          <w:bCs/>
          <w:sz w:val="20"/>
          <w:szCs w:val="20"/>
        </w:rPr>
        <w:t xml:space="preserve">As shown in the scatterplot below, there is no age-depency featured in the relationship between age and BrainAGE scores. </w:t>
      </w: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Cs/>
          <w:noProof/>
          <w:sz w:val="20"/>
          <w:szCs w:val="20"/>
          <w:lang w:val="en-IN" w:eastAsia="en-IN" w:bidi="ar-SA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271780</wp:posOffset>
            </wp:positionH>
            <wp:positionV relativeFrom="paragraph">
              <wp:posOffset>49530</wp:posOffset>
            </wp:positionV>
            <wp:extent cx="4203700" cy="4203700"/>
            <wp:effectExtent l="0" t="0" r="0" b="0"/>
            <wp:wrapSquare wrapText="largest"/>
            <wp:docPr id="1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Figure 3.  Scatterplot showing the lack of age-dependency in BrainAGE scores </w:t>
      </w: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Cs/>
          <w:sz w:val="20"/>
          <w:szCs w:val="20"/>
        </w:rPr>
        <w:t xml:space="preserve">4.2 </w:t>
      </w:r>
      <w:r w:rsidRPr="007D34CD">
        <w:rPr>
          <w:rFonts w:ascii="Times New Roman" w:hAnsi="Times New Roman"/>
          <w:bCs/>
          <w:sz w:val="20"/>
          <w:szCs w:val="20"/>
        </w:rPr>
        <w:t xml:space="preserve">Relationship between BrainAGE scores depicted in years with the Gold-MSI subscales in amateur-musicians and non-musicians. </w:t>
      </w: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sz w:val="20"/>
          <w:szCs w:val="20"/>
          <w:lang w:val="en-US"/>
        </w:rPr>
      </w:pPr>
      <w:bookmarkStart w:id="0" w:name="__DdeLink__240418_1309488522"/>
      <w:bookmarkEnd w:id="0"/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Cs/>
          <w:noProof/>
          <w:sz w:val="20"/>
          <w:szCs w:val="20"/>
          <w:lang w:val="en-IN" w:eastAsia="en-IN" w:bidi="ar-SA"/>
        </w:rPr>
        <w:drawing>
          <wp:inline distT="0" distB="0" distL="0" distR="0">
            <wp:extent cx="5943600" cy="3498850"/>
            <wp:effectExtent l="0" t="0" r="0" b="0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1" w:name="__DdeLink__240418_13094885222"/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 xml:space="preserve">Fig. 4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Relationship between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(in years) and active engagement in amateur-musicians. Each dot depicts the individua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l pairs of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and Gold-MSI Active Engagement subscale scores in healthy participants. The straight line indicates the best linear fits and the R</w:t>
      </w:r>
      <w:r w:rsidRPr="007D34CD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2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indicates the explained variance, with outer lines depicting 95% confidence intervals. </w:t>
      </w:r>
      <w:bookmarkEnd w:id="1"/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sz w:val="20"/>
          <w:szCs w:val="20"/>
        </w:rPr>
      </w:pPr>
      <w:r w:rsidRPr="007D34CD">
        <w:rPr>
          <w:rFonts w:ascii="Times New Roman" w:hAnsi="Times New Roman"/>
          <w:noProof/>
          <w:sz w:val="20"/>
          <w:szCs w:val="20"/>
          <w:lang w:val="en-IN" w:eastAsia="en-IN" w:bidi="ar-SA"/>
        </w:rPr>
        <w:drawing>
          <wp:inline distT="0" distB="0" distL="0" distR="0">
            <wp:extent cx="5943600" cy="3498850"/>
            <wp:effectExtent l="0" t="0" r="0" b="0"/>
            <wp:docPr id="3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2" w:name="__DdeLink__240418_130948852221"/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 xml:space="preserve">Fig. </w:t>
      </w:r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 xml:space="preserve">5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Relationship between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(in years) and active engagement in non-musicians. Each dot depicts the individual pairs of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and Gold-MSI Active Engagement subscale scores in healthy participants. The straight line indicates the best </w:t>
      </w:r>
      <w:r w:rsidRPr="007D34CD">
        <w:rPr>
          <w:rFonts w:ascii="Times New Roman" w:hAnsi="Times New Roman"/>
          <w:sz w:val="20"/>
          <w:szCs w:val="20"/>
          <w:lang w:val="en-US"/>
        </w:rPr>
        <w:t>linear fits and the R</w:t>
      </w:r>
      <w:r w:rsidRPr="007D34CD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2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indicates the explained variance, with outer lines depicting 95% confidence intervals. </w:t>
      </w:r>
      <w:bookmarkEnd w:id="2"/>
    </w:p>
    <w:p w:rsidR="00114750" w:rsidRPr="007D34CD" w:rsidRDefault="00114750">
      <w:pPr>
        <w:spacing w:line="400" w:lineRule="atLeast"/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sz w:val="20"/>
          <w:szCs w:val="20"/>
        </w:rPr>
      </w:pPr>
      <w:r w:rsidRPr="007D34CD">
        <w:rPr>
          <w:rFonts w:ascii="Times New Roman" w:hAnsi="Times New Roman"/>
          <w:noProof/>
          <w:sz w:val="20"/>
          <w:szCs w:val="20"/>
          <w:lang w:val="en-IN" w:eastAsia="en-IN" w:bidi="ar-SA"/>
        </w:rPr>
        <w:drawing>
          <wp:inline distT="0" distB="0" distL="0" distR="0">
            <wp:extent cx="5943600" cy="3498850"/>
            <wp:effectExtent l="0" t="0" r="0" b="0"/>
            <wp:docPr id="4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  <w:bookmarkStart w:id="3" w:name="__DdeLink__240418_13094885221"/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 xml:space="preserve">Fig. 6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Relationship between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(in years) and musical training in amateur-musicians. Each dot depicts the individual pairs of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</w:t>
      </w:r>
      <w:r w:rsidRPr="007D34CD">
        <w:rPr>
          <w:rFonts w:ascii="Times New Roman" w:hAnsi="Times New Roman"/>
          <w:sz w:val="20"/>
          <w:szCs w:val="20"/>
          <w:lang w:val="en-US"/>
        </w:rPr>
        <w:t>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and Gold-MSI Musical Training subscale scores in healthy participants. The straight line indicates the best linear fits and the R</w:t>
      </w:r>
      <w:r w:rsidRPr="007D34CD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2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indicates the explained variance, with outer lines depicting 95% confidence intervals. </w:t>
      </w:r>
      <w:bookmarkEnd w:id="3"/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114750">
      <w:pPr>
        <w:spacing w:line="400" w:lineRule="atLeast"/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Cs/>
          <w:noProof/>
          <w:sz w:val="20"/>
          <w:szCs w:val="20"/>
          <w:lang w:val="en-IN" w:eastAsia="en-IN" w:bidi="ar-SA"/>
        </w:rPr>
        <w:drawing>
          <wp:inline distT="0" distB="0" distL="0" distR="0">
            <wp:extent cx="5943600" cy="3498850"/>
            <wp:effectExtent l="0" t="0" r="0" b="0"/>
            <wp:docPr id="5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sz w:val="20"/>
          <w:szCs w:val="20"/>
        </w:rPr>
      </w:pPr>
    </w:p>
    <w:p w:rsidR="00114750" w:rsidRPr="007D34CD" w:rsidRDefault="007D34CD">
      <w:pPr>
        <w:spacing w:line="480" w:lineRule="auto"/>
        <w:jc w:val="both"/>
        <w:rPr>
          <w:rFonts w:ascii="Times New Roman" w:hAnsi="Times New Roman"/>
          <w:sz w:val="20"/>
          <w:szCs w:val="20"/>
        </w:rPr>
      </w:pPr>
      <w:bookmarkStart w:id="4" w:name="__DdeLink__240418_130948852211"/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 xml:space="preserve">Fig. 7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Relationship between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(in years) and musical training in non-musicians. Each dot depicts the individual pairs of </w:t>
      </w:r>
      <w:proofErr w:type="spellStart"/>
      <w:r w:rsidRPr="007D34CD">
        <w:rPr>
          <w:rFonts w:ascii="Times New Roman" w:hAnsi="Times New Roman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sz w:val="20"/>
          <w:szCs w:val="20"/>
          <w:lang w:val="en-US"/>
        </w:rPr>
        <w:t xml:space="preserve"> scores and Gold-MSI Musical Training subscale scores in healthy participants. The straight line indicates the best line</w:t>
      </w:r>
      <w:r w:rsidRPr="007D34CD">
        <w:rPr>
          <w:rFonts w:ascii="Times New Roman" w:hAnsi="Times New Roman"/>
          <w:sz w:val="20"/>
          <w:szCs w:val="20"/>
          <w:lang w:val="en-US"/>
        </w:rPr>
        <w:t>ar fits and the R</w:t>
      </w:r>
      <w:r w:rsidRPr="007D34CD">
        <w:rPr>
          <w:rFonts w:ascii="Times New Roman" w:hAnsi="Times New Roman"/>
          <w:sz w:val="20"/>
          <w:szCs w:val="20"/>
          <w:vertAlign w:val="superscript"/>
          <w:lang w:val="en-US"/>
        </w:rPr>
        <w:t xml:space="preserve">2 </w:t>
      </w:r>
      <w:r w:rsidRPr="007D34CD">
        <w:rPr>
          <w:rFonts w:ascii="Times New Roman" w:hAnsi="Times New Roman"/>
          <w:sz w:val="20"/>
          <w:szCs w:val="20"/>
          <w:lang w:val="en-US"/>
        </w:rPr>
        <w:t xml:space="preserve">indicates the explained variance, with outer lines depicting 95% confidence intervals. </w:t>
      </w:r>
      <w:bookmarkEnd w:id="4"/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>5 Results: additional computed statistics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5.1 </w:t>
      </w:r>
      <w:r w:rsidRPr="007D34CD">
        <w:rPr>
          <w:rFonts w:ascii="Times New Roman" w:hAnsi="Times New Roman"/>
          <w:b/>
          <w:bCs/>
          <w:sz w:val="20"/>
          <w:szCs w:val="20"/>
        </w:rPr>
        <w:t>Musical training, active musical engagement and BrainAGE scores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We computed a stepwise linear regression (with </w:t>
      </w:r>
      <w:proofErr w:type="spellStart"/>
      <w:r w:rsidRPr="007D34CD">
        <w:rPr>
          <w:rFonts w:ascii="Times New Roman" w:hAnsi="Times New Roman"/>
          <w:kern w:val="0"/>
          <w:sz w:val="20"/>
          <w:szCs w:val="20"/>
          <w:lang w:val="en-US"/>
        </w:rPr>
        <w:t>BrainAGE</w:t>
      </w:r>
      <w:proofErr w:type="spellEnd"/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 scores as dependent variable, independent variables: MT scores, AE scores, and years of education),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>R</w:t>
      </w:r>
      <w:r w:rsidRPr="007D34CD">
        <w:rPr>
          <w:rFonts w:ascii="Times New Roman" w:hAnsi="Times New Roman"/>
          <w:kern w:val="0"/>
          <w:sz w:val="20"/>
          <w:szCs w:val="20"/>
          <w:vertAlign w:val="superscript"/>
          <w:lang w:val="en-US"/>
        </w:rPr>
        <w:t>2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 = 0.01,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>p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 = 0.81, </w:t>
      </w:r>
      <w:proofErr w:type="gramStart"/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>F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>(</w:t>
      </w:r>
      <w:proofErr w:type="gramEnd"/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3,121) = 0.32,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>β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 = </w:t>
      </w:r>
      <w:r w:rsidRPr="007D34CD">
        <w:rPr>
          <w:kern w:val="0"/>
          <w:sz w:val="20"/>
          <w:szCs w:val="20"/>
          <w:lang w:val="en-US"/>
        </w:rPr>
        <w:t xml:space="preserve">-0.42, 95% CI </w:t>
      </w:r>
      <w:r w:rsidRPr="007D34CD">
        <w:rPr>
          <w:kern w:val="0"/>
          <w:sz w:val="20"/>
          <w:szCs w:val="20"/>
          <w:lang w:val="en-US"/>
        </w:rPr>
        <w:t>[</w:t>
      </w:r>
      <w:r w:rsidRPr="007D34CD">
        <w:rPr>
          <w:kern w:val="0"/>
          <w:sz w:val="20"/>
          <w:szCs w:val="20"/>
          <w:lang w:val="en-US"/>
        </w:rPr>
        <w:t>-5.74, 4.90</w:t>
      </w:r>
      <w:r w:rsidRPr="007D34CD">
        <w:rPr>
          <w:kern w:val="0"/>
          <w:sz w:val="20"/>
          <w:szCs w:val="20"/>
          <w:lang w:val="en-US"/>
        </w:rPr>
        <w:t>]</w:t>
      </w:r>
      <w:r w:rsidRPr="007D34CD">
        <w:rPr>
          <w:kern w:val="0"/>
          <w:sz w:val="20"/>
          <w:szCs w:val="20"/>
          <w:lang w:val="en-US"/>
        </w:rPr>
        <w:t xml:space="preserve">. Our hypothesis that a background of musical training or active engagement in music would influence </w:t>
      </w:r>
      <w:proofErr w:type="spellStart"/>
      <w:r w:rsidRPr="007D34CD">
        <w:rPr>
          <w:kern w:val="0"/>
          <w:sz w:val="20"/>
          <w:szCs w:val="20"/>
          <w:lang w:val="en-US"/>
        </w:rPr>
        <w:t>BrainAGE</w:t>
      </w:r>
      <w:proofErr w:type="spellEnd"/>
      <w:r w:rsidRPr="007D34CD">
        <w:rPr>
          <w:kern w:val="0"/>
          <w:sz w:val="20"/>
          <w:szCs w:val="20"/>
          <w:lang w:val="en-US"/>
        </w:rPr>
        <w:t xml:space="preserve"> scores was rejected. </w:t>
      </w: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bCs/>
          <w:kern w:val="0"/>
          <w:sz w:val="20"/>
          <w:szCs w:val="20"/>
        </w:rPr>
        <w:t xml:space="preserve">Non-parametric analyses using </w:t>
      </w:r>
      <w:r w:rsidRPr="007D34CD">
        <w:rPr>
          <w:bCs/>
          <w:kern w:val="0"/>
          <w:sz w:val="20"/>
          <w:szCs w:val="20"/>
        </w:rPr>
        <w:t>Spearman’s rank correlations were computed to assess the relationships between aspects of musi</w:t>
      </w:r>
      <w:r w:rsidRPr="007D34CD">
        <w:rPr>
          <w:bCs/>
          <w:kern w:val="0"/>
          <w:sz w:val="20"/>
          <w:szCs w:val="20"/>
        </w:rPr>
        <w:t>cality (MT and AE), and BrainAGE scores. Both contrasts resulted in non-significant Spearman correlations between MT and BrainAGE (</w:t>
      </w:r>
      <w:r w:rsidRPr="007D34CD">
        <w:rPr>
          <w:bCs/>
          <w:i/>
          <w:kern w:val="0"/>
          <w:sz w:val="20"/>
          <w:szCs w:val="20"/>
        </w:rPr>
        <w:t>r</w:t>
      </w:r>
      <w:r w:rsidRPr="007D34CD">
        <w:rPr>
          <w:bCs/>
          <w:i/>
          <w:kern w:val="0"/>
          <w:position w:val="-1"/>
          <w:sz w:val="20"/>
          <w:szCs w:val="20"/>
        </w:rPr>
        <w:t>s</w:t>
      </w:r>
      <w:r w:rsidRPr="007D34CD">
        <w:rPr>
          <w:bCs/>
          <w:kern w:val="0"/>
          <w:sz w:val="20"/>
          <w:szCs w:val="20"/>
        </w:rPr>
        <w:t xml:space="preserve"> = -0.07, </w:t>
      </w:r>
      <w:r w:rsidRPr="007D34CD">
        <w:rPr>
          <w:bCs/>
          <w:i/>
          <w:kern w:val="0"/>
          <w:sz w:val="20"/>
          <w:szCs w:val="20"/>
        </w:rPr>
        <w:t>p</w:t>
      </w:r>
      <w:r w:rsidRPr="007D34CD">
        <w:rPr>
          <w:bCs/>
          <w:kern w:val="0"/>
          <w:sz w:val="20"/>
          <w:szCs w:val="20"/>
        </w:rPr>
        <w:t xml:space="preserve"> = 0.45, </w:t>
      </w:r>
      <w:r w:rsidRPr="007D34CD">
        <w:rPr>
          <w:bCs/>
          <w:i/>
          <w:kern w:val="0"/>
          <w:sz w:val="20"/>
          <w:szCs w:val="20"/>
        </w:rPr>
        <w:t>N</w:t>
      </w:r>
      <w:r w:rsidRPr="007D34CD">
        <w:rPr>
          <w:bCs/>
          <w:kern w:val="0"/>
          <w:sz w:val="20"/>
          <w:szCs w:val="20"/>
        </w:rPr>
        <w:t xml:space="preserve"> = 125), and AE and BrainAGE (</w:t>
      </w:r>
      <w:r w:rsidRPr="007D34CD">
        <w:rPr>
          <w:bCs/>
          <w:i/>
          <w:kern w:val="0"/>
          <w:sz w:val="20"/>
          <w:szCs w:val="20"/>
        </w:rPr>
        <w:t>r</w:t>
      </w:r>
      <w:r w:rsidRPr="007D34CD">
        <w:rPr>
          <w:bCs/>
          <w:i/>
          <w:kern w:val="0"/>
          <w:position w:val="-1"/>
          <w:sz w:val="20"/>
          <w:szCs w:val="20"/>
        </w:rPr>
        <w:t>s</w:t>
      </w:r>
      <w:r w:rsidRPr="007D34CD">
        <w:rPr>
          <w:bCs/>
          <w:kern w:val="0"/>
          <w:sz w:val="20"/>
          <w:szCs w:val="20"/>
        </w:rPr>
        <w:t xml:space="preserve"> = 0.03, </w:t>
      </w:r>
      <w:r w:rsidRPr="007D34CD">
        <w:rPr>
          <w:bCs/>
          <w:i/>
          <w:kern w:val="0"/>
          <w:sz w:val="20"/>
          <w:szCs w:val="20"/>
        </w:rPr>
        <w:t>p</w:t>
      </w:r>
      <w:r w:rsidRPr="007D34CD">
        <w:rPr>
          <w:bCs/>
          <w:kern w:val="0"/>
          <w:sz w:val="20"/>
          <w:szCs w:val="20"/>
        </w:rPr>
        <w:t xml:space="preserve"> = 0.76, </w:t>
      </w:r>
      <w:r w:rsidRPr="007D34CD">
        <w:rPr>
          <w:bCs/>
          <w:i/>
          <w:kern w:val="0"/>
          <w:sz w:val="20"/>
          <w:szCs w:val="20"/>
        </w:rPr>
        <w:t>N</w:t>
      </w:r>
      <w:r w:rsidRPr="007D34CD">
        <w:rPr>
          <w:bCs/>
          <w:kern w:val="0"/>
          <w:sz w:val="20"/>
          <w:szCs w:val="20"/>
        </w:rPr>
        <w:t xml:space="preserve"> = 125). No further correlations were found for between MA and BrainAGE (</w:t>
      </w:r>
      <w:r w:rsidRPr="007D34CD">
        <w:rPr>
          <w:bCs/>
          <w:i/>
          <w:kern w:val="0"/>
          <w:sz w:val="20"/>
          <w:szCs w:val="20"/>
        </w:rPr>
        <w:t>r</w:t>
      </w:r>
      <w:r w:rsidRPr="007D34CD">
        <w:rPr>
          <w:bCs/>
          <w:i/>
          <w:kern w:val="0"/>
          <w:position w:val="-1"/>
          <w:sz w:val="20"/>
          <w:szCs w:val="20"/>
        </w:rPr>
        <w:t>s</w:t>
      </w:r>
      <w:r w:rsidRPr="007D34CD">
        <w:rPr>
          <w:bCs/>
          <w:kern w:val="0"/>
          <w:sz w:val="20"/>
          <w:szCs w:val="20"/>
        </w:rPr>
        <w:t xml:space="preserve"> = -0.04, </w:t>
      </w:r>
      <w:r w:rsidRPr="007D34CD">
        <w:rPr>
          <w:bCs/>
          <w:i/>
          <w:kern w:val="0"/>
          <w:sz w:val="20"/>
          <w:szCs w:val="20"/>
        </w:rPr>
        <w:t>p</w:t>
      </w:r>
      <w:r w:rsidRPr="007D34CD">
        <w:rPr>
          <w:bCs/>
          <w:kern w:val="0"/>
          <w:sz w:val="20"/>
          <w:szCs w:val="20"/>
        </w:rPr>
        <w:t xml:space="preserve"> = 0.69, </w:t>
      </w:r>
      <w:r w:rsidRPr="007D34CD">
        <w:rPr>
          <w:bCs/>
          <w:i/>
          <w:kern w:val="0"/>
          <w:sz w:val="20"/>
          <w:szCs w:val="20"/>
        </w:rPr>
        <w:t>N</w:t>
      </w:r>
      <w:r w:rsidRPr="007D34CD">
        <w:rPr>
          <w:bCs/>
          <w:kern w:val="0"/>
          <w:sz w:val="20"/>
          <w:szCs w:val="20"/>
        </w:rPr>
        <w:t xml:space="preserve"> = 125). 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5.2 </w:t>
      </w:r>
      <w:r w:rsidRPr="007D34CD">
        <w:rPr>
          <w:rFonts w:ascii="Times New Roman" w:hAnsi="Times New Roman"/>
          <w:b/>
          <w:bCs/>
          <w:sz w:val="20"/>
          <w:szCs w:val="20"/>
        </w:rPr>
        <w:t>Musician status and BrainAge scores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bCs/>
          <w:kern w:val="0"/>
          <w:sz w:val="20"/>
          <w:szCs w:val="20"/>
        </w:rPr>
        <w:tab/>
        <w:t xml:space="preserve">A direct comparison of musician status and BrainAGE scores (using ANCOVA with </w:t>
      </w:r>
      <w:r w:rsidRPr="007D34CD">
        <w:rPr>
          <w:bCs/>
          <w:kern w:val="0"/>
          <w:sz w:val="20"/>
          <w:szCs w:val="20"/>
        </w:rPr>
        <w:t xml:space="preserve">BrainAGE scores as dependent </w:t>
      </w:r>
      <w:r w:rsidRPr="007D34CD">
        <w:rPr>
          <w:bCs/>
          <w:kern w:val="0"/>
          <w:sz w:val="20"/>
          <w:szCs w:val="20"/>
        </w:rPr>
        <w:t xml:space="preserve">variable, years of education as covariate, fixed factors: musician status and gender) did not yield a significant  result, </w:t>
      </w:r>
      <w:r w:rsidRPr="007D34CD">
        <w:rPr>
          <w:bCs/>
          <w:i/>
          <w:iCs/>
          <w:kern w:val="0"/>
          <w:sz w:val="20"/>
          <w:szCs w:val="20"/>
        </w:rPr>
        <w:t>F</w:t>
      </w:r>
      <w:r w:rsidRPr="007D34CD">
        <w:rPr>
          <w:bCs/>
          <w:kern w:val="0"/>
          <w:sz w:val="20"/>
          <w:szCs w:val="20"/>
        </w:rPr>
        <w:t xml:space="preserve">(1,121) = 1.44, </w:t>
      </w:r>
      <w:r w:rsidRPr="007D34CD">
        <w:rPr>
          <w:bCs/>
          <w:i/>
          <w:iCs/>
          <w:kern w:val="0"/>
          <w:sz w:val="20"/>
          <w:szCs w:val="20"/>
        </w:rPr>
        <w:t xml:space="preserve">p </w:t>
      </w:r>
      <w:r w:rsidRPr="007D34CD">
        <w:rPr>
          <w:bCs/>
          <w:kern w:val="0"/>
          <w:sz w:val="20"/>
          <w:szCs w:val="20"/>
        </w:rPr>
        <w:t xml:space="preserve">= 0.23. 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5.3 </w:t>
      </w:r>
      <w:r w:rsidRPr="007D34CD">
        <w:rPr>
          <w:rFonts w:ascii="Times New Roman" w:hAnsi="Times New Roman"/>
          <w:b/>
          <w:bCs/>
          <w:sz w:val="20"/>
          <w:szCs w:val="20"/>
        </w:rPr>
        <w:t>Musical anhedonia and BrainAge scores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pStyle w:val="Body"/>
        <w:widowControl w:val="0"/>
        <w:spacing w:before="57" w:after="57" w:line="48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7D34CD">
        <w:rPr>
          <w:rFonts w:ascii="Times New Roman" w:hAnsi="Times New Roman"/>
          <w:color w:val="auto"/>
          <w:sz w:val="20"/>
          <w:szCs w:val="20"/>
        </w:rPr>
        <w:t xml:space="preserve">To 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investigate whether musical anhedonia predicts </w:t>
      </w:r>
      <w:proofErr w:type="spellStart"/>
      <w:r w:rsidRPr="007D34CD">
        <w:rPr>
          <w:rFonts w:ascii="Times New Roman" w:hAnsi="Times New Roman"/>
          <w:color w:val="auto"/>
          <w:sz w:val="20"/>
          <w:szCs w:val="20"/>
        </w:rPr>
        <w:t>BrainAGE</w:t>
      </w:r>
      <w:proofErr w:type="spellEnd"/>
      <w:r w:rsidRPr="007D34CD">
        <w:rPr>
          <w:rFonts w:ascii="Times New Roman" w:hAnsi="Times New Roman"/>
          <w:color w:val="auto"/>
          <w:sz w:val="20"/>
          <w:szCs w:val="20"/>
        </w:rPr>
        <w:t xml:space="preserve"> scores, we computed a stepwise linear regression (with </w:t>
      </w:r>
      <w:proofErr w:type="spellStart"/>
      <w:r w:rsidRPr="007D34CD">
        <w:rPr>
          <w:rFonts w:ascii="Times New Roman" w:hAnsi="Times New Roman"/>
          <w:color w:val="auto"/>
          <w:sz w:val="20"/>
          <w:szCs w:val="20"/>
        </w:rPr>
        <w:t>BrainAGE</w:t>
      </w:r>
      <w:proofErr w:type="spellEnd"/>
      <w:r w:rsidRPr="007D34CD">
        <w:rPr>
          <w:rFonts w:ascii="Times New Roman" w:hAnsi="Times New Roman"/>
          <w:color w:val="auto"/>
          <w:sz w:val="20"/>
          <w:szCs w:val="20"/>
        </w:rPr>
        <w:t xml:space="preserve"> scores as dependent variable, </w:t>
      </w:r>
      <w:r w:rsidRPr="007D34CD">
        <w:rPr>
          <w:color w:val="auto"/>
          <w:sz w:val="20"/>
          <w:szCs w:val="20"/>
        </w:rPr>
        <w:t xml:space="preserve">independent variables: 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musical anhedonia scores and years of </w:t>
      </w:r>
      <w:r w:rsidRPr="007D34CD">
        <w:rPr>
          <w:color w:val="auto"/>
          <w:sz w:val="20"/>
          <w:szCs w:val="20"/>
        </w:rPr>
        <w:t xml:space="preserve">education). This regression did not indicate a significant result, </w:t>
      </w:r>
      <w:r w:rsidRPr="007D34CD">
        <w:rPr>
          <w:rFonts w:ascii="Times New Roman" w:hAnsi="Times New Roman"/>
          <w:color w:val="auto"/>
          <w:sz w:val="20"/>
          <w:szCs w:val="20"/>
        </w:rPr>
        <w:t>(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R</w:t>
      </w:r>
      <w:r w:rsidRPr="007D34CD">
        <w:rPr>
          <w:rFonts w:ascii="Times New Roman" w:hAnsi="Times New Roman"/>
          <w:color w:val="auto"/>
          <w:sz w:val="20"/>
          <w:szCs w:val="20"/>
          <w:vertAlign w:val="superscript"/>
        </w:rPr>
        <w:t>2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0.04, 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p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0.89, 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 xml:space="preserve">F 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(2,122) = 0.11, </w:t>
      </w:r>
      <w:bookmarkStart w:id="5" w:name="__DdeLink__12354_1019522634"/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β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-0.21, 95% CI </w:t>
      </w:r>
      <w:r w:rsidRPr="007D34CD">
        <w:rPr>
          <w:rFonts w:ascii="Liberation Serif" w:hAnsi="Liberation Serif"/>
          <w:color w:val="auto"/>
          <w:kern w:val="0"/>
          <w:sz w:val="20"/>
          <w:szCs w:val="20"/>
        </w:rPr>
        <w:t xml:space="preserve">[-1.12, 0.69]. </w:t>
      </w:r>
      <w:bookmarkEnd w:id="5"/>
    </w:p>
    <w:p w:rsidR="00114750" w:rsidRPr="007D34CD" w:rsidRDefault="007D34CD">
      <w:pPr>
        <w:widowControl w:val="0"/>
        <w:spacing w:before="57" w:after="57" w:line="480" w:lineRule="auto"/>
        <w:jc w:val="both"/>
        <w:rPr>
          <w:rFonts w:ascii="Times New Roman" w:hAnsi="Times New Roman"/>
          <w:sz w:val="20"/>
          <w:szCs w:val="20"/>
        </w:rPr>
      </w:pP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Likewise, a direct comparison of musical anhedonia scores and </w:t>
      </w:r>
      <w:proofErr w:type="spellStart"/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BrainAGE</w:t>
      </w:r>
      <w:proofErr w:type="spellEnd"/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 scores (using an ANCOVA 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with </w:t>
      </w:r>
      <w:proofErr w:type="spellStart"/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BrainAGE</w:t>
      </w:r>
      <w:proofErr w:type="spellEnd"/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 scores as dependent variable, covariates: musical anhedonia and years of education, fixed factors: musician status and gender) did not yield a significant result, </w:t>
      </w:r>
      <w:proofErr w:type="gramStart"/>
      <w:r w:rsidRPr="007D34CD">
        <w:rPr>
          <w:rFonts w:eastAsia="Arial Unicode MS;Arial Unicode" w:cs="Arial Unicode MS;Arial Unicode"/>
          <w:bCs/>
          <w:i/>
          <w:iCs/>
          <w:kern w:val="0"/>
          <w:sz w:val="20"/>
          <w:szCs w:val="20"/>
          <w:lang w:val="en-US"/>
        </w:rPr>
        <w:t>F</w:t>
      </w:r>
      <w:r w:rsidRPr="007D34CD">
        <w:rPr>
          <w:rFonts w:eastAsia="Arial Unicode MS;Arial Unicode" w:cs="Arial Unicode MS;Arial Unicode"/>
          <w:bCs/>
          <w:kern w:val="0"/>
          <w:sz w:val="20"/>
          <w:szCs w:val="20"/>
          <w:lang w:val="en-US"/>
        </w:rPr>
        <w:t>(</w:t>
      </w:r>
      <w:proofErr w:type="gramEnd"/>
      <w:r w:rsidRPr="007D34CD">
        <w:rPr>
          <w:rFonts w:eastAsia="Arial Unicode MS;Arial Unicode" w:cs="Arial Unicode MS;Arial Unicode"/>
          <w:bCs/>
          <w:kern w:val="0"/>
          <w:sz w:val="20"/>
          <w:szCs w:val="20"/>
          <w:lang w:val="en-US"/>
        </w:rPr>
        <w:t xml:space="preserve">1,119) = 0.22, </w:t>
      </w:r>
      <w:r w:rsidRPr="007D34CD">
        <w:rPr>
          <w:rFonts w:eastAsia="Arial Unicode MS;Arial Unicode" w:cs="Arial Unicode MS;Arial Unicode"/>
          <w:bCs/>
          <w:i/>
          <w:iCs/>
          <w:kern w:val="0"/>
          <w:sz w:val="20"/>
          <w:szCs w:val="20"/>
          <w:lang w:val="en-US"/>
        </w:rPr>
        <w:t xml:space="preserve">p </w:t>
      </w:r>
      <w:r w:rsidRPr="007D34CD">
        <w:rPr>
          <w:rFonts w:eastAsia="Arial Unicode MS;Arial Unicode" w:cs="Arial Unicode MS;Arial Unicode"/>
          <w:bCs/>
          <w:kern w:val="0"/>
          <w:sz w:val="20"/>
          <w:szCs w:val="20"/>
          <w:lang w:val="en-US"/>
        </w:rPr>
        <w:t xml:space="preserve">= 0.64. </w:t>
      </w:r>
    </w:p>
    <w:p w:rsidR="00114750" w:rsidRPr="007D34CD" w:rsidRDefault="007D34CD">
      <w:pPr>
        <w:widowControl w:val="0"/>
        <w:spacing w:before="57" w:after="57" w:line="480" w:lineRule="auto"/>
        <w:jc w:val="both"/>
        <w:rPr>
          <w:rFonts w:ascii="Times New Roman" w:hAnsi="Times New Roman"/>
          <w:sz w:val="20"/>
          <w:szCs w:val="20"/>
        </w:rPr>
      </w:pP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A direct comparison of </w:t>
      </w:r>
      <w:r w:rsidRPr="007D34CD">
        <w:rPr>
          <w:kern w:val="0"/>
          <w:sz w:val="20"/>
          <w:szCs w:val="20"/>
        </w:rPr>
        <w:t>musical anhedonia scores bet</w:t>
      </w:r>
      <w:r w:rsidRPr="007D34CD">
        <w:rPr>
          <w:kern w:val="0"/>
          <w:sz w:val="20"/>
          <w:szCs w:val="20"/>
        </w:rPr>
        <w:t xml:space="preserve">ween the groups of non-musicians and amateur musicians using independent samples </w:t>
      </w:r>
      <w:r w:rsidRPr="007D34CD">
        <w:rPr>
          <w:i/>
          <w:iCs/>
          <w:kern w:val="0"/>
          <w:sz w:val="20"/>
          <w:szCs w:val="20"/>
        </w:rPr>
        <w:t>t-</w:t>
      </w:r>
      <w:r w:rsidRPr="007D34CD">
        <w:rPr>
          <w:kern w:val="0"/>
          <w:sz w:val="20"/>
          <w:szCs w:val="20"/>
        </w:rPr>
        <w:t xml:space="preserve">tests indicated that amateur-musicians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>(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 xml:space="preserve">M =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5.17,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 xml:space="preserve">SD =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1.09,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 xml:space="preserve">N =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64) </w:t>
      </w:r>
      <w:r w:rsidRPr="007D34CD">
        <w:rPr>
          <w:kern w:val="0"/>
          <w:sz w:val="20"/>
          <w:szCs w:val="20"/>
        </w:rPr>
        <w:t>are significantly more sensitive to musical pleasure than non-musicians (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 xml:space="preserve">M =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4.22,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>SD =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 0.99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 xml:space="preserve">, N =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>61)</w:t>
      </w:r>
      <w:r w:rsidRPr="007D34CD">
        <w:rPr>
          <w:kern w:val="0"/>
          <w:sz w:val="20"/>
          <w:szCs w:val="20"/>
        </w:rPr>
        <w:t xml:space="preserve"> in our sample,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>(</w:t>
      </w:r>
      <w:proofErr w:type="gramStart"/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>t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>(</w:t>
      </w:r>
      <w:proofErr w:type="gramEnd"/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123) = -5.10 </w:t>
      </w:r>
      <w:r w:rsidRPr="007D34CD">
        <w:rPr>
          <w:rFonts w:ascii="Times New Roman" w:hAnsi="Times New Roman"/>
          <w:i/>
          <w:iCs/>
          <w:kern w:val="0"/>
          <w:sz w:val="20"/>
          <w:szCs w:val="20"/>
          <w:lang w:val="en-US"/>
        </w:rPr>
        <w:t xml:space="preserve">p = </w:t>
      </w:r>
      <w:r w:rsidRPr="007D34CD">
        <w:rPr>
          <w:rFonts w:ascii="Times New Roman" w:hAnsi="Times New Roman"/>
          <w:kern w:val="0"/>
          <w:sz w:val="20"/>
          <w:szCs w:val="20"/>
          <w:lang w:val="en-US"/>
        </w:rPr>
        <w:t xml:space="preserve">0.23, two-tailed). Higher MA scores reflect higher levels of musical pleasure, and lower MA scores reflect the presence of musical anhedonia, or lack of reward to musical pleasure. </w:t>
      </w:r>
    </w:p>
    <w:p w:rsidR="00114750" w:rsidRPr="007D34CD" w:rsidRDefault="00114750">
      <w:pPr>
        <w:jc w:val="both"/>
        <w:rPr>
          <w:bCs/>
          <w:kern w:val="0"/>
          <w:sz w:val="20"/>
          <w:szCs w:val="20"/>
          <w:lang w:val="en-US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  <w:lang w:val="en-US"/>
        </w:rPr>
        <w:t>5.4 Exploratory Analyses: Resilience</w:t>
      </w:r>
      <w:r w:rsidRPr="007D34CD">
        <w:rPr>
          <w:rFonts w:ascii="Times New Roman" w:hAnsi="Times New Roman"/>
          <w:b/>
          <w:bCs/>
          <w:i/>
          <w:iCs/>
          <w:sz w:val="20"/>
          <w:szCs w:val="20"/>
          <w:lang w:val="en-US"/>
        </w:rPr>
        <w:t xml:space="preserve">, </w:t>
      </w:r>
      <w:r w:rsidRPr="007D34CD">
        <w:rPr>
          <w:rFonts w:ascii="Times New Roman" w:hAnsi="Times New Roman"/>
          <w:b/>
          <w:bCs/>
          <w:sz w:val="20"/>
          <w:szCs w:val="20"/>
        </w:rPr>
        <w:t>Music, and BrainAGE scores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pStyle w:val="Body"/>
        <w:widowControl w:val="0"/>
        <w:spacing w:line="48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Music, Resilience, and Musical Anhedonia</w:t>
      </w:r>
    </w:p>
    <w:p w:rsidR="00114750" w:rsidRPr="007D34CD" w:rsidRDefault="007D34CD">
      <w:pPr>
        <w:pStyle w:val="Body"/>
        <w:widowControl w:val="0"/>
        <w:spacing w:before="57" w:after="57" w:line="480" w:lineRule="auto"/>
        <w:jc w:val="both"/>
        <w:rPr>
          <w:color w:val="auto"/>
          <w:sz w:val="20"/>
          <w:szCs w:val="20"/>
        </w:rPr>
      </w:pPr>
      <w:r w:rsidRPr="007D34CD">
        <w:rPr>
          <w:rFonts w:ascii="Times New Roman" w:hAnsi="Times New Roman"/>
          <w:color w:val="auto"/>
          <w:sz w:val="20"/>
          <w:szCs w:val="20"/>
        </w:rPr>
        <w:t>To explore whether musical training or musical engagement predict total resilience score, we computed a stepwise linear regression (with resilience scores as dependent variable, indepen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dent variables: MT scores, AE scores, years of </w:t>
      </w:r>
      <w:r w:rsidRPr="007D34CD">
        <w:rPr>
          <w:color w:val="auto"/>
          <w:sz w:val="20"/>
          <w:szCs w:val="20"/>
        </w:rPr>
        <w:t xml:space="preserve">education, and age). This regression did not indicate a significant result </w:t>
      </w:r>
      <w:r w:rsidRPr="007D34CD">
        <w:rPr>
          <w:rFonts w:ascii="Times New Roman" w:hAnsi="Times New Roman"/>
          <w:color w:val="auto"/>
          <w:sz w:val="20"/>
          <w:szCs w:val="20"/>
        </w:rPr>
        <w:t>(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R</w:t>
      </w:r>
      <w:r w:rsidRPr="007D34CD">
        <w:rPr>
          <w:rFonts w:ascii="Times New Roman" w:hAnsi="Times New Roman"/>
          <w:color w:val="auto"/>
          <w:sz w:val="20"/>
          <w:szCs w:val="20"/>
          <w:vertAlign w:val="superscript"/>
        </w:rPr>
        <w:t>2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0.04, </w:t>
      </w:r>
      <w:proofErr w:type="gramStart"/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F</w:t>
      </w:r>
      <w:r w:rsidRPr="007D34CD">
        <w:rPr>
          <w:rFonts w:ascii="Times New Roman" w:hAnsi="Times New Roman"/>
          <w:color w:val="auto"/>
          <w:sz w:val="20"/>
          <w:szCs w:val="20"/>
        </w:rPr>
        <w:t>(</w:t>
      </w:r>
      <w:proofErr w:type="gramEnd"/>
      <w:r w:rsidRPr="007D34CD">
        <w:rPr>
          <w:rFonts w:ascii="Times New Roman" w:hAnsi="Times New Roman"/>
          <w:color w:val="auto"/>
          <w:sz w:val="20"/>
          <w:szCs w:val="20"/>
        </w:rPr>
        <w:t xml:space="preserve">4, 120) = 1.16, 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p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0.33). </w:t>
      </w:r>
    </w:p>
    <w:p w:rsidR="00114750" w:rsidRPr="007D34CD" w:rsidRDefault="007D34CD">
      <w:pPr>
        <w:widowControl w:val="0"/>
        <w:spacing w:before="57" w:after="57" w:line="480" w:lineRule="auto"/>
        <w:jc w:val="both"/>
        <w:rPr>
          <w:sz w:val="20"/>
          <w:szCs w:val="20"/>
        </w:rPr>
      </w:pP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Likewise, a direct comparison of resilience scores between the groups of non-musicians and amateur musicians (using an ANCOVA with resilience scores as dependent variable, covariates: age, and years of education, fixed factors: musician status and gender) 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did not yield a significant group difference for total resilience scores (</w:t>
      </w:r>
      <w:proofErr w:type="gramStart"/>
      <w:r w:rsidRPr="007D34CD">
        <w:rPr>
          <w:rFonts w:eastAsia="Arial Unicode MS;Arial Unicode" w:cs="Arial Unicode MS;Arial Unicode"/>
          <w:i/>
          <w:kern w:val="0"/>
          <w:sz w:val="20"/>
          <w:szCs w:val="20"/>
          <w:lang w:val="en-US"/>
        </w:rPr>
        <w:t>F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(</w:t>
      </w:r>
      <w:proofErr w:type="gramEnd"/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1,119) = 1.70; </w:t>
      </w:r>
      <w:r w:rsidRPr="007D34CD">
        <w:rPr>
          <w:rFonts w:eastAsia="Arial Unicode MS;Arial Unicode" w:cs="Arial Unicode MS;Arial Unicode"/>
          <w:i/>
          <w:kern w:val="0"/>
          <w:sz w:val="20"/>
          <w:szCs w:val="20"/>
          <w:lang w:val="en-US"/>
        </w:rPr>
        <w:t xml:space="preserve">p 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= 0.20), however it did yield a significant group difference for resilience to challenge (</w:t>
      </w:r>
      <w:r w:rsidRPr="007D34CD">
        <w:rPr>
          <w:rFonts w:eastAsia="Arial Unicode MS;Arial Unicode" w:cs="Arial Unicode MS;Arial Unicode"/>
          <w:i/>
          <w:kern w:val="0"/>
          <w:sz w:val="20"/>
          <w:szCs w:val="20"/>
          <w:lang w:val="en-US"/>
        </w:rPr>
        <w:t>F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(1,119) = 4.13;  </w:t>
      </w:r>
      <w:r w:rsidRPr="007D34CD">
        <w:rPr>
          <w:rFonts w:eastAsia="Arial Unicode MS;Arial Unicode" w:cs="Arial Unicode MS;Arial Unicode"/>
          <w:i/>
          <w:kern w:val="0"/>
          <w:sz w:val="20"/>
          <w:szCs w:val="20"/>
          <w:lang w:val="en-US"/>
        </w:rPr>
        <w:t xml:space="preserve">p 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= 0.04). </w:t>
      </w:r>
    </w:p>
    <w:p w:rsidR="00114750" w:rsidRPr="007D34CD" w:rsidRDefault="007D34CD">
      <w:pPr>
        <w:pStyle w:val="Body"/>
        <w:widowControl w:val="0"/>
        <w:spacing w:before="57" w:after="57" w:line="48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Liberation Serif" w:hAnsi="Liberation Serif"/>
          <w:bCs/>
          <w:color w:val="auto"/>
          <w:kern w:val="0"/>
          <w:sz w:val="20"/>
          <w:szCs w:val="20"/>
        </w:rPr>
        <w:t>Spearman’s rank and Pearson’s (</w:t>
      </w:r>
      <w:r w:rsidRPr="007D34CD">
        <w:rPr>
          <w:rFonts w:ascii="Liberation Serif" w:hAnsi="Liberation Serif"/>
          <w:bCs/>
          <w:i/>
          <w:iCs/>
          <w:color w:val="auto"/>
          <w:kern w:val="0"/>
          <w:sz w:val="20"/>
          <w:szCs w:val="20"/>
        </w:rPr>
        <w:t xml:space="preserve">r) </w:t>
      </w:r>
      <w:r w:rsidRPr="007D34CD">
        <w:rPr>
          <w:rFonts w:ascii="Liberation Serif" w:hAnsi="Liberation Serif"/>
          <w:bCs/>
          <w:color w:val="auto"/>
          <w:kern w:val="0"/>
          <w:sz w:val="20"/>
          <w:szCs w:val="20"/>
        </w:rPr>
        <w:t xml:space="preserve">correlations investigating the relationship between AE, MT, and MA on Resilience (total and subscale scores) can be found in Tables 1 through 3. </w:t>
      </w:r>
    </w:p>
    <w:p w:rsidR="00114750" w:rsidRPr="007D34CD" w:rsidRDefault="00114750">
      <w:pPr>
        <w:jc w:val="both"/>
        <w:rPr>
          <w:rFonts w:eastAsia="Arial Unicode MS;Arial Unicode" w:cs="Arial Unicode MS;Arial Unicode"/>
          <w:kern w:val="0"/>
          <w:sz w:val="20"/>
          <w:szCs w:val="20"/>
          <w:lang w:val="en-US"/>
        </w:rPr>
      </w:pPr>
    </w:p>
    <w:p w:rsidR="00114750" w:rsidRPr="007D34CD" w:rsidRDefault="007D34CD">
      <w:pPr>
        <w:jc w:val="both"/>
        <w:rPr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Table 1. </w:t>
      </w:r>
      <w:r w:rsidRPr="007D34CD">
        <w:rPr>
          <w:rFonts w:ascii="Times New Roman" w:hAnsi="Times New Roman"/>
          <w:sz w:val="20"/>
          <w:szCs w:val="20"/>
        </w:rPr>
        <w:t>Correlation table for the association between Resilience and Musical Training</w:t>
      </w:r>
    </w:p>
    <w:tbl>
      <w:tblPr>
        <w:tblW w:w="9893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179"/>
        <w:gridCol w:w="102"/>
        <w:gridCol w:w="178"/>
        <w:gridCol w:w="102"/>
        <w:gridCol w:w="2261"/>
        <w:gridCol w:w="102"/>
        <w:gridCol w:w="843"/>
        <w:gridCol w:w="403"/>
        <w:gridCol w:w="1118"/>
        <w:gridCol w:w="102"/>
        <w:gridCol w:w="843"/>
        <w:gridCol w:w="403"/>
        <w:gridCol w:w="1118"/>
        <w:gridCol w:w="139"/>
      </w:tblGrid>
      <w:tr w:rsidR="007D34CD" w:rsidRPr="007D34CD">
        <w:trPr>
          <w:tblHeader/>
        </w:trPr>
        <w:tc>
          <w:tcPr>
            <w:tcW w:w="9893" w:type="dxa"/>
            <w:gridSpan w:val="14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 xml:space="preserve">Correlation Table </w:t>
            </w:r>
          </w:p>
        </w:tc>
      </w:tr>
      <w:tr w:rsidR="007D34CD" w:rsidRPr="007D34CD">
        <w:trPr>
          <w:tblHeader/>
        </w:trPr>
        <w:tc>
          <w:tcPr>
            <w:tcW w:w="4924" w:type="dxa"/>
            <w:gridSpan w:val="6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466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  <w:r w:rsidRPr="007D34CD">
              <w:rPr>
                <w:color w:val="auto"/>
                <w:sz w:val="20"/>
                <w:szCs w:val="20"/>
              </w:rPr>
              <w:t>earson</w:t>
            </w:r>
          </w:p>
        </w:tc>
        <w:tc>
          <w:tcPr>
            <w:tcW w:w="2503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Spearman</w:t>
            </w:r>
          </w:p>
        </w:tc>
      </w:tr>
      <w:tr w:rsidR="007D34CD" w:rsidRPr="007D34CD">
        <w:trPr>
          <w:tblHeader/>
        </w:trPr>
        <w:tc>
          <w:tcPr>
            <w:tcW w:w="2281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363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46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</w:t>
            </w:r>
          </w:p>
        </w:tc>
        <w:tc>
          <w:tcPr>
            <w:tcW w:w="1220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  <w:tc>
          <w:tcPr>
            <w:tcW w:w="1246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rho</w:t>
            </w:r>
          </w:p>
        </w:tc>
        <w:tc>
          <w:tcPr>
            <w:tcW w:w="1257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0.6165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1.9388e-14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0.6638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3.2592e-17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0.7083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2.5213e-20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0.6942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2.8041e-19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0.7151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7.4764e-21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0.6751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5.9286e-18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MusicalTraining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0.1424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0.1131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0.1474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0.1008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0.1891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0.0347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0.2666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0.0027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0.1443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0.1084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0.1928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0.0313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MusicalTraining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0.0709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0.4322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0.0843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0.3498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0.2527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0.0045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0.2280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0.0105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MusicalTraining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-0.0037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0.9669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-0.0052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0.9542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179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6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MusicalTraining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0.2137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0.0167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0.2136</w:t>
            </w:r>
          </w:p>
        </w:tc>
        <w:tc>
          <w:tcPr>
            <w:tcW w:w="40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1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0.0168</w:t>
            </w:r>
          </w:p>
        </w:tc>
        <w:tc>
          <w:tcPr>
            <w:tcW w:w="139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9893" w:type="dxa"/>
            <w:gridSpan w:val="14"/>
            <w:tcBorders>
              <w:bottom w:val="single" w:sz="9" w:space="0" w:color="EEEEEE"/>
            </w:tcBorders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114750" w:rsidRPr="007D34CD">
        <w:tc>
          <w:tcPr>
            <w:tcW w:w="9893" w:type="dxa"/>
            <w:gridSpan w:val="1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 p &lt; .05, ** p &lt; .01, *** p &lt; .001</w:t>
            </w:r>
          </w:p>
        </w:tc>
      </w:tr>
    </w:tbl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>Active Engagement and Resilience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Table 2. </w:t>
      </w:r>
      <w:r w:rsidRPr="007D34CD">
        <w:rPr>
          <w:rFonts w:ascii="Times New Roman" w:hAnsi="Times New Roman"/>
          <w:sz w:val="20"/>
          <w:szCs w:val="20"/>
        </w:rPr>
        <w:t>Correlation table for the association between Resilience and Active Engagement</w:t>
      </w:r>
    </w:p>
    <w:tbl>
      <w:tblPr>
        <w:tblW w:w="9893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217"/>
        <w:gridCol w:w="102"/>
        <w:gridCol w:w="178"/>
        <w:gridCol w:w="102"/>
        <w:gridCol w:w="2350"/>
        <w:gridCol w:w="102"/>
        <w:gridCol w:w="763"/>
        <w:gridCol w:w="411"/>
        <w:gridCol w:w="1127"/>
        <w:gridCol w:w="102"/>
        <w:gridCol w:w="763"/>
        <w:gridCol w:w="411"/>
        <w:gridCol w:w="1127"/>
        <w:gridCol w:w="138"/>
      </w:tblGrid>
      <w:tr w:rsidR="007D34CD" w:rsidRPr="007D34CD">
        <w:trPr>
          <w:tblHeader/>
        </w:trPr>
        <w:tc>
          <w:tcPr>
            <w:tcW w:w="9893" w:type="dxa"/>
            <w:gridSpan w:val="14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 xml:space="preserve">Correlation Table </w:t>
            </w:r>
          </w:p>
        </w:tc>
      </w:tr>
      <w:tr w:rsidR="007D34CD" w:rsidRPr="007D34CD">
        <w:trPr>
          <w:tblHeader/>
        </w:trPr>
        <w:tc>
          <w:tcPr>
            <w:tcW w:w="5051" w:type="dxa"/>
            <w:gridSpan w:val="6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403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Pearson</w:t>
            </w:r>
          </w:p>
        </w:tc>
        <w:tc>
          <w:tcPr>
            <w:tcW w:w="2439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Spearman</w:t>
            </w:r>
          </w:p>
        </w:tc>
      </w:tr>
      <w:tr w:rsidR="007D34CD" w:rsidRPr="007D34CD">
        <w:trPr>
          <w:tblHeader/>
        </w:trPr>
        <w:tc>
          <w:tcPr>
            <w:tcW w:w="2319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452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74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</w:t>
            </w:r>
          </w:p>
        </w:tc>
        <w:tc>
          <w:tcPr>
            <w:tcW w:w="1229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  <w:tc>
          <w:tcPr>
            <w:tcW w:w="1174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rho</w:t>
            </w:r>
          </w:p>
        </w:tc>
        <w:tc>
          <w:tcPr>
            <w:tcW w:w="1265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0.6165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1.9388e-14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0.6638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3.2592e-17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0.7083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2.5213e-20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0.6942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2.8041e-19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0.7151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7.4764e-21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0.6751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5.9286e-18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ActiveEngagement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0.1702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0.0577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0.1663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0.0638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0.1891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0.0347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0.2666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0.0027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0.1443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0.1084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0.1928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0.0313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ActiveEngagement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0.1322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0.1415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0.1438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0.1096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0.2527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0.0045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0.2280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0.0105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ActiveEngagement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0.0233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0.7961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0.0390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0.6658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1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350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ActiveEngagement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0.1891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0.0347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0.1848</w:t>
            </w:r>
          </w:p>
        </w:tc>
        <w:tc>
          <w:tcPr>
            <w:tcW w:w="41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2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0.0391</w:t>
            </w:r>
          </w:p>
        </w:tc>
        <w:tc>
          <w:tcPr>
            <w:tcW w:w="138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9893" w:type="dxa"/>
            <w:gridSpan w:val="14"/>
            <w:tcBorders>
              <w:bottom w:val="single" w:sz="9" w:space="0" w:color="EEEEEE"/>
            </w:tcBorders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114750" w:rsidRPr="007D34CD">
        <w:tc>
          <w:tcPr>
            <w:tcW w:w="9893" w:type="dxa"/>
            <w:gridSpan w:val="1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 p &lt; .05, ** p &lt; .01, *** p &lt; .001</w:t>
            </w:r>
          </w:p>
        </w:tc>
      </w:tr>
    </w:tbl>
    <w:p w:rsidR="00114750" w:rsidRPr="007D34CD" w:rsidRDefault="00114750">
      <w:pPr>
        <w:widowControl w:val="0"/>
        <w:spacing w:before="57" w:after="57" w:line="480" w:lineRule="auto"/>
        <w:jc w:val="both"/>
        <w:rPr>
          <w:rFonts w:eastAsia="Arial Unicode MS;Arial Unicode" w:cs="Arial Unicode MS;Arial Unicode"/>
          <w:b/>
          <w:bCs/>
          <w:kern w:val="0"/>
          <w:sz w:val="20"/>
          <w:szCs w:val="20"/>
          <w:lang w:val="en-US"/>
        </w:rPr>
      </w:pPr>
    </w:p>
    <w:p w:rsidR="00114750" w:rsidRPr="007D34CD" w:rsidRDefault="007D34CD">
      <w:pPr>
        <w:pStyle w:val="Body"/>
        <w:widowControl w:val="0"/>
        <w:spacing w:before="57" w:after="57" w:line="480" w:lineRule="auto"/>
        <w:jc w:val="both"/>
        <w:rPr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>Musical Anhedonia and Resilience</w:t>
      </w:r>
    </w:p>
    <w:p w:rsidR="00114750" w:rsidRPr="007D34CD" w:rsidRDefault="007D34CD">
      <w:pPr>
        <w:pStyle w:val="Body"/>
        <w:widowControl w:val="0"/>
        <w:spacing w:before="57" w:after="57" w:line="480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7D34CD">
        <w:rPr>
          <w:rFonts w:ascii="Times New Roman" w:hAnsi="Times New Roman"/>
          <w:color w:val="auto"/>
          <w:sz w:val="20"/>
          <w:szCs w:val="20"/>
        </w:rPr>
        <w:t>T</w:t>
      </w:r>
      <w:r w:rsidRPr="007D34CD">
        <w:rPr>
          <w:rFonts w:ascii="Times New Roman" w:hAnsi="Times New Roman"/>
          <w:color w:val="auto"/>
          <w:sz w:val="20"/>
          <w:szCs w:val="20"/>
        </w:rPr>
        <w:t>o explore whether musical anhedonia predict total resilience score, we computed a stepwise linear regression (with resilience scores as dependent variable, independent variables: musical anhedonia, age, and years of education). The regression did not indic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ate a significant </w:t>
      </w:r>
      <w:proofErr w:type="gramStart"/>
      <w:r w:rsidRPr="007D34CD">
        <w:rPr>
          <w:rFonts w:ascii="Times New Roman" w:hAnsi="Times New Roman"/>
          <w:color w:val="auto"/>
          <w:sz w:val="20"/>
          <w:szCs w:val="20"/>
        </w:rPr>
        <w:t xml:space="preserve">result </w:t>
      </w:r>
      <w:r w:rsidRPr="007D34CD">
        <w:rPr>
          <w:color w:val="auto"/>
          <w:sz w:val="20"/>
          <w:szCs w:val="20"/>
        </w:rPr>
        <w:t xml:space="preserve"> </w:t>
      </w:r>
      <w:r w:rsidRPr="007D34CD">
        <w:rPr>
          <w:rFonts w:ascii="Times New Roman" w:hAnsi="Times New Roman"/>
          <w:color w:val="auto"/>
          <w:sz w:val="20"/>
          <w:szCs w:val="20"/>
        </w:rPr>
        <w:t>(</w:t>
      </w:r>
      <w:proofErr w:type="gramEnd"/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R</w:t>
      </w:r>
      <w:r w:rsidRPr="007D34CD">
        <w:rPr>
          <w:rFonts w:ascii="Times New Roman" w:hAnsi="Times New Roman"/>
          <w:color w:val="auto"/>
          <w:sz w:val="20"/>
          <w:szCs w:val="20"/>
          <w:vertAlign w:val="superscript"/>
        </w:rPr>
        <w:t>2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0.03, 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F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(3, 121) = 1.41, 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>p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 = 0.24, </w:t>
      </w:r>
      <w:r w:rsidRPr="007D34CD">
        <w:rPr>
          <w:rFonts w:ascii="Times New Roman" w:hAnsi="Times New Roman"/>
          <w:i/>
          <w:iCs/>
          <w:color w:val="auto"/>
          <w:sz w:val="20"/>
          <w:szCs w:val="20"/>
        </w:rPr>
        <w:t xml:space="preserve">β 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= 0.63, 95% CI </w:t>
      </w:r>
      <w:r w:rsidRPr="007D34CD">
        <w:rPr>
          <w:rFonts w:ascii="Liberation Serif" w:hAnsi="Liberation Serif"/>
          <w:color w:val="auto"/>
          <w:kern w:val="0"/>
          <w:sz w:val="20"/>
          <w:szCs w:val="20"/>
        </w:rPr>
        <w:t>[-1.8, 1.44]</w:t>
      </w:r>
      <w:r w:rsidRPr="007D34CD">
        <w:rPr>
          <w:rFonts w:ascii="Times New Roman" w:hAnsi="Times New Roman"/>
          <w:color w:val="auto"/>
          <w:sz w:val="20"/>
          <w:szCs w:val="20"/>
        </w:rPr>
        <w:t xml:space="preserve">). </w:t>
      </w:r>
    </w:p>
    <w:p w:rsidR="00114750" w:rsidRPr="007D34CD" w:rsidRDefault="007D34CD">
      <w:pPr>
        <w:widowControl w:val="0"/>
        <w:spacing w:before="57" w:after="57" w:line="480" w:lineRule="auto"/>
        <w:jc w:val="both"/>
        <w:rPr>
          <w:sz w:val="20"/>
          <w:szCs w:val="20"/>
        </w:rPr>
      </w:pP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Likewise, a direct comparison of musical anhedonia between the groups of non-musicians and amateur musicians (using an ANCOVA with musical anhedonia scores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 as dependent variable, covariates: age, resilience total scores, and years of education, fixed factors: musician status and gender) did yield a significant group difference for musical anhedonia scores (</w:t>
      </w:r>
      <w:proofErr w:type="gramStart"/>
      <w:r w:rsidRPr="007D34CD">
        <w:rPr>
          <w:rFonts w:eastAsia="Arial Unicode MS;Arial Unicode" w:cs="Arial Unicode MS;Arial Unicode"/>
          <w:i/>
          <w:kern w:val="0"/>
          <w:sz w:val="20"/>
          <w:szCs w:val="20"/>
          <w:lang w:val="en-US"/>
        </w:rPr>
        <w:t>F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(</w:t>
      </w:r>
      <w:proofErr w:type="gramEnd"/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1,118) = 22.91; </w:t>
      </w:r>
      <w:r w:rsidRPr="007D34CD">
        <w:rPr>
          <w:rFonts w:eastAsia="Arial Unicode MS;Arial Unicode" w:cs="Arial Unicode MS;Arial Unicode"/>
          <w:i/>
          <w:kern w:val="0"/>
          <w:sz w:val="20"/>
          <w:szCs w:val="20"/>
          <w:lang w:val="en-US"/>
        </w:rPr>
        <w:t xml:space="preserve">p &lt; 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>0.001</w:t>
      </w:r>
      <w:r w:rsidRPr="007D34CD">
        <w:rPr>
          <w:rFonts w:eastAsia="Arial Unicode MS;Arial Unicode" w:cs="Arial Unicode MS;Arial Unicode"/>
          <w:kern w:val="0"/>
          <w:sz w:val="20"/>
          <w:szCs w:val="20"/>
          <w:lang w:val="en-US"/>
        </w:rPr>
        <w:t xml:space="preserve">). 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>Musical Anhedonia an</w:t>
      </w:r>
      <w:r w:rsidRPr="007D34CD">
        <w:rPr>
          <w:rFonts w:ascii="Times New Roman" w:hAnsi="Times New Roman"/>
          <w:b/>
          <w:bCs/>
          <w:sz w:val="20"/>
          <w:szCs w:val="20"/>
        </w:rPr>
        <w:t>d Resilience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 xml:space="preserve">Table 3. </w:t>
      </w:r>
      <w:r w:rsidRPr="007D34CD">
        <w:rPr>
          <w:rFonts w:ascii="Times New Roman" w:hAnsi="Times New Roman"/>
          <w:sz w:val="20"/>
          <w:szCs w:val="20"/>
        </w:rPr>
        <w:t>Correlation table for the association between Resilience and Musical Anhedonia</w:t>
      </w:r>
    </w:p>
    <w:tbl>
      <w:tblPr>
        <w:tblW w:w="9893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102"/>
        <w:gridCol w:w="178"/>
        <w:gridCol w:w="102"/>
        <w:gridCol w:w="2256"/>
        <w:gridCol w:w="102"/>
        <w:gridCol w:w="763"/>
        <w:gridCol w:w="422"/>
        <w:gridCol w:w="1137"/>
        <w:gridCol w:w="102"/>
        <w:gridCol w:w="763"/>
        <w:gridCol w:w="422"/>
        <w:gridCol w:w="1137"/>
        <w:gridCol w:w="140"/>
      </w:tblGrid>
      <w:tr w:rsidR="007D34CD" w:rsidRPr="007D34CD">
        <w:trPr>
          <w:tblHeader/>
        </w:trPr>
        <w:tc>
          <w:tcPr>
            <w:tcW w:w="9893" w:type="dxa"/>
            <w:gridSpan w:val="14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 xml:space="preserve">Correlation Table </w:t>
            </w:r>
          </w:p>
        </w:tc>
      </w:tr>
      <w:tr w:rsidR="007D34CD" w:rsidRPr="007D34CD">
        <w:trPr>
          <w:tblHeader/>
        </w:trPr>
        <w:tc>
          <w:tcPr>
            <w:tcW w:w="5007" w:type="dxa"/>
            <w:gridSpan w:val="6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424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Pearson</w:t>
            </w:r>
          </w:p>
        </w:tc>
        <w:tc>
          <w:tcPr>
            <w:tcW w:w="2462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Spearman</w:t>
            </w:r>
          </w:p>
        </w:tc>
      </w:tr>
      <w:tr w:rsidR="007D34CD" w:rsidRPr="007D34CD">
        <w:trPr>
          <w:tblHeader/>
        </w:trPr>
        <w:tc>
          <w:tcPr>
            <w:tcW w:w="2369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358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185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</w:t>
            </w:r>
          </w:p>
        </w:tc>
        <w:tc>
          <w:tcPr>
            <w:tcW w:w="1239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  <w:tc>
          <w:tcPr>
            <w:tcW w:w="1185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rho</w:t>
            </w:r>
          </w:p>
        </w:tc>
        <w:tc>
          <w:tcPr>
            <w:tcW w:w="1277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0.6165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1.9388e-14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0.6638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3.2592e-17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0.7083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2.5213e-20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0.6942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2.8041e-19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0.7151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7.4764e-21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0.6751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5.9286e-18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Musical_Anhedonia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0.1699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0.0582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0.1617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0.0717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0.1891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0.0347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0.2666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0.0027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0.1443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0.1084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0.1928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0.0313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Musical_Anhedonia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0.0720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0.4248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0.0753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0.4041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0.2527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0.0045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0.2280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0.0105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Musical_Anhedonia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0.0636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0.4813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0.0877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0.3311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26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25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Musical_Anhedonia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0.2022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0.0237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6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0.2161</w:t>
            </w:r>
          </w:p>
        </w:tc>
        <w:tc>
          <w:tcPr>
            <w:tcW w:w="422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37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0.0155</w:t>
            </w:r>
          </w:p>
        </w:tc>
        <w:tc>
          <w:tcPr>
            <w:tcW w:w="140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9893" w:type="dxa"/>
            <w:gridSpan w:val="14"/>
            <w:tcBorders>
              <w:bottom w:val="single" w:sz="9" w:space="0" w:color="EEEEEE"/>
            </w:tcBorders>
            <w:vAlign w:val="center"/>
          </w:tcPr>
          <w:p w:rsidR="00114750" w:rsidRPr="007D34CD" w:rsidRDefault="00114750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114750" w:rsidRPr="007D34CD">
        <w:tc>
          <w:tcPr>
            <w:tcW w:w="9893" w:type="dxa"/>
            <w:gridSpan w:val="1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both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 xml:space="preserve">* p &lt; .05, ** p &lt; </w:t>
            </w:r>
            <w:r w:rsidRPr="007D34CD">
              <w:rPr>
                <w:color w:val="auto"/>
                <w:sz w:val="20"/>
                <w:szCs w:val="20"/>
              </w:rPr>
              <w:t>.01, *** p &lt; .001</w:t>
            </w:r>
          </w:p>
        </w:tc>
      </w:tr>
    </w:tbl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pStyle w:val="BodyText"/>
        <w:suppressAutoHyphens/>
        <w:spacing w:after="0" w:line="240" w:lineRule="auto"/>
        <w:jc w:val="both"/>
        <w:rPr>
          <w:color w:val="auto"/>
          <w:sz w:val="20"/>
          <w:szCs w:val="20"/>
        </w:rPr>
      </w:pPr>
      <w:r w:rsidRPr="007D34CD">
        <w:rPr>
          <w:b/>
          <w:bCs/>
          <w:color w:val="auto"/>
          <w:sz w:val="20"/>
          <w:szCs w:val="20"/>
        </w:rPr>
        <w:t xml:space="preserve">Table 4 </w:t>
      </w:r>
      <w:r w:rsidRPr="007D34CD">
        <w:rPr>
          <w:color w:val="auto"/>
          <w:sz w:val="20"/>
          <w:szCs w:val="20"/>
        </w:rPr>
        <w:t xml:space="preserve">Dispositional resilience (DRS-15) total and subscale mean scores </w:t>
      </w:r>
    </w:p>
    <w:p w:rsidR="00114750" w:rsidRPr="007D34CD" w:rsidRDefault="007D34CD">
      <w:pPr>
        <w:pStyle w:val="BodyA"/>
        <w:suppressAutoHyphens/>
        <w:jc w:val="both"/>
        <w:rPr>
          <w:b/>
          <w:bCs/>
          <w:color w:val="auto"/>
          <w:sz w:val="20"/>
          <w:szCs w:val="20"/>
          <w:u w:val="single" w:color="000000"/>
        </w:rPr>
      </w:pPr>
      <w:bookmarkStart w:id="6" w:name="_DdeLink__10125_2902969233211"/>
      <w:r w:rsidRPr="007D34CD">
        <w:rPr>
          <w:b/>
          <w:bCs/>
          <w:color w:val="auto"/>
          <w:sz w:val="20"/>
          <w:szCs w:val="20"/>
          <w:u w:val="single" w:color="000000"/>
        </w:rPr>
        <w:t>_</w:t>
      </w:r>
      <w:bookmarkStart w:id="7" w:name="_DdeLink__10125_2902969233331211"/>
      <w:bookmarkEnd w:id="6"/>
      <w:r w:rsidRPr="007D34CD">
        <w:rPr>
          <w:b/>
          <w:bCs/>
          <w:color w:val="auto"/>
          <w:sz w:val="20"/>
          <w:szCs w:val="20"/>
          <w:u w:val="single" w:color="000000"/>
        </w:rPr>
        <w:t>_________________________________________________________________________________</w:t>
      </w:r>
      <w:bookmarkEnd w:id="7"/>
      <w:r w:rsidRPr="007D34CD">
        <w:rPr>
          <w:b/>
          <w:bCs/>
          <w:color w:val="auto"/>
          <w:sz w:val="20"/>
          <w:szCs w:val="20"/>
          <w:u w:val="single" w:color="000000"/>
        </w:rPr>
        <w:t>_________________</w:t>
      </w:r>
    </w:p>
    <w:p w:rsidR="00114750" w:rsidRPr="007D34CD" w:rsidRDefault="007D34CD">
      <w:pPr>
        <w:pStyle w:val="BodyText"/>
        <w:spacing w:after="0" w:line="240" w:lineRule="auto"/>
        <w:jc w:val="both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 xml:space="preserve">DRS-15 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Non-Musicians (</w:t>
      </w:r>
      <w:r w:rsidRPr="007D34CD">
        <w:rPr>
          <w:i/>
          <w:iCs/>
          <w:color w:val="auto"/>
          <w:sz w:val="20"/>
          <w:szCs w:val="20"/>
        </w:rPr>
        <w:t xml:space="preserve">N = </w:t>
      </w:r>
      <w:r w:rsidRPr="007D34CD">
        <w:rPr>
          <w:color w:val="auto"/>
          <w:sz w:val="20"/>
          <w:szCs w:val="20"/>
        </w:rPr>
        <w:t>61)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Amateur Musicians (</w:t>
      </w:r>
      <w:r w:rsidRPr="007D34CD">
        <w:rPr>
          <w:i/>
          <w:iCs/>
          <w:color w:val="auto"/>
          <w:sz w:val="20"/>
          <w:szCs w:val="20"/>
        </w:rPr>
        <w:t xml:space="preserve">N = </w:t>
      </w:r>
      <w:r w:rsidRPr="007D34CD">
        <w:rPr>
          <w:color w:val="auto"/>
          <w:sz w:val="20"/>
          <w:szCs w:val="20"/>
        </w:rPr>
        <w:t>6</w:t>
      </w:r>
      <w:r w:rsidRPr="007D34CD">
        <w:rPr>
          <w:color w:val="auto"/>
          <w:sz w:val="20"/>
          <w:szCs w:val="20"/>
        </w:rPr>
        <w:t>4)</w:t>
      </w:r>
      <w:r w:rsidRPr="007D34CD">
        <w:rPr>
          <w:color w:val="auto"/>
          <w:sz w:val="20"/>
          <w:szCs w:val="20"/>
        </w:rPr>
        <w:tab/>
      </w:r>
      <w:r w:rsidRPr="007D34CD">
        <w:rPr>
          <w:b/>
          <w:bCs/>
          <w:color w:val="auto"/>
          <w:sz w:val="20"/>
          <w:szCs w:val="20"/>
        </w:rPr>
        <w:tab/>
      </w:r>
    </w:p>
    <w:p w:rsidR="00114750" w:rsidRPr="007D34CD" w:rsidRDefault="007D34CD">
      <w:pPr>
        <w:pStyle w:val="BodyA"/>
        <w:suppressAutoHyphens/>
        <w:jc w:val="both"/>
        <w:rPr>
          <w:b/>
          <w:bCs/>
          <w:color w:val="auto"/>
          <w:sz w:val="20"/>
          <w:szCs w:val="20"/>
        </w:rPr>
      </w:pPr>
      <w:bookmarkStart w:id="8" w:name="_DdeLink__10125_290296923333421"/>
      <w:bookmarkStart w:id="9" w:name="__DdeLink__695793_67789419211"/>
      <w:r w:rsidRPr="007D34CD">
        <w:rPr>
          <w:b/>
          <w:bCs/>
          <w:color w:val="auto"/>
          <w:sz w:val="20"/>
          <w:szCs w:val="20"/>
          <w:u w:val="single" w:color="000000"/>
        </w:rPr>
        <w:t>___________________________________________________________________________________</w:t>
      </w:r>
      <w:bookmarkEnd w:id="8"/>
      <w:bookmarkEnd w:id="9"/>
      <w:r w:rsidRPr="007D34CD">
        <w:rPr>
          <w:b/>
          <w:bCs/>
          <w:color w:val="auto"/>
          <w:sz w:val="20"/>
          <w:szCs w:val="20"/>
          <w:u w:val="single" w:color="000000"/>
        </w:rPr>
        <w:t>________________</w:t>
      </w:r>
    </w:p>
    <w:p w:rsidR="00114750" w:rsidRPr="007D34CD" w:rsidRDefault="007D34CD">
      <w:pPr>
        <w:pStyle w:val="Body"/>
        <w:spacing w:before="57" w:after="57"/>
        <w:jc w:val="both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>Commitment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11.70 (2.24)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11.88 (2.17)</w:t>
      </w:r>
      <w:r w:rsidRPr="007D34CD">
        <w:rPr>
          <w:color w:val="auto"/>
          <w:sz w:val="20"/>
          <w:szCs w:val="20"/>
        </w:rPr>
        <w:tab/>
      </w:r>
    </w:p>
    <w:p w:rsidR="00114750" w:rsidRPr="007D34CD" w:rsidRDefault="007D34CD">
      <w:pPr>
        <w:pStyle w:val="Body"/>
        <w:spacing w:before="57" w:after="57"/>
        <w:jc w:val="both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 xml:space="preserve">Control 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10.75 (2.39)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10.78 (2.44)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</w:p>
    <w:p w:rsidR="00114750" w:rsidRPr="007D34CD" w:rsidRDefault="007D34CD">
      <w:pPr>
        <w:pStyle w:val="Body"/>
        <w:spacing w:before="57" w:after="57"/>
        <w:jc w:val="both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>Challenge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9.16 (2.67)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10.31 (2.39)</w:t>
      </w:r>
    </w:p>
    <w:p w:rsidR="00114750" w:rsidRPr="007D34CD" w:rsidRDefault="007D34CD">
      <w:pPr>
        <w:pStyle w:val="Body"/>
        <w:spacing w:before="57" w:after="57"/>
        <w:jc w:val="both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>DRS-15 total score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3</w:t>
      </w:r>
      <w:r w:rsidRPr="007D34CD">
        <w:rPr>
          <w:color w:val="auto"/>
          <w:sz w:val="20"/>
          <w:szCs w:val="20"/>
        </w:rPr>
        <w:t>1.62 (4.84)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32.97 (4.92)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bookmarkStart w:id="10" w:name="_DdeLink__10125_2902969233334111"/>
      <w:r w:rsidRPr="007D34CD">
        <w:rPr>
          <w:b/>
          <w:bCs/>
          <w:color w:val="auto"/>
          <w:sz w:val="20"/>
          <w:szCs w:val="20"/>
          <w:u w:val="single" w:color="000000"/>
        </w:rPr>
        <w:t>___________________________________________________________________________________</w:t>
      </w:r>
      <w:bookmarkEnd w:id="10"/>
      <w:r w:rsidRPr="007D34CD">
        <w:rPr>
          <w:b/>
          <w:bCs/>
          <w:color w:val="auto"/>
          <w:sz w:val="20"/>
          <w:szCs w:val="20"/>
          <w:u w:val="single" w:color="000000"/>
        </w:rPr>
        <w:t>________________</w:t>
      </w:r>
    </w:p>
    <w:p w:rsidR="00114750" w:rsidRPr="007D34CD" w:rsidRDefault="007D34CD">
      <w:pPr>
        <w:pStyle w:val="BodyA"/>
        <w:suppressAutoHyphens/>
        <w:spacing w:before="57" w:after="57"/>
        <w:jc w:val="both"/>
        <w:rPr>
          <w:rFonts w:ascii="Times New Roman" w:hAnsi="Times New Roman"/>
          <w:i/>
          <w:iCs/>
          <w:color w:val="auto"/>
          <w:sz w:val="20"/>
          <w:szCs w:val="20"/>
        </w:rPr>
      </w:pPr>
      <w:r w:rsidRPr="007D34CD">
        <w:rPr>
          <w:rFonts w:ascii="Times New Roman" w:eastAsia="Arial Unicode MS;Arial Unicode" w:hAnsi="Times New Roman" w:cs="Arial Unicode MS;Arial Unicode"/>
          <w:color w:val="auto"/>
          <w:sz w:val="20"/>
          <w:szCs w:val="20"/>
        </w:rPr>
        <w:t>Listed are the means (M) and standard deviations (SD) reported in brackets of the Norwegian revised DRS-15 questionnaire includ</w:t>
      </w:r>
      <w:r w:rsidRPr="007D34CD">
        <w:rPr>
          <w:rFonts w:ascii="Times New Roman" w:eastAsia="Arial Unicode MS;Arial Unicode" w:hAnsi="Times New Roman" w:cs="Arial Unicode MS;Arial Unicode"/>
          <w:color w:val="auto"/>
          <w:sz w:val="20"/>
          <w:szCs w:val="20"/>
        </w:rPr>
        <w:t xml:space="preserve">ing three subscales: commitment, control, challenge, and DRS-15 total score. Each subscale has a highest possible score of 15 for a highest possible total score of 45. 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rFonts w:ascii="Times New Roman" w:hAnsi="Times New Roman"/>
          <w:b/>
          <w:bCs/>
          <w:sz w:val="20"/>
          <w:szCs w:val="20"/>
        </w:rPr>
        <w:t>5.5 Resilience and BrainAGE scores</w:t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11" w:name="__DdeLink__12358_1019522634"/>
      <w:r w:rsidRPr="007D34CD">
        <w:rPr>
          <w:bCs/>
          <w:kern w:val="0"/>
          <w:sz w:val="20"/>
          <w:szCs w:val="20"/>
        </w:rPr>
        <w:t>Likewise, a direct comparison of resilience scores between the groups of non-musicians and amateur musicians (using an ANCOVA with BrainAGE scores as dependent variable, covariates: total resilience scores and years of education, fixed factors: musician st</w:t>
      </w:r>
      <w:r w:rsidRPr="007D34CD">
        <w:rPr>
          <w:bCs/>
          <w:kern w:val="0"/>
          <w:sz w:val="20"/>
          <w:szCs w:val="20"/>
        </w:rPr>
        <w:t>atus and gender) did not yield a significant group difference for the resilience scores (</w:t>
      </w:r>
      <w:r w:rsidRPr="007D34CD">
        <w:rPr>
          <w:bCs/>
          <w:i/>
          <w:kern w:val="0"/>
          <w:sz w:val="20"/>
          <w:szCs w:val="20"/>
        </w:rPr>
        <w:t>F</w:t>
      </w:r>
      <w:r w:rsidRPr="007D34CD">
        <w:rPr>
          <w:bCs/>
          <w:kern w:val="0"/>
          <w:sz w:val="20"/>
          <w:szCs w:val="20"/>
        </w:rPr>
        <w:t xml:space="preserve">(1,119) = 2.35;  </w:t>
      </w:r>
      <w:r w:rsidRPr="007D34CD">
        <w:rPr>
          <w:bCs/>
          <w:i/>
          <w:kern w:val="0"/>
          <w:sz w:val="20"/>
          <w:szCs w:val="20"/>
        </w:rPr>
        <w:t xml:space="preserve">p </w:t>
      </w:r>
      <w:r w:rsidRPr="007D34CD">
        <w:rPr>
          <w:bCs/>
          <w:kern w:val="0"/>
          <w:sz w:val="20"/>
          <w:szCs w:val="20"/>
        </w:rPr>
        <w:t xml:space="preserve">= 0.13).  </w:t>
      </w:r>
      <w:bookmarkEnd w:id="11"/>
    </w:p>
    <w:p w:rsidR="00114750" w:rsidRPr="007D34CD" w:rsidRDefault="007D34CD">
      <w:pPr>
        <w:spacing w:before="57" w:after="57" w:line="480" w:lineRule="auto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bCs/>
          <w:kern w:val="0"/>
          <w:sz w:val="20"/>
          <w:szCs w:val="20"/>
        </w:rPr>
        <w:t>Spearman’s rank correlation</w:t>
      </w:r>
      <w:r w:rsidRPr="007D34CD">
        <w:rPr>
          <w:bCs/>
          <w:strike/>
          <w:kern w:val="0"/>
          <w:sz w:val="20"/>
          <w:szCs w:val="20"/>
        </w:rPr>
        <w:t>s</w:t>
      </w:r>
      <w:r w:rsidRPr="007D34CD">
        <w:rPr>
          <w:bCs/>
          <w:kern w:val="0"/>
          <w:sz w:val="20"/>
          <w:szCs w:val="20"/>
        </w:rPr>
        <w:t xml:space="preserve"> was performed examining the relationship between BrainAGE and resilience scores (total scores). No correlat</w:t>
      </w:r>
      <w:r w:rsidRPr="007D34CD">
        <w:rPr>
          <w:bCs/>
          <w:kern w:val="0"/>
          <w:sz w:val="20"/>
          <w:szCs w:val="20"/>
        </w:rPr>
        <w:t xml:space="preserve">ions were found between BrainAGE score and the total resilience scores,  </w:t>
      </w:r>
      <w:r w:rsidRPr="007D34CD">
        <w:rPr>
          <w:bCs/>
          <w:i/>
          <w:kern w:val="0"/>
          <w:sz w:val="20"/>
          <w:szCs w:val="20"/>
        </w:rPr>
        <w:t>r</w:t>
      </w:r>
      <w:r w:rsidRPr="007D34CD">
        <w:rPr>
          <w:bCs/>
          <w:i/>
          <w:kern w:val="0"/>
          <w:position w:val="-1"/>
          <w:sz w:val="20"/>
          <w:szCs w:val="20"/>
        </w:rPr>
        <w:t>s</w:t>
      </w:r>
      <w:r w:rsidRPr="007D34CD">
        <w:rPr>
          <w:bCs/>
          <w:kern w:val="0"/>
          <w:sz w:val="20"/>
          <w:szCs w:val="20"/>
        </w:rPr>
        <w:t xml:space="preserve">  = 0.06,</w:t>
      </w:r>
      <w:r w:rsidRPr="007D34CD">
        <w:rPr>
          <w:bCs/>
          <w:i/>
          <w:kern w:val="0"/>
          <w:sz w:val="20"/>
          <w:szCs w:val="20"/>
        </w:rPr>
        <w:t xml:space="preserve"> p </w:t>
      </w:r>
      <w:r w:rsidRPr="007D34CD">
        <w:rPr>
          <w:bCs/>
          <w:kern w:val="0"/>
          <w:sz w:val="20"/>
          <w:szCs w:val="20"/>
        </w:rPr>
        <w:t xml:space="preserve">= 0.54, </w:t>
      </w:r>
      <w:r w:rsidRPr="007D34CD">
        <w:rPr>
          <w:bCs/>
          <w:i/>
          <w:kern w:val="0"/>
          <w:sz w:val="20"/>
          <w:szCs w:val="20"/>
        </w:rPr>
        <w:t>N</w:t>
      </w:r>
      <w:r w:rsidRPr="007D34CD">
        <w:rPr>
          <w:bCs/>
          <w:kern w:val="0"/>
          <w:sz w:val="20"/>
          <w:szCs w:val="20"/>
        </w:rPr>
        <w:t xml:space="preserve"> = 125, including each subscale of the DRS-15 (See Table 5)</w:t>
      </w:r>
      <w:r w:rsidRPr="007D34CD">
        <w:rPr>
          <w:bCs/>
          <w:kern w:val="0"/>
          <w:sz w:val="20"/>
          <w:szCs w:val="20"/>
        </w:rPr>
        <w:t>. Means and standard deviations between the groups for the different subscales of the DRS can be found in Table 6 below.</w:t>
      </w:r>
    </w:p>
    <w:p w:rsidR="00114750" w:rsidRPr="007D34CD" w:rsidRDefault="00114750">
      <w:pPr>
        <w:spacing w:before="57" w:after="57" w:line="480" w:lineRule="auto"/>
        <w:rPr>
          <w:bCs/>
          <w:kern w:val="0"/>
          <w:sz w:val="20"/>
          <w:szCs w:val="20"/>
        </w:rPr>
      </w:pPr>
    </w:p>
    <w:tbl>
      <w:tblPr>
        <w:tblW w:w="9893" w:type="dxa"/>
        <w:tblLayout w:type="fixed"/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102"/>
        <w:gridCol w:w="178"/>
        <w:gridCol w:w="102"/>
        <w:gridCol w:w="2294"/>
        <w:gridCol w:w="102"/>
        <w:gridCol w:w="843"/>
        <w:gridCol w:w="431"/>
        <w:gridCol w:w="1146"/>
        <w:gridCol w:w="102"/>
        <w:gridCol w:w="843"/>
        <w:gridCol w:w="431"/>
        <w:gridCol w:w="1146"/>
        <w:gridCol w:w="137"/>
      </w:tblGrid>
      <w:tr w:rsidR="007D34CD" w:rsidRPr="007D34CD">
        <w:trPr>
          <w:tblHeader/>
        </w:trPr>
        <w:tc>
          <w:tcPr>
            <w:tcW w:w="9893" w:type="dxa"/>
            <w:gridSpan w:val="14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jc w:val="lef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 xml:space="preserve">Table 5.  </w:t>
            </w:r>
            <w:r w:rsidRPr="007D34CD"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  <w:t xml:space="preserve">Correlation table for the association between </w:t>
            </w:r>
            <w:proofErr w:type="spellStart"/>
            <w:r w:rsidRPr="007D34CD"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  <w:t>BrainAGE</w:t>
            </w:r>
            <w:proofErr w:type="spellEnd"/>
            <w:r w:rsidRPr="007D34CD">
              <w:rPr>
                <w:rFonts w:ascii="Times New Roman" w:hAnsi="Times New Roman"/>
                <w:b w:val="0"/>
                <w:bCs w:val="0"/>
                <w:color w:val="auto"/>
                <w:sz w:val="20"/>
                <w:szCs w:val="20"/>
              </w:rPr>
              <w:t xml:space="preserve"> and Resilience scores </w:t>
            </w:r>
          </w:p>
          <w:p w:rsidR="00114750" w:rsidRPr="007D34CD" w:rsidRDefault="007D34CD">
            <w:pPr>
              <w:pStyle w:val="TableHeading"/>
              <w:jc w:val="lef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 xml:space="preserve">Correlation Table </w:t>
            </w:r>
          </w:p>
        </w:tc>
      </w:tr>
      <w:tr w:rsidR="007D34CD" w:rsidRPr="007D34CD">
        <w:trPr>
          <w:tblHeader/>
        </w:trPr>
        <w:tc>
          <w:tcPr>
            <w:tcW w:w="4814" w:type="dxa"/>
            <w:gridSpan w:val="6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Heading"/>
              <w:rPr>
                <w:color w:val="auto"/>
                <w:sz w:val="20"/>
                <w:szCs w:val="20"/>
              </w:rPr>
            </w:pPr>
          </w:p>
        </w:tc>
        <w:tc>
          <w:tcPr>
            <w:tcW w:w="2522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Pearson</w:t>
            </w:r>
          </w:p>
        </w:tc>
        <w:tc>
          <w:tcPr>
            <w:tcW w:w="2557" w:type="dxa"/>
            <w:gridSpan w:val="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Spearman</w:t>
            </w:r>
          </w:p>
        </w:tc>
      </w:tr>
      <w:tr w:rsidR="007D34CD" w:rsidRPr="007D34CD">
        <w:trPr>
          <w:tblHeader/>
        </w:trPr>
        <w:tc>
          <w:tcPr>
            <w:tcW w:w="2138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80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2396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274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</w:t>
            </w:r>
          </w:p>
        </w:tc>
        <w:tc>
          <w:tcPr>
            <w:tcW w:w="1248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  <w:tc>
          <w:tcPr>
            <w:tcW w:w="1274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rho</w:t>
            </w:r>
          </w:p>
        </w:tc>
        <w:tc>
          <w:tcPr>
            <w:tcW w:w="1283" w:type="dxa"/>
            <w:gridSpan w:val="2"/>
            <w:tcBorders>
              <w:bottom w:val="single" w:sz="4" w:space="0" w:color="EEEEEE"/>
            </w:tcBorders>
            <w:vAlign w:val="center"/>
          </w:tcPr>
          <w:p w:rsidR="00114750" w:rsidRPr="007D34CD" w:rsidRDefault="007D34CD">
            <w:pPr>
              <w:pStyle w:val="TableHeading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p</w:t>
            </w: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BrainAGE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0.0741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0.4116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0.0557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0.5376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BrainAGE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0.1003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0.2658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0.1046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0.2459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BrainAGE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-0.0154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0.8651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-0.0213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0.8138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BrainAGE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0.0643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0.4760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0.0541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0.5493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0.7151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7.4764e-21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0.6751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5.9286e-18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0.7083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2.5213e-20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0.6942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2.8041e-19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Resilience_Total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0.6165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1.9388e-14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0.6638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3.2592e-17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0.2527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0.0045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0.2280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0.0105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Resilience_Challenge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0.1443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0.1084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0.1928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0.0313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203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Resilience_Control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178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-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2294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proofErr w:type="spellStart"/>
            <w:r w:rsidRPr="007D34CD">
              <w:rPr>
                <w:color w:val="auto"/>
                <w:sz w:val="20"/>
                <w:szCs w:val="20"/>
              </w:rPr>
              <w:t>Resilience_Commitment</w:t>
            </w:r>
            <w:proofErr w:type="spellEnd"/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0.1891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0.0347</w:t>
            </w:r>
          </w:p>
        </w:tc>
        <w:tc>
          <w:tcPr>
            <w:tcW w:w="102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  <w:tc>
          <w:tcPr>
            <w:tcW w:w="843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0.2666</w:t>
            </w:r>
          </w:p>
        </w:tc>
        <w:tc>
          <w:tcPr>
            <w:tcW w:w="431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**</w:t>
            </w:r>
          </w:p>
        </w:tc>
        <w:tc>
          <w:tcPr>
            <w:tcW w:w="1146" w:type="dxa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jc w:val="right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0.0027</w:t>
            </w:r>
          </w:p>
        </w:tc>
        <w:tc>
          <w:tcPr>
            <w:tcW w:w="137" w:type="dxa"/>
            <w:tcMar>
              <w:bottom w:w="0" w:type="dxa"/>
            </w:tcMar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7D34CD" w:rsidRPr="007D34CD">
        <w:tc>
          <w:tcPr>
            <w:tcW w:w="9893" w:type="dxa"/>
            <w:gridSpan w:val="14"/>
            <w:tcBorders>
              <w:bottom w:val="single" w:sz="9" w:space="0" w:color="EEEEEE"/>
            </w:tcBorders>
            <w:vAlign w:val="center"/>
          </w:tcPr>
          <w:p w:rsidR="00114750" w:rsidRPr="007D34CD" w:rsidRDefault="00114750">
            <w:pPr>
              <w:pStyle w:val="TableContents"/>
              <w:rPr>
                <w:color w:val="auto"/>
                <w:sz w:val="20"/>
                <w:szCs w:val="20"/>
              </w:rPr>
            </w:pPr>
          </w:p>
        </w:tc>
      </w:tr>
      <w:tr w:rsidR="00114750" w:rsidRPr="007D34CD">
        <w:tc>
          <w:tcPr>
            <w:tcW w:w="9893" w:type="dxa"/>
            <w:gridSpan w:val="14"/>
            <w:tcMar>
              <w:bottom w:w="0" w:type="dxa"/>
            </w:tcMar>
            <w:vAlign w:val="center"/>
          </w:tcPr>
          <w:p w:rsidR="00114750" w:rsidRPr="007D34CD" w:rsidRDefault="007D34CD">
            <w:pPr>
              <w:pStyle w:val="TableContents"/>
              <w:rPr>
                <w:color w:val="auto"/>
                <w:sz w:val="20"/>
                <w:szCs w:val="20"/>
              </w:rPr>
            </w:pPr>
            <w:r w:rsidRPr="007D34CD">
              <w:rPr>
                <w:color w:val="auto"/>
                <w:sz w:val="20"/>
                <w:szCs w:val="20"/>
              </w:rPr>
              <w:t>* p &lt; .05, ** p &lt; .01, *** p &lt; .001</w:t>
            </w:r>
          </w:p>
        </w:tc>
      </w:tr>
    </w:tbl>
    <w:p w:rsidR="00114750" w:rsidRPr="007D34CD" w:rsidRDefault="00114750">
      <w:pPr>
        <w:spacing w:before="57" w:after="57" w:line="480" w:lineRule="auto"/>
        <w:rPr>
          <w:bCs/>
          <w:kern w:val="0"/>
          <w:sz w:val="20"/>
          <w:szCs w:val="20"/>
          <w:shd w:val="clear" w:color="auto" w:fill="FFFF00"/>
        </w:rPr>
      </w:pPr>
    </w:p>
    <w:p w:rsidR="00114750" w:rsidRPr="007D34CD" w:rsidRDefault="007D34CD">
      <w:pPr>
        <w:pStyle w:val="BodyText"/>
        <w:suppressAutoHyphens/>
        <w:spacing w:after="0" w:line="240" w:lineRule="auto"/>
        <w:jc w:val="both"/>
        <w:rPr>
          <w:color w:val="auto"/>
          <w:sz w:val="20"/>
          <w:szCs w:val="20"/>
        </w:rPr>
      </w:pPr>
      <w:r w:rsidRPr="007D34CD">
        <w:rPr>
          <w:b/>
          <w:bCs/>
          <w:color w:val="auto"/>
          <w:sz w:val="20"/>
          <w:szCs w:val="20"/>
        </w:rPr>
        <w:t xml:space="preserve">Table 6 </w:t>
      </w:r>
      <w:r w:rsidRPr="007D34CD">
        <w:rPr>
          <w:color w:val="auto"/>
          <w:sz w:val="20"/>
          <w:szCs w:val="20"/>
        </w:rPr>
        <w:t xml:space="preserve">Dispositional resilience (DRS-15) total and subscale mean scores </w:t>
      </w:r>
    </w:p>
    <w:p w:rsidR="00114750" w:rsidRPr="007D34CD" w:rsidRDefault="007D34CD">
      <w:pPr>
        <w:pStyle w:val="BodyA"/>
        <w:suppressAutoHyphens/>
        <w:jc w:val="both"/>
        <w:rPr>
          <w:color w:val="auto"/>
          <w:sz w:val="20"/>
          <w:szCs w:val="20"/>
        </w:rPr>
      </w:pPr>
      <w:bookmarkStart w:id="12" w:name="_DdeLink__10125_29029692332111"/>
      <w:r w:rsidRPr="007D34CD">
        <w:rPr>
          <w:b/>
          <w:bCs/>
          <w:color w:val="auto"/>
          <w:sz w:val="20"/>
          <w:szCs w:val="20"/>
          <w:u w:val="single" w:color="000000"/>
        </w:rPr>
        <w:t>_</w:t>
      </w:r>
      <w:bookmarkStart w:id="13" w:name="_DdeLink__10125_29029692333312111"/>
      <w:bookmarkEnd w:id="12"/>
      <w:r w:rsidRPr="007D34CD">
        <w:rPr>
          <w:b/>
          <w:bCs/>
          <w:color w:val="auto"/>
          <w:sz w:val="20"/>
          <w:szCs w:val="20"/>
          <w:u w:val="single" w:color="000000"/>
        </w:rPr>
        <w:t>_________________________________________________________________________________</w:t>
      </w:r>
      <w:bookmarkEnd w:id="13"/>
      <w:r w:rsidRPr="007D34CD">
        <w:rPr>
          <w:b/>
          <w:bCs/>
          <w:color w:val="auto"/>
          <w:sz w:val="20"/>
          <w:szCs w:val="20"/>
          <w:u w:val="single" w:color="000000"/>
        </w:rPr>
        <w:t>_________________</w:t>
      </w:r>
    </w:p>
    <w:p w:rsidR="00114750" w:rsidRPr="007D34CD" w:rsidRDefault="007D34CD">
      <w:pPr>
        <w:pStyle w:val="BodyText"/>
        <w:spacing w:after="0" w:line="240" w:lineRule="auto"/>
        <w:jc w:val="both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 xml:space="preserve">DRS-15 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>Non-Musicians (</w:t>
      </w:r>
      <w:r w:rsidRPr="007D34CD">
        <w:rPr>
          <w:i/>
          <w:iCs/>
          <w:color w:val="auto"/>
          <w:sz w:val="20"/>
          <w:szCs w:val="20"/>
        </w:rPr>
        <w:t xml:space="preserve">N = </w:t>
      </w:r>
      <w:r w:rsidRPr="007D34CD">
        <w:rPr>
          <w:color w:val="auto"/>
          <w:sz w:val="20"/>
          <w:szCs w:val="20"/>
        </w:rPr>
        <w:t>61)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Amateur Musicians (</w:t>
      </w:r>
      <w:r w:rsidRPr="007D34CD">
        <w:rPr>
          <w:i/>
          <w:iCs/>
          <w:color w:val="auto"/>
          <w:sz w:val="20"/>
          <w:szCs w:val="20"/>
        </w:rPr>
        <w:t xml:space="preserve">N = </w:t>
      </w:r>
      <w:r w:rsidRPr="007D34CD">
        <w:rPr>
          <w:color w:val="auto"/>
          <w:sz w:val="20"/>
          <w:szCs w:val="20"/>
        </w:rPr>
        <w:t>64)</w:t>
      </w:r>
      <w:r w:rsidRPr="007D34CD">
        <w:rPr>
          <w:color w:val="auto"/>
          <w:sz w:val="20"/>
          <w:szCs w:val="20"/>
        </w:rPr>
        <w:tab/>
      </w:r>
      <w:r w:rsidRPr="007D34CD">
        <w:rPr>
          <w:b/>
          <w:bCs/>
          <w:color w:val="auto"/>
          <w:sz w:val="20"/>
          <w:szCs w:val="20"/>
        </w:rPr>
        <w:tab/>
      </w:r>
    </w:p>
    <w:p w:rsidR="00114750" w:rsidRPr="007D34CD" w:rsidRDefault="007D34CD">
      <w:pPr>
        <w:pStyle w:val="BodyA"/>
        <w:suppressAutoHyphens/>
        <w:jc w:val="both"/>
        <w:rPr>
          <w:color w:val="auto"/>
          <w:sz w:val="20"/>
          <w:szCs w:val="20"/>
        </w:rPr>
      </w:pPr>
      <w:bookmarkStart w:id="14" w:name="__DdeLink__695793_677894192111"/>
      <w:bookmarkStart w:id="15" w:name="_DdeLink__10125_2902969233334211"/>
      <w:r w:rsidRPr="007D34CD">
        <w:rPr>
          <w:b/>
          <w:bCs/>
          <w:color w:val="auto"/>
          <w:sz w:val="20"/>
          <w:szCs w:val="20"/>
          <w:u w:val="single" w:color="000000"/>
        </w:rPr>
        <w:t>___________________________________________________________________________________</w:t>
      </w:r>
      <w:bookmarkEnd w:id="14"/>
      <w:bookmarkEnd w:id="15"/>
      <w:r w:rsidRPr="007D34CD">
        <w:rPr>
          <w:b/>
          <w:bCs/>
          <w:color w:val="auto"/>
          <w:sz w:val="20"/>
          <w:szCs w:val="20"/>
          <w:u w:val="single" w:color="000000"/>
        </w:rPr>
        <w:t>________________</w:t>
      </w:r>
    </w:p>
    <w:p w:rsidR="00114750" w:rsidRPr="007D34CD" w:rsidRDefault="007D34CD">
      <w:pPr>
        <w:pStyle w:val="Body"/>
        <w:spacing w:before="57" w:after="57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>Commitment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11.70 (2.24)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11.88 (2.17)</w:t>
      </w:r>
      <w:r w:rsidRPr="007D34CD">
        <w:rPr>
          <w:color w:val="auto"/>
          <w:sz w:val="20"/>
          <w:szCs w:val="20"/>
        </w:rPr>
        <w:tab/>
      </w:r>
    </w:p>
    <w:p w:rsidR="00114750" w:rsidRPr="007D34CD" w:rsidRDefault="007D34CD">
      <w:pPr>
        <w:pStyle w:val="Body"/>
        <w:spacing w:before="57" w:after="57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 xml:space="preserve">Control 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10.75 (2.39)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10.78 (2.44)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</w:p>
    <w:p w:rsidR="00114750" w:rsidRPr="007D34CD" w:rsidRDefault="007D34CD">
      <w:pPr>
        <w:pStyle w:val="Body"/>
        <w:spacing w:before="57" w:after="57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>Challenge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>9.16 (2.67)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10.31 (2.39)</w:t>
      </w:r>
    </w:p>
    <w:p w:rsidR="00114750" w:rsidRPr="007D34CD" w:rsidRDefault="007D34CD">
      <w:pPr>
        <w:pStyle w:val="Body"/>
        <w:spacing w:before="57" w:after="57"/>
        <w:rPr>
          <w:color w:val="auto"/>
          <w:sz w:val="20"/>
          <w:szCs w:val="20"/>
        </w:rPr>
      </w:pPr>
      <w:r w:rsidRPr="007D34CD">
        <w:rPr>
          <w:color w:val="auto"/>
          <w:sz w:val="20"/>
          <w:szCs w:val="20"/>
        </w:rPr>
        <w:t>Total DRS score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31.62 (4.84)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  <w:t>32.97 (4.92)</w:t>
      </w:r>
      <w:r w:rsidRPr="007D34CD">
        <w:rPr>
          <w:color w:val="auto"/>
          <w:sz w:val="20"/>
          <w:szCs w:val="20"/>
        </w:rPr>
        <w:tab/>
      </w:r>
      <w:r w:rsidRPr="007D34CD">
        <w:rPr>
          <w:color w:val="auto"/>
          <w:sz w:val="20"/>
          <w:szCs w:val="20"/>
        </w:rPr>
        <w:tab/>
      </w:r>
      <w:bookmarkStart w:id="16" w:name="_DdeLink__10125_29029692333341111"/>
      <w:r w:rsidRPr="007D34CD">
        <w:rPr>
          <w:b/>
          <w:bCs/>
          <w:color w:val="auto"/>
          <w:sz w:val="20"/>
          <w:szCs w:val="20"/>
          <w:u w:val="single" w:color="000000"/>
        </w:rPr>
        <w:t>___________________________________________________________________________________</w:t>
      </w:r>
      <w:bookmarkEnd w:id="16"/>
      <w:r w:rsidRPr="007D34CD">
        <w:rPr>
          <w:b/>
          <w:bCs/>
          <w:color w:val="auto"/>
          <w:sz w:val="20"/>
          <w:szCs w:val="20"/>
          <w:u w:val="single" w:color="000000"/>
        </w:rPr>
        <w:t>________________</w:t>
      </w:r>
    </w:p>
    <w:p w:rsidR="00114750" w:rsidRPr="007D34CD" w:rsidRDefault="007D34CD">
      <w:pPr>
        <w:pStyle w:val="BodyA"/>
        <w:suppressAutoHyphens/>
        <w:spacing w:before="57" w:after="57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Liberation Serif" w:hAnsi="Liberation Serif"/>
          <w:color w:val="auto"/>
          <w:kern w:val="0"/>
          <w:sz w:val="20"/>
          <w:szCs w:val="20"/>
        </w:rPr>
        <w:t>Listed are the means (M) and standard deviations (SD) reported in brackets of t</w:t>
      </w:r>
      <w:r w:rsidRPr="007D34CD">
        <w:rPr>
          <w:rFonts w:ascii="Liberation Serif" w:hAnsi="Liberation Serif"/>
          <w:color w:val="auto"/>
          <w:kern w:val="0"/>
          <w:sz w:val="20"/>
          <w:szCs w:val="20"/>
        </w:rPr>
        <w:t xml:space="preserve">he Norwegian DRS-15 questionnaire including three </w:t>
      </w:r>
      <w:r w:rsidRPr="007D34CD">
        <w:rPr>
          <w:rFonts w:ascii="Liberation Serif" w:hAnsi="Liberation Serif"/>
          <w:color w:val="auto"/>
          <w:kern w:val="0"/>
          <w:sz w:val="20"/>
          <w:szCs w:val="20"/>
        </w:rPr>
        <w:t>subscale</w:t>
      </w:r>
      <w:r w:rsidRPr="007D34CD">
        <w:rPr>
          <w:rFonts w:ascii="Liberation Serif" w:hAnsi="Liberation Serif"/>
          <w:color w:val="auto"/>
          <w:kern w:val="0"/>
          <w:sz w:val="20"/>
          <w:szCs w:val="20"/>
        </w:rPr>
        <w:t xml:space="preserve">s: commitment, control, challenge, and resilience total score. </w:t>
      </w:r>
    </w:p>
    <w:p w:rsidR="00114750" w:rsidRPr="007D34CD" w:rsidRDefault="00114750">
      <w:pPr>
        <w:pStyle w:val="BodyA"/>
        <w:suppressAutoHyphens/>
        <w:spacing w:before="57" w:after="57"/>
        <w:jc w:val="both"/>
        <w:rPr>
          <w:rFonts w:ascii="Liberation Serif" w:hAnsi="Liberation Serif"/>
          <w:bCs/>
          <w:color w:val="auto"/>
          <w:kern w:val="0"/>
          <w:sz w:val="20"/>
          <w:szCs w:val="20"/>
        </w:rPr>
      </w:pPr>
    </w:p>
    <w:p w:rsidR="00114750" w:rsidRPr="007D34CD" w:rsidRDefault="007D34CD">
      <w:pPr>
        <w:spacing w:before="57" w:after="57" w:line="480" w:lineRule="auto"/>
        <w:jc w:val="both"/>
        <w:rPr>
          <w:b/>
          <w:bCs/>
          <w:kern w:val="0"/>
          <w:sz w:val="20"/>
          <w:szCs w:val="20"/>
        </w:rPr>
      </w:pPr>
      <w:r w:rsidRPr="007D34CD">
        <w:rPr>
          <w:b/>
          <w:bCs/>
          <w:kern w:val="0"/>
          <w:sz w:val="20"/>
          <w:szCs w:val="20"/>
        </w:rPr>
        <w:t>5.6 Lifestyle factors and BrainAGE scores</w:t>
      </w: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bCs/>
          <w:kern w:val="0"/>
          <w:sz w:val="20"/>
          <w:szCs w:val="20"/>
        </w:rPr>
        <w:t xml:space="preserve">A direct comparison of BrainAGE scores between the groups of active and non-active </w:t>
      </w:r>
      <w:r w:rsidRPr="007D34CD">
        <w:rPr>
          <w:bCs/>
          <w:kern w:val="0"/>
          <w:sz w:val="20"/>
          <w:szCs w:val="20"/>
        </w:rPr>
        <w:t>participants (using an ANCOVA with BrainAGE scores as dependent variable, covariates: years of education, fixed factors: exercise and gender) did yield a significant group difference for the BrainAGE scores (</w:t>
      </w:r>
      <w:r w:rsidRPr="007D34CD">
        <w:rPr>
          <w:bCs/>
          <w:i/>
          <w:kern w:val="0"/>
          <w:sz w:val="20"/>
          <w:szCs w:val="20"/>
        </w:rPr>
        <w:t>F</w:t>
      </w:r>
      <w:r w:rsidRPr="007D34CD">
        <w:rPr>
          <w:bCs/>
          <w:kern w:val="0"/>
          <w:sz w:val="20"/>
          <w:szCs w:val="20"/>
        </w:rPr>
        <w:t xml:space="preserve">(1,120) = 5.71;  </w:t>
      </w:r>
      <w:r w:rsidRPr="007D34CD">
        <w:rPr>
          <w:bCs/>
          <w:i/>
          <w:kern w:val="0"/>
          <w:sz w:val="20"/>
          <w:szCs w:val="20"/>
        </w:rPr>
        <w:t xml:space="preserve">p </w:t>
      </w:r>
      <w:r w:rsidRPr="007D34CD">
        <w:rPr>
          <w:bCs/>
          <w:kern w:val="0"/>
          <w:sz w:val="20"/>
          <w:szCs w:val="20"/>
        </w:rPr>
        <w:t>= 0.02).</w:t>
      </w: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bCs/>
          <w:kern w:val="0"/>
          <w:sz w:val="20"/>
          <w:szCs w:val="20"/>
        </w:rPr>
        <w:t>Similarly, a direct</w:t>
      </w:r>
      <w:r w:rsidRPr="007D34CD">
        <w:rPr>
          <w:bCs/>
          <w:kern w:val="0"/>
          <w:sz w:val="20"/>
          <w:szCs w:val="20"/>
        </w:rPr>
        <w:t xml:space="preserve"> comparison of BrainAGE scores between the groups taking allergy medication and those who did not (using an ANCOVA with BrainAGE scores as dependent variable, covariates: years of education, fixed factors: allergy medication and gender) did yield a signifi</w:t>
      </w:r>
      <w:r w:rsidRPr="007D34CD">
        <w:rPr>
          <w:bCs/>
          <w:kern w:val="0"/>
          <w:sz w:val="20"/>
          <w:szCs w:val="20"/>
        </w:rPr>
        <w:t>cant group difference for the BrainAGE scores (</w:t>
      </w:r>
      <w:r w:rsidRPr="007D34CD">
        <w:rPr>
          <w:bCs/>
          <w:i/>
          <w:kern w:val="0"/>
          <w:sz w:val="20"/>
          <w:szCs w:val="20"/>
        </w:rPr>
        <w:t>F</w:t>
      </w:r>
      <w:r w:rsidRPr="007D34CD">
        <w:rPr>
          <w:bCs/>
          <w:kern w:val="0"/>
          <w:sz w:val="20"/>
          <w:szCs w:val="20"/>
        </w:rPr>
        <w:t xml:space="preserve">(1,120) = 4.94;  </w:t>
      </w:r>
      <w:r w:rsidRPr="007D34CD">
        <w:rPr>
          <w:bCs/>
          <w:i/>
          <w:kern w:val="0"/>
          <w:sz w:val="20"/>
          <w:szCs w:val="20"/>
        </w:rPr>
        <w:t xml:space="preserve">p </w:t>
      </w:r>
      <w:r w:rsidRPr="007D34CD">
        <w:rPr>
          <w:bCs/>
          <w:kern w:val="0"/>
          <w:sz w:val="20"/>
          <w:szCs w:val="20"/>
        </w:rPr>
        <w:t xml:space="preserve">= 0.03). </w:t>
      </w:r>
    </w:p>
    <w:p w:rsidR="00114750" w:rsidRPr="007D34CD" w:rsidRDefault="007D34CD">
      <w:pPr>
        <w:spacing w:before="57" w:after="57"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7D34CD">
        <w:rPr>
          <w:bCs/>
          <w:kern w:val="0"/>
          <w:sz w:val="20"/>
          <w:szCs w:val="20"/>
        </w:rPr>
        <w:t>Likewise, a direct comparison of lifestyle factors (exercise) between the groups of non-musicians and amateur musicians (using an ANCOVA with BrainAGE scores as dependent variable</w:t>
      </w:r>
      <w:r w:rsidRPr="007D34CD">
        <w:rPr>
          <w:bCs/>
          <w:kern w:val="0"/>
          <w:sz w:val="20"/>
          <w:szCs w:val="20"/>
        </w:rPr>
        <w:t>, covariates: years of education, fixed factors: musician status, gender, and exercise) did yield a significant group difference for the BrainAGE scores (</w:t>
      </w:r>
      <w:r w:rsidRPr="007D34CD">
        <w:rPr>
          <w:bCs/>
          <w:i/>
          <w:kern w:val="0"/>
          <w:sz w:val="20"/>
          <w:szCs w:val="20"/>
        </w:rPr>
        <w:t>F</w:t>
      </w:r>
      <w:r w:rsidRPr="007D34CD">
        <w:rPr>
          <w:bCs/>
          <w:kern w:val="0"/>
          <w:sz w:val="20"/>
          <w:szCs w:val="20"/>
        </w:rPr>
        <w:t>(1,116</w:t>
      </w:r>
      <w:r w:rsidRPr="007D34CD">
        <w:rPr>
          <w:bCs/>
          <w:i/>
          <w:kern w:val="0"/>
          <w:sz w:val="20"/>
          <w:szCs w:val="20"/>
        </w:rPr>
        <w:t xml:space="preserve">) </w:t>
      </w:r>
      <w:r w:rsidRPr="007D34CD">
        <w:rPr>
          <w:bCs/>
          <w:kern w:val="0"/>
          <w:sz w:val="20"/>
          <w:szCs w:val="20"/>
        </w:rPr>
        <w:t xml:space="preserve">= 5.67, </w:t>
      </w:r>
      <w:r w:rsidRPr="007D34CD">
        <w:rPr>
          <w:bCs/>
          <w:i/>
          <w:kern w:val="0"/>
          <w:sz w:val="20"/>
          <w:szCs w:val="20"/>
        </w:rPr>
        <w:t xml:space="preserve">p </w:t>
      </w:r>
      <w:r w:rsidRPr="007D34CD">
        <w:rPr>
          <w:bCs/>
          <w:kern w:val="0"/>
          <w:sz w:val="20"/>
          <w:szCs w:val="20"/>
        </w:rPr>
        <w:t>= 0.02). See Fig. 8 for a violin plot visualizing the group differences in BrainAGE</w:t>
      </w:r>
      <w:r w:rsidRPr="007D34CD">
        <w:rPr>
          <w:bCs/>
          <w:kern w:val="0"/>
          <w:sz w:val="20"/>
          <w:szCs w:val="20"/>
        </w:rPr>
        <w:t xml:space="preserve"> scores for those who are active and those who are not. The same analysis using allergy medicine as a fixed factor could not be run as sample size was too low. </w:t>
      </w:r>
    </w:p>
    <w:p w:rsidR="00114750" w:rsidRPr="007D34CD" w:rsidRDefault="00114750">
      <w:pPr>
        <w:spacing w:before="57" w:after="57" w:line="480" w:lineRule="auto"/>
        <w:rPr>
          <w:bCs/>
          <w:kern w:val="0"/>
          <w:sz w:val="20"/>
          <w:szCs w:val="20"/>
        </w:rPr>
      </w:pPr>
    </w:p>
    <w:p w:rsidR="00114750" w:rsidRPr="007D34CD" w:rsidRDefault="007D34CD">
      <w:pPr>
        <w:spacing w:before="57" w:after="57" w:line="480" w:lineRule="auto"/>
        <w:jc w:val="both"/>
        <w:rPr>
          <w:bCs/>
          <w:kern w:val="0"/>
          <w:sz w:val="20"/>
          <w:szCs w:val="20"/>
        </w:rPr>
      </w:pPr>
      <w:r w:rsidRPr="007D34CD">
        <w:rPr>
          <w:bCs/>
          <w:noProof/>
          <w:kern w:val="0"/>
          <w:sz w:val="20"/>
          <w:szCs w:val="20"/>
          <w:lang w:val="en-IN" w:eastAsia="en-IN" w:bidi="ar-SA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67310</wp:posOffset>
            </wp:positionH>
            <wp:positionV relativeFrom="paragraph">
              <wp:posOffset>-114935</wp:posOffset>
            </wp:positionV>
            <wp:extent cx="4220210" cy="2813050"/>
            <wp:effectExtent l="0" t="0" r="0" b="0"/>
            <wp:wrapSquare wrapText="largest"/>
            <wp:docPr id="6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1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114750" w:rsidRPr="007D34CD" w:rsidRDefault="007D34CD">
      <w:pPr>
        <w:pStyle w:val="BodyA"/>
        <w:widowControl w:val="0"/>
        <w:suppressAutoHyphens/>
        <w:spacing w:before="57" w:after="57" w:line="480" w:lineRule="auto"/>
        <w:jc w:val="both"/>
        <w:rPr>
          <w:rFonts w:ascii="Times New Roman" w:hAnsi="Times New Roman"/>
          <w:b/>
          <w:bCs/>
          <w:color w:val="auto"/>
          <w:sz w:val="20"/>
          <w:szCs w:val="20"/>
        </w:rPr>
      </w:pPr>
      <w:r w:rsidRPr="007D34CD">
        <w:rPr>
          <w:rFonts w:ascii="Times New Roman" w:hAnsi="Times New Roman"/>
          <w:b/>
          <w:bCs/>
          <w:color w:val="auto"/>
          <w:sz w:val="20"/>
          <w:szCs w:val="20"/>
        </w:rPr>
        <w:t xml:space="preserve">Fig. 8 </w:t>
      </w:r>
      <w:r w:rsidRPr="007D34CD">
        <w:rPr>
          <w:color w:val="auto"/>
          <w:sz w:val="20"/>
          <w:szCs w:val="20"/>
        </w:rPr>
        <w:t xml:space="preserve">Distribution of the </w:t>
      </w:r>
      <w:proofErr w:type="spellStart"/>
      <w:r w:rsidRPr="007D34CD">
        <w:rPr>
          <w:color w:val="auto"/>
          <w:sz w:val="20"/>
          <w:szCs w:val="20"/>
        </w:rPr>
        <w:t>BrainAGE</w:t>
      </w:r>
      <w:proofErr w:type="spellEnd"/>
      <w:r w:rsidRPr="007D34CD">
        <w:rPr>
          <w:color w:val="auto"/>
          <w:sz w:val="20"/>
          <w:szCs w:val="20"/>
        </w:rPr>
        <w:t xml:space="preserve"> scores across all participants with regards </w:t>
      </w:r>
      <w:r w:rsidRPr="007D34CD">
        <w:rPr>
          <w:color w:val="auto"/>
          <w:sz w:val="20"/>
          <w:szCs w:val="20"/>
        </w:rPr>
        <w:t xml:space="preserve">to current engagement in physical activity. The distribution of </w:t>
      </w:r>
      <w:proofErr w:type="spellStart"/>
      <w:r w:rsidRPr="007D34CD">
        <w:rPr>
          <w:color w:val="auto"/>
          <w:sz w:val="20"/>
          <w:szCs w:val="20"/>
        </w:rPr>
        <w:t>BrainAGE</w:t>
      </w:r>
      <w:proofErr w:type="spellEnd"/>
      <w:r w:rsidRPr="007D34CD">
        <w:rPr>
          <w:color w:val="auto"/>
          <w:sz w:val="20"/>
          <w:szCs w:val="20"/>
        </w:rPr>
        <w:t xml:space="preserve"> scores (in years) is group-wise visualized as a violin plot showing the distribution of </w:t>
      </w:r>
      <w:proofErr w:type="spellStart"/>
      <w:r w:rsidRPr="007D34CD">
        <w:rPr>
          <w:color w:val="auto"/>
          <w:sz w:val="20"/>
          <w:szCs w:val="20"/>
        </w:rPr>
        <w:t>BrainAGE</w:t>
      </w:r>
      <w:proofErr w:type="spellEnd"/>
      <w:r w:rsidRPr="007D34CD">
        <w:rPr>
          <w:color w:val="auto"/>
          <w:sz w:val="20"/>
          <w:szCs w:val="20"/>
        </w:rPr>
        <w:t xml:space="preserve"> scores in healthy participants currently engaged in physical activity (active) versus </w:t>
      </w:r>
      <w:r w:rsidRPr="007D34CD">
        <w:rPr>
          <w:color w:val="auto"/>
          <w:sz w:val="20"/>
          <w:szCs w:val="20"/>
        </w:rPr>
        <w:t xml:space="preserve">individuals that are not (not active). The main horizontal line is the mean </w:t>
      </w:r>
      <w:proofErr w:type="spellStart"/>
      <w:r w:rsidRPr="007D34CD">
        <w:rPr>
          <w:color w:val="auto"/>
          <w:sz w:val="20"/>
          <w:szCs w:val="20"/>
        </w:rPr>
        <w:t>BrainAGE</w:t>
      </w:r>
      <w:proofErr w:type="spellEnd"/>
      <w:r w:rsidRPr="007D34CD">
        <w:rPr>
          <w:color w:val="auto"/>
          <w:sz w:val="20"/>
          <w:szCs w:val="20"/>
        </w:rPr>
        <w:t xml:space="preserve"> score of each group.</w:t>
      </w:r>
      <w:bookmarkStart w:id="17" w:name="_GoBack"/>
      <w:bookmarkEnd w:id="17"/>
      <w:r w:rsidRPr="007D34CD">
        <w:rPr>
          <w:color w:val="auto"/>
          <w:sz w:val="20"/>
          <w:szCs w:val="20"/>
        </w:rPr>
        <w:t xml:space="preserve"> </w:t>
      </w:r>
    </w:p>
    <w:p w:rsidR="00114750" w:rsidRPr="007D34CD" w:rsidRDefault="00114750">
      <w:pPr>
        <w:spacing w:line="480" w:lineRule="auto"/>
        <w:jc w:val="both"/>
        <w:rPr>
          <w:rFonts w:ascii="Times New Roman" w:hAnsi="Times New Roman"/>
          <w:i/>
          <w:iCs/>
          <w:sz w:val="20"/>
          <w:szCs w:val="20"/>
          <w:lang w:val="en-US"/>
        </w:rPr>
      </w:pPr>
    </w:p>
    <w:sectPr w:rsidR="00114750" w:rsidRPr="007D34CD">
      <w:pgSz w:w="12240" w:h="15840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 Unicode MS;Arial Unicode">
    <w:altName w:val="Times New Roman"/>
    <w:panose1 w:val="00000000000000000000"/>
    <w:charset w:val="00"/>
    <w:family w:val="roman"/>
    <w:notTrueType/>
    <w:pitch w:val="default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onospaced">
    <w:altName w:val="Times New Roman"/>
    <w:charset w:val="01"/>
    <w:family w:val="roman"/>
    <w:pitch w:val="variable"/>
  </w:font>
  <w:font w:name="SansSerif">
    <w:altName w:val="Arial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750"/>
    <w:rsid w:val="00114750"/>
    <w:rsid w:val="007D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D51660-F766-44EA-9119-946297B3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aa-E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qFormat/>
    <w:pPr>
      <w:suppressAutoHyphens w:val="0"/>
      <w:spacing w:after="140" w:line="276" w:lineRule="auto"/>
    </w:pPr>
    <w:rPr>
      <w:rFonts w:ascii="Times New Roman;Times New Roman" w:eastAsia="Arial Unicode MS;Arial Unicode" w:hAnsi="Times New Roman;Times New Roman" w:cs="Arial Unicode MS;Arial Unicode"/>
      <w:color w:val="000000"/>
      <w:lang w:val="en-US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qFormat/>
    <w:pPr>
      <w:widowControl w:val="0"/>
    </w:pPr>
    <w:rPr>
      <w:rFonts w:ascii="Times New Roman;Times New Roman" w:eastAsia="Arial Unicode MS;Arial Unicode" w:hAnsi="Times New Roman;Times New Roman" w:cs="Arial Unicode MS;Arial Unicode"/>
      <w:color w:val="000000"/>
      <w:lang w:val="en-US"/>
    </w:rPr>
  </w:style>
  <w:style w:type="paragraph" w:customStyle="1" w:styleId="Body">
    <w:name w:val="Body"/>
    <w:qFormat/>
    <w:rPr>
      <w:rFonts w:ascii="Times New Roman;Times New Roman" w:eastAsia="Arial Unicode MS;Arial Unicode" w:hAnsi="Times New Roman;Times New Roman" w:cs="Arial Unicode MS;Arial Unicode"/>
      <w:color w:val="000000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BodyA">
    <w:name w:val="Body A"/>
    <w:qFormat/>
    <w:pPr>
      <w:suppressAutoHyphens w:val="0"/>
    </w:pPr>
    <w:rPr>
      <w:rFonts w:ascii="Times New Roman;Times New Roman" w:eastAsia="Times New Roman;Times New Roman" w:hAnsi="Times New Roman;Times New Roman" w:cs="Times New Roman;Times New Roman"/>
      <w:color w:val="000000"/>
      <w:lang w:val="en-US"/>
    </w:rPr>
  </w:style>
  <w:style w:type="paragraph" w:customStyle="1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17698</TotalTime>
  <Pages>14</Pages>
  <Words>3247</Words>
  <Characters>18514</Characters>
  <Application>Microsoft Office Word</Application>
  <DocSecurity>0</DocSecurity>
  <Lines>154</Lines>
  <Paragraphs>43</Paragraphs>
  <ScaleCrop>false</ScaleCrop>
  <Company/>
  <LinksUpToDate>false</LinksUpToDate>
  <CharactersWithSpaces>21718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Wasim Ashfaq Mohamed Yusuf</cp:lastModifiedBy>
  <cp:revision>127</cp:revision>
  <dcterms:created xsi:type="dcterms:W3CDTF">2022-08-23T20:05:00Z</dcterms:created>
  <dcterms:modified xsi:type="dcterms:W3CDTF">2022-12-12T09:35:00Z</dcterms:modified>
  <dc:language>en-DK</dc:language>
</cp:coreProperties>
</file>