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Supplementary Data</w:t>
      </w:r>
    </w:p>
    <w:p>
      <w:pPr>
        <w:rPr>
          <w:rFonts w:ascii="Times New Roman" w:hAnsi="Times New Roman" w:cs="Times New Roman"/>
          <w:b/>
          <w:sz w:val="20"/>
          <w:szCs w:val="20"/>
          <w:lang w:val="en-GB"/>
        </w:rPr>
      </w:pPr>
      <w:bookmarkStart w:id="0" w:name="_Hlk73282603"/>
      <w:r>
        <w:rPr>
          <w:rFonts w:ascii="Times New Roman" w:hAnsi="Times New Roman" w:cs="Times New Roman"/>
          <w:b/>
          <w:sz w:val="20"/>
          <w:szCs w:val="20"/>
          <w:lang w:val="en-GB"/>
        </w:rPr>
        <w:t>Table S1</w:t>
      </w:r>
      <w:r>
        <w:rPr>
          <w:rFonts w:ascii="Times New Roman" w:hAnsi="Times New Roman" w:cs="Times New Roman"/>
          <w:sz w:val="20"/>
          <w:szCs w:val="20"/>
          <w:lang w:val="en-GB"/>
        </w:rPr>
        <w:t xml:space="preserve"> </w:t>
      </w:r>
      <w:r>
        <w:rPr>
          <w:rFonts w:ascii="Times New Roman" w:hAnsi="Times New Roman" w:cs="Times New Roman"/>
          <w:b/>
          <w:sz w:val="20"/>
          <w:szCs w:val="20"/>
          <w:lang w:val="en-GB"/>
        </w:rPr>
        <w:t>Summary on samples characteristics, basic HTS data and genotype analysis</w:t>
      </w:r>
    </w:p>
    <w:bookmarkEnd w:id="0"/>
    <w:p>
      <w:pPr>
        <w:spacing w:line="480" w:lineRule="auto"/>
        <w:jc w:val="both"/>
        <w:rPr>
          <w:rFonts w:ascii="Times New Roman" w:hAnsi="Times New Roman" w:cs="Times New Roman"/>
          <w:b/>
          <w:sz w:val="20"/>
          <w:szCs w:val="20"/>
          <w:lang w:val="en-GB"/>
        </w:rPr>
      </w:pPr>
      <w:r>
        <w:rPr>
          <w:rFonts w:ascii="Times New Roman" w:hAnsi="Times New Roman" w:cs="Times New Roman"/>
          <w:b/>
          <w:sz w:val="20"/>
          <w:szCs w:val="20"/>
          <w:lang w:val="en-GB"/>
        </w:rPr>
        <w:t>Please see Excel file “S1”</w:t>
      </w:r>
    </w:p>
    <w:p>
      <w:pPr>
        <w:rPr>
          <w:rFonts w:ascii="Times New Roman" w:hAnsi="Times New Roman" w:cs="Times New Roman"/>
          <w:sz w:val="20"/>
          <w:szCs w:val="20"/>
          <w:lang w:val="en-GB"/>
        </w:rPr>
      </w:pPr>
    </w:p>
    <w:p>
      <w:pPr>
        <w:spacing w:line="480" w:lineRule="auto"/>
        <w:rPr>
          <w:rFonts w:ascii="Times New Roman" w:hAnsi="Times New Roman" w:cs="Times New Roman"/>
          <w:sz w:val="20"/>
          <w:szCs w:val="20"/>
          <w:lang w:val="en-US"/>
        </w:rPr>
      </w:pPr>
      <w:r>
        <w:rPr>
          <w:rFonts w:ascii="Times New Roman" w:hAnsi="Times New Roman" w:cs="Times New Roman"/>
          <w:b/>
          <w:sz w:val="20"/>
          <w:szCs w:val="20"/>
          <w:lang w:val="en-US"/>
        </w:rPr>
        <w:t>Supplementary</w:t>
      </w:r>
      <w:r>
        <w:rPr>
          <w:rFonts w:ascii="Times New Roman" w:hAnsi="Times New Roman" w:cs="Times New Roman"/>
          <w:b/>
          <w:sz w:val="20"/>
          <w:szCs w:val="20"/>
          <w:lang w:val="en-GB"/>
        </w:rPr>
        <w:t xml:space="preserve"> Figure S1 Variant analysis of data sets with a mean coverage depth of ≥25 for HCMV genome. </w:t>
      </w:r>
      <w:r>
        <w:rPr>
          <w:rFonts w:ascii="Times New Roman" w:hAnsi="Times New Roman" w:cs="Times New Roman"/>
          <w:sz w:val="20"/>
          <w:szCs w:val="20"/>
          <w:lang w:val="en-US"/>
        </w:rPr>
        <w:t xml:space="preserve">Intra-host variant frequency plots of all specimens yielding HCMV genomes with </w:t>
      </w:r>
      <w:r>
        <w:rPr>
          <w:rFonts w:ascii="Times New Roman" w:hAnsi="Times New Roman" w:cs="Times New Roman" w:hint="eastAsia"/>
          <w:sz w:val="20"/>
          <w:szCs w:val="20"/>
          <w:lang w:val="en-US"/>
        </w:rPr>
        <w:t xml:space="preserve">a mean coverage depth of </w:t>
      </w:r>
      <w:r>
        <w:rPr>
          <w:rFonts w:ascii="Times New Roman" w:hAnsi="Times New Roman" w:cs="Times New Roman"/>
          <w:sz w:val="20"/>
          <w:szCs w:val="20"/>
          <w:lang w:val="en-US"/>
        </w:rPr>
        <w:t>≥</w:t>
      </w:r>
      <w:r>
        <w:rPr>
          <w:rFonts w:ascii="Times New Roman" w:hAnsi="Times New Roman" w:cs="Times New Roman" w:hint="eastAsia"/>
          <w:sz w:val="20"/>
          <w:szCs w:val="20"/>
          <w:lang w:val="en-US"/>
        </w:rPr>
        <w:t>25 deduplicated reads/nt</w:t>
      </w:r>
      <w:r>
        <w:rPr>
          <w:rFonts w:ascii="Times New Roman" w:hAnsi="Times New Roman" w:cs="Times New Roman"/>
          <w:sz w:val="20"/>
          <w:szCs w:val="20"/>
          <w:lang w:val="en-US"/>
        </w:rPr>
        <w:t>. Each dot in the left part of the plot represents an SNP with its corresponding position in the HCMV genome and its frequency. The right-side histogram shows the number of SNPs in each frequency bin. Variants were called by mapping the reads to the assembled HCMV genome. If samples from multiple time points were sequenced, reads were mapped against the first time point</w:t>
      </w:r>
      <w:r>
        <w:rPr>
          <w:rFonts w:ascii="Times New Roman" w:hAnsi="Times New Roman" w:cs="Times New Roman"/>
          <w:sz w:val="20"/>
          <w:szCs w:val="20"/>
          <w:lang w:val="en-US"/>
        </w:rPr>
        <w:t xml:space="preserve">. This </w:t>
      </w:r>
      <w:proofErr w:type="spellStart"/>
      <w:r>
        <w:rPr>
          <w:rFonts w:ascii="Times New Roman" w:hAnsi="Times New Roman" w:cs="Times New Roman"/>
          <w:sz w:val="20"/>
          <w:szCs w:val="20"/>
          <w:lang w:val="en-US"/>
        </w:rPr>
        <w:t>visualises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t>multiple strains as band</w:t>
      </w:r>
      <w:r>
        <w:rPr>
          <w:rFonts w:ascii="Times New Roman" w:hAnsi="Times New Roman" w:cs="Times New Roman"/>
          <w:sz w:val="20"/>
          <w:szCs w:val="20"/>
          <w:lang w:val="en-US"/>
        </w:rPr>
        <w:t>s</w:t>
      </w:r>
      <w:r>
        <w:rPr>
          <w:rFonts w:ascii="Times New Roman" w:hAnsi="Times New Roman" w:cs="Times New Roman"/>
          <w:sz w:val="20"/>
          <w:szCs w:val="20"/>
          <w:lang w:val="en-US"/>
        </w:rPr>
        <w:t xml:space="preserve"> of SNPs spanning the genome and allows the identification of shifting ratios between strains.</w:t>
      </w:r>
      <w:r>
        <w:rPr>
          <w:rFonts w:ascii="Times New Roman" w:hAnsi="Times New Roman" w:cs="Times New Roman"/>
          <w:sz w:val="20"/>
          <w:szCs w:val="20"/>
          <w:lang w:val="en-US"/>
        </w:rPr>
        <w:t xml:space="preserve"> For multiple-strain samples with </w:t>
      </w:r>
      <w:r>
        <w:rPr>
          <w:rFonts w:ascii="Times New Roman" w:hAnsi="Times New Roman" w:cs="Times New Roman"/>
          <w:sz w:val="20"/>
          <w:szCs w:val="20"/>
          <w:lang w:val="en-US"/>
        </w:rPr>
        <w:t>similar abundance of constituent subpopulations,</w:t>
      </w:r>
      <w:r>
        <w:rPr>
          <w:rFonts w:ascii="Times New Roman" w:hAnsi="Times New Roman" w:cs="Times New Roman"/>
          <w:sz w:val="20"/>
          <w:szCs w:val="20"/>
          <w:lang w:val="en-US"/>
        </w:rPr>
        <w:t xml:space="preserve"> variants will appear above and below the 50% frequency threshold as assembly of a genome sequence clearly attributable to one of the two or three HCMV strains is not feasible (for example, this can be observed for individuals 1065 and 1040).</w:t>
      </w:r>
      <w:bookmarkStart w:id="1" w:name="_GoBack"/>
      <w:bookmarkEnd w:id="1"/>
    </w:p>
    <w:p>
      <w:pPr>
        <w:spacing w:line="480" w:lineRule="auto"/>
        <w:rPr>
          <w:rFonts w:ascii="Times New Roman" w:hAnsi="Times New Roman" w:cs="Times New Roman"/>
        </w:rPr>
      </w:pPr>
      <w:r>
        <w:rPr>
          <w:rFonts w:ascii="Times New Roman" w:hAnsi="Times New Roman" w:cs="Times New Roman"/>
          <w:noProof/>
          <w:lang w:val="en-US"/>
        </w:rPr>
        <w:drawing>
          <wp:inline distT="0" distB="0" distL="0" distR="0">
            <wp:extent cx="5080000" cy="1354667"/>
            <wp:effectExtent l="0" t="0" r="0" b="444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a:picLocks noChangeAspect="1" noChangeArrowheads="1"/>
                    </pic:cNvPicPr>
                  </pic:nvPicPr>
                  <pic:blipFill>
                    <a:blip r:embed="rId5"/>
                    <a:stretch>
                      <a:fillRect/>
                    </a:stretch>
                  </pic:blipFill>
                  <pic:spPr bwMode="auto">
                    <a:xfrm>
                      <a:off x="0" y="0"/>
                      <a:ext cx="5082374" cy="1355300"/>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26990" cy="1367197"/>
            <wp:effectExtent l="0" t="0" r="3810"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a:picLocks noChangeAspect="1" noChangeArrowheads="1"/>
                    </pic:cNvPicPr>
                  </pic:nvPicPr>
                  <pic:blipFill>
                    <a:blip r:embed="rId6"/>
                    <a:stretch>
                      <a:fillRect/>
                    </a:stretch>
                  </pic:blipFill>
                  <pic:spPr bwMode="auto">
                    <a:xfrm>
                      <a:off x="0" y="0"/>
                      <a:ext cx="5132983" cy="1368795"/>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26990" cy="1367155"/>
            <wp:effectExtent l="0" t="0" r="3810" b="444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a:picLocks noChangeAspect="1" noChangeArrowheads="1"/>
                    </pic:cNvPicPr>
                  </pic:nvPicPr>
                  <pic:blipFill>
                    <a:blip r:embed="rId7"/>
                    <a:stretch>
                      <a:fillRect/>
                    </a:stretch>
                  </pic:blipFill>
                  <pic:spPr bwMode="auto">
                    <a:xfrm>
                      <a:off x="0" y="0"/>
                      <a:ext cx="5132986" cy="1368754"/>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60645" cy="2752343"/>
            <wp:effectExtent l="0" t="0" r="0" b="381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a:picLocks noChangeAspect="1" noChangeArrowheads="1"/>
                    </pic:cNvPicPr>
                  </pic:nvPicPr>
                  <pic:blipFill>
                    <a:blip r:embed="rId8"/>
                    <a:stretch>
                      <a:fillRect/>
                    </a:stretch>
                  </pic:blipFill>
                  <pic:spPr bwMode="auto">
                    <a:xfrm>
                      <a:off x="0" y="0"/>
                      <a:ext cx="5190171" cy="2768090"/>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60645" cy="2752344"/>
            <wp:effectExtent l="0" t="0" r="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noChangeArrowheads="1"/>
                    </pic:cNvPicPr>
                  </pic:nvPicPr>
                  <pic:blipFill>
                    <a:blip r:embed="rId9"/>
                    <a:stretch>
                      <a:fillRect/>
                    </a:stretch>
                  </pic:blipFill>
                  <pic:spPr bwMode="auto">
                    <a:xfrm>
                      <a:off x="0" y="0"/>
                      <a:ext cx="5178039" cy="2761621"/>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60826" cy="1376219"/>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a:picLocks noChangeAspect="1" noChangeArrowheads="1"/>
                    </pic:cNvPicPr>
                  </pic:nvPicPr>
                  <pic:blipFill>
                    <a:blip r:embed="rId10"/>
                    <a:stretch>
                      <a:fillRect/>
                    </a:stretch>
                  </pic:blipFill>
                  <pic:spPr bwMode="auto">
                    <a:xfrm>
                      <a:off x="0" y="0"/>
                      <a:ext cx="5200176" cy="1386712"/>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49215" cy="274624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noChangeArrowheads="1"/>
                    </pic:cNvPicPr>
                  </pic:nvPicPr>
                  <pic:blipFill>
                    <a:blip r:embed="rId11"/>
                    <a:stretch>
                      <a:fillRect/>
                    </a:stretch>
                  </pic:blipFill>
                  <pic:spPr bwMode="auto">
                    <a:xfrm>
                      <a:off x="0" y="0"/>
                      <a:ext cx="5163796" cy="2754024"/>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49215" cy="1373123"/>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a:picLocks noChangeAspect="1" noChangeArrowheads="1"/>
                    </pic:cNvPicPr>
                  </pic:nvPicPr>
                  <pic:blipFill>
                    <a:blip r:embed="rId12"/>
                    <a:stretch>
                      <a:fillRect/>
                    </a:stretch>
                  </pic:blipFill>
                  <pic:spPr bwMode="auto">
                    <a:xfrm>
                      <a:off x="0" y="0"/>
                      <a:ext cx="5162819" cy="1376751"/>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49215" cy="2746248"/>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noChangeArrowheads="1"/>
                    </pic:cNvPicPr>
                  </pic:nvPicPr>
                  <pic:blipFill>
                    <a:blip r:embed="rId13"/>
                    <a:stretch>
                      <a:fillRect/>
                    </a:stretch>
                  </pic:blipFill>
                  <pic:spPr bwMode="auto">
                    <a:xfrm>
                      <a:off x="0" y="0"/>
                      <a:ext cx="5158324" cy="2751106"/>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63128" cy="2753668"/>
            <wp:effectExtent l="0" t="0" r="6350" b="254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a:picLocks noChangeAspect="1" noChangeArrowheads="1"/>
                    </pic:cNvPicPr>
                  </pic:nvPicPr>
                  <pic:blipFill>
                    <a:blip r:embed="rId14"/>
                    <a:stretch>
                      <a:fillRect/>
                    </a:stretch>
                  </pic:blipFill>
                  <pic:spPr bwMode="auto">
                    <a:xfrm>
                      <a:off x="0" y="0"/>
                      <a:ext cx="5181959" cy="2763711"/>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62550" cy="137668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noChangeArrowheads="1"/>
                    </pic:cNvPicPr>
                  </pic:nvPicPr>
                  <pic:blipFill>
                    <a:blip r:embed="rId15"/>
                    <a:stretch>
                      <a:fillRect/>
                    </a:stretch>
                  </pic:blipFill>
                  <pic:spPr bwMode="auto">
                    <a:xfrm>
                      <a:off x="0" y="0"/>
                      <a:ext cx="5171918" cy="1379178"/>
                    </a:xfrm>
                    <a:prstGeom prst="rect">
                      <a:avLst/>
                    </a:prstGeom>
                    <a:noFill/>
                    <a:ln>
                      <a:noFill/>
                    </a:ln>
                  </pic:spPr>
                </pic:pic>
              </a:graphicData>
            </a:graphic>
          </wp:inline>
        </w:drawing>
      </w:r>
      <w:r>
        <w:rPr>
          <w:rFonts w:ascii="Times New Roman" w:hAnsi="Times New Roman" w:cs="Times New Roman"/>
          <w:noProof/>
          <w:lang w:val="en-US"/>
        </w:rPr>
        <w:drawing>
          <wp:inline distT="0" distB="0" distL="0" distR="0">
            <wp:extent cx="5162550" cy="2753360"/>
            <wp:effectExtent l="0" t="0" r="635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6"/>
                    <a:stretch>
                      <a:fillRect/>
                    </a:stretch>
                  </pic:blipFill>
                  <pic:spPr bwMode="auto">
                    <a:xfrm>
                      <a:off x="0" y="0"/>
                      <a:ext cx="5165865" cy="2755128"/>
                    </a:xfrm>
                    <a:prstGeom prst="rect">
                      <a:avLst/>
                    </a:prstGeom>
                    <a:noFill/>
                    <a:ln>
                      <a:noFill/>
                    </a:ln>
                  </pic:spPr>
                </pic:pic>
              </a:graphicData>
            </a:graphic>
          </wp:inline>
        </w:drawing>
      </w:r>
    </w:p>
    <w:p>
      <w:pPr>
        <w:spacing w:line="480" w:lineRule="auto"/>
        <w:jc w:val="both"/>
        <w:rPr>
          <w:rFonts w:ascii="Times New Roman" w:hAnsi="Times New Roman" w:cs="Times New Roman"/>
          <w:b/>
          <w:sz w:val="20"/>
          <w:szCs w:val="20"/>
          <w:lang w:val="en-GB"/>
        </w:rPr>
      </w:pPr>
    </w:p>
    <w:p>
      <w:pPr>
        <w:spacing w:line="480" w:lineRule="auto"/>
        <w:jc w:val="both"/>
        <w:rPr>
          <w:rFonts w:ascii="Times New Roman" w:hAnsi="Times New Roman" w:cs="Times New Roman"/>
          <w:i/>
          <w:sz w:val="20"/>
          <w:szCs w:val="20"/>
          <w:lang w:val="en-US"/>
        </w:rPr>
      </w:pPr>
    </w:p>
    <w:p>
      <w:pPr>
        <w:rPr>
          <w:lang w:val="en-US"/>
        </w:rPr>
      </w:pPr>
    </w:p>
    <w:sectPr>
      <w:footerReference w:type="default" r:id="rId1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840310"/>
      <w:docPartObj>
        <w:docPartGallery w:val="Page Numbers (Bottom of Page)"/>
        <w:docPartUnique/>
      </w:docPartObj>
    </w:sdtPr>
    <w:sdtContent>
      <w:p>
        <w:pPr>
          <w:pStyle w:val="Fuzeile"/>
          <w:jc w:val="right"/>
        </w:pPr>
        <w:r>
          <w:fldChar w:fldCharType="begin"/>
        </w:r>
        <w:r>
          <w:instrText>PAGE   \* MERGEFORMAT</w:instrText>
        </w:r>
        <w:r>
          <w:fldChar w:fldCharType="separate"/>
        </w:r>
        <w:r>
          <w:rPr>
            <w:noProof/>
          </w:rPr>
          <w:t>18</w:t>
        </w:r>
        <w:r>
          <w:rPr>
            <w:noProof/>
          </w:rPr>
          <w:fldChar w:fldCharType="end"/>
        </w:r>
      </w:p>
    </w:sdtContent>
  </w:sdt>
  <w:p>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3C0"/>
    <w:multiLevelType w:val="hybridMultilevel"/>
    <w:tmpl w:val="1474F1C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7FB544B"/>
    <w:multiLevelType w:val="hybridMultilevel"/>
    <w:tmpl w:val="08169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B17096"/>
    <w:multiLevelType w:val="multilevel"/>
    <w:tmpl w:val="0E4E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C1835"/>
    <w:multiLevelType w:val="hybridMultilevel"/>
    <w:tmpl w:val="9A320398"/>
    <w:lvl w:ilvl="0" w:tplc="C666CF8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AB5A96"/>
    <w:multiLevelType w:val="hybridMultilevel"/>
    <w:tmpl w:val="8C4A63D8"/>
    <w:lvl w:ilvl="0" w:tplc="6C8CB36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5F057A"/>
    <w:multiLevelType w:val="hybridMultilevel"/>
    <w:tmpl w:val="DCA43544"/>
    <w:lvl w:ilvl="0" w:tplc="DB1C3ED4">
      <w:start w:val="27"/>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495E52"/>
    <w:multiLevelType w:val="hybridMultilevel"/>
    <w:tmpl w:val="096E0894"/>
    <w:lvl w:ilvl="0" w:tplc="635ACD0E">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664B50"/>
    <w:multiLevelType w:val="hybridMultilevel"/>
    <w:tmpl w:val="B6265D38"/>
    <w:lvl w:ilvl="0" w:tplc="32B25606">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B52392"/>
    <w:multiLevelType w:val="hybridMultilevel"/>
    <w:tmpl w:val="458C825C"/>
    <w:lvl w:ilvl="0" w:tplc="3A34552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7725C8"/>
    <w:multiLevelType w:val="hybridMultilevel"/>
    <w:tmpl w:val="620A7432"/>
    <w:lvl w:ilvl="0" w:tplc="819CE0A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7C0E79"/>
    <w:multiLevelType w:val="hybridMultilevel"/>
    <w:tmpl w:val="041E3DC6"/>
    <w:lvl w:ilvl="0" w:tplc="08062F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6B3F0F"/>
    <w:multiLevelType w:val="hybridMultilevel"/>
    <w:tmpl w:val="8D5687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BB20927"/>
    <w:multiLevelType w:val="hybridMultilevel"/>
    <w:tmpl w:val="6652E23A"/>
    <w:lvl w:ilvl="0" w:tplc="8426454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2813528"/>
    <w:multiLevelType w:val="hybridMultilevel"/>
    <w:tmpl w:val="DCB81AF6"/>
    <w:lvl w:ilvl="0" w:tplc="DA20BCC8">
      <w:start w:val="1"/>
      <w:numFmt w:val="bullet"/>
      <w:lvlText w:val=""/>
      <w:lvlJc w:val="left"/>
      <w:pPr>
        <w:tabs>
          <w:tab w:val="num" w:pos="720"/>
        </w:tabs>
        <w:ind w:left="720" w:hanging="360"/>
      </w:pPr>
      <w:rPr>
        <w:rFonts w:ascii="Wingdings" w:hAnsi="Wingdings" w:hint="default"/>
      </w:rPr>
    </w:lvl>
    <w:lvl w:ilvl="1" w:tplc="BF6039FE" w:tentative="1">
      <w:start w:val="1"/>
      <w:numFmt w:val="bullet"/>
      <w:lvlText w:val=""/>
      <w:lvlJc w:val="left"/>
      <w:pPr>
        <w:tabs>
          <w:tab w:val="num" w:pos="1440"/>
        </w:tabs>
        <w:ind w:left="1440" w:hanging="360"/>
      </w:pPr>
      <w:rPr>
        <w:rFonts w:ascii="Wingdings" w:hAnsi="Wingdings" w:hint="default"/>
      </w:rPr>
    </w:lvl>
    <w:lvl w:ilvl="2" w:tplc="38D0FF14" w:tentative="1">
      <w:start w:val="1"/>
      <w:numFmt w:val="bullet"/>
      <w:lvlText w:val=""/>
      <w:lvlJc w:val="left"/>
      <w:pPr>
        <w:tabs>
          <w:tab w:val="num" w:pos="2160"/>
        </w:tabs>
        <w:ind w:left="2160" w:hanging="360"/>
      </w:pPr>
      <w:rPr>
        <w:rFonts w:ascii="Wingdings" w:hAnsi="Wingdings" w:hint="default"/>
      </w:rPr>
    </w:lvl>
    <w:lvl w:ilvl="3" w:tplc="5120AC52" w:tentative="1">
      <w:start w:val="1"/>
      <w:numFmt w:val="bullet"/>
      <w:lvlText w:val=""/>
      <w:lvlJc w:val="left"/>
      <w:pPr>
        <w:tabs>
          <w:tab w:val="num" w:pos="2880"/>
        </w:tabs>
        <w:ind w:left="2880" w:hanging="360"/>
      </w:pPr>
      <w:rPr>
        <w:rFonts w:ascii="Wingdings" w:hAnsi="Wingdings" w:hint="default"/>
      </w:rPr>
    </w:lvl>
    <w:lvl w:ilvl="4" w:tplc="49FA8702" w:tentative="1">
      <w:start w:val="1"/>
      <w:numFmt w:val="bullet"/>
      <w:lvlText w:val=""/>
      <w:lvlJc w:val="left"/>
      <w:pPr>
        <w:tabs>
          <w:tab w:val="num" w:pos="3600"/>
        </w:tabs>
        <w:ind w:left="3600" w:hanging="360"/>
      </w:pPr>
      <w:rPr>
        <w:rFonts w:ascii="Wingdings" w:hAnsi="Wingdings" w:hint="default"/>
      </w:rPr>
    </w:lvl>
    <w:lvl w:ilvl="5" w:tplc="DA942196" w:tentative="1">
      <w:start w:val="1"/>
      <w:numFmt w:val="bullet"/>
      <w:lvlText w:val=""/>
      <w:lvlJc w:val="left"/>
      <w:pPr>
        <w:tabs>
          <w:tab w:val="num" w:pos="4320"/>
        </w:tabs>
        <w:ind w:left="4320" w:hanging="360"/>
      </w:pPr>
      <w:rPr>
        <w:rFonts w:ascii="Wingdings" w:hAnsi="Wingdings" w:hint="default"/>
      </w:rPr>
    </w:lvl>
    <w:lvl w:ilvl="6" w:tplc="E0BE6FF4" w:tentative="1">
      <w:start w:val="1"/>
      <w:numFmt w:val="bullet"/>
      <w:lvlText w:val=""/>
      <w:lvlJc w:val="left"/>
      <w:pPr>
        <w:tabs>
          <w:tab w:val="num" w:pos="5040"/>
        </w:tabs>
        <w:ind w:left="5040" w:hanging="360"/>
      </w:pPr>
      <w:rPr>
        <w:rFonts w:ascii="Wingdings" w:hAnsi="Wingdings" w:hint="default"/>
      </w:rPr>
    </w:lvl>
    <w:lvl w:ilvl="7" w:tplc="80CA431E" w:tentative="1">
      <w:start w:val="1"/>
      <w:numFmt w:val="bullet"/>
      <w:lvlText w:val=""/>
      <w:lvlJc w:val="left"/>
      <w:pPr>
        <w:tabs>
          <w:tab w:val="num" w:pos="5760"/>
        </w:tabs>
        <w:ind w:left="5760" w:hanging="360"/>
      </w:pPr>
      <w:rPr>
        <w:rFonts w:ascii="Wingdings" w:hAnsi="Wingdings" w:hint="default"/>
      </w:rPr>
    </w:lvl>
    <w:lvl w:ilvl="8" w:tplc="4EFC8F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6C2780"/>
    <w:multiLevelType w:val="hybridMultilevel"/>
    <w:tmpl w:val="01CC63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8124B3"/>
    <w:multiLevelType w:val="hybridMultilevel"/>
    <w:tmpl w:val="3AA416C8"/>
    <w:lvl w:ilvl="0" w:tplc="3B7C73D6">
      <w:start w:val="1"/>
      <w:numFmt w:val="bullet"/>
      <w:lvlText w:val=""/>
      <w:lvlJc w:val="left"/>
      <w:pPr>
        <w:tabs>
          <w:tab w:val="num" w:pos="720"/>
        </w:tabs>
        <w:ind w:left="720" w:hanging="360"/>
      </w:pPr>
      <w:rPr>
        <w:rFonts w:ascii="Wingdings" w:hAnsi="Wingdings" w:hint="default"/>
      </w:rPr>
    </w:lvl>
    <w:lvl w:ilvl="1" w:tplc="3A1C8E9C" w:tentative="1">
      <w:start w:val="1"/>
      <w:numFmt w:val="bullet"/>
      <w:lvlText w:val=""/>
      <w:lvlJc w:val="left"/>
      <w:pPr>
        <w:tabs>
          <w:tab w:val="num" w:pos="1440"/>
        </w:tabs>
        <w:ind w:left="1440" w:hanging="360"/>
      </w:pPr>
      <w:rPr>
        <w:rFonts w:ascii="Wingdings" w:hAnsi="Wingdings" w:hint="default"/>
      </w:rPr>
    </w:lvl>
    <w:lvl w:ilvl="2" w:tplc="80A49CF0" w:tentative="1">
      <w:start w:val="1"/>
      <w:numFmt w:val="bullet"/>
      <w:lvlText w:val=""/>
      <w:lvlJc w:val="left"/>
      <w:pPr>
        <w:tabs>
          <w:tab w:val="num" w:pos="2160"/>
        </w:tabs>
        <w:ind w:left="2160" w:hanging="360"/>
      </w:pPr>
      <w:rPr>
        <w:rFonts w:ascii="Wingdings" w:hAnsi="Wingdings" w:hint="default"/>
      </w:rPr>
    </w:lvl>
    <w:lvl w:ilvl="3" w:tplc="4700548C" w:tentative="1">
      <w:start w:val="1"/>
      <w:numFmt w:val="bullet"/>
      <w:lvlText w:val=""/>
      <w:lvlJc w:val="left"/>
      <w:pPr>
        <w:tabs>
          <w:tab w:val="num" w:pos="2880"/>
        </w:tabs>
        <w:ind w:left="2880" w:hanging="360"/>
      </w:pPr>
      <w:rPr>
        <w:rFonts w:ascii="Wingdings" w:hAnsi="Wingdings" w:hint="default"/>
      </w:rPr>
    </w:lvl>
    <w:lvl w:ilvl="4" w:tplc="E1B6C910" w:tentative="1">
      <w:start w:val="1"/>
      <w:numFmt w:val="bullet"/>
      <w:lvlText w:val=""/>
      <w:lvlJc w:val="left"/>
      <w:pPr>
        <w:tabs>
          <w:tab w:val="num" w:pos="3600"/>
        </w:tabs>
        <w:ind w:left="3600" w:hanging="360"/>
      </w:pPr>
      <w:rPr>
        <w:rFonts w:ascii="Wingdings" w:hAnsi="Wingdings" w:hint="default"/>
      </w:rPr>
    </w:lvl>
    <w:lvl w:ilvl="5" w:tplc="1DA45EAA" w:tentative="1">
      <w:start w:val="1"/>
      <w:numFmt w:val="bullet"/>
      <w:lvlText w:val=""/>
      <w:lvlJc w:val="left"/>
      <w:pPr>
        <w:tabs>
          <w:tab w:val="num" w:pos="4320"/>
        </w:tabs>
        <w:ind w:left="4320" w:hanging="360"/>
      </w:pPr>
      <w:rPr>
        <w:rFonts w:ascii="Wingdings" w:hAnsi="Wingdings" w:hint="default"/>
      </w:rPr>
    </w:lvl>
    <w:lvl w:ilvl="6" w:tplc="3BBC0C6A" w:tentative="1">
      <w:start w:val="1"/>
      <w:numFmt w:val="bullet"/>
      <w:lvlText w:val=""/>
      <w:lvlJc w:val="left"/>
      <w:pPr>
        <w:tabs>
          <w:tab w:val="num" w:pos="5040"/>
        </w:tabs>
        <w:ind w:left="5040" w:hanging="360"/>
      </w:pPr>
      <w:rPr>
        <w:rFonts w:ascii="Wingdings" w:hAnsi="Wingdings" w:hint="default"/>
      </w:rPr>
    </w:lvl>
    <w:lvl w:ilvl="7" w:tplc="9F482B88" w:tentative="1">
      <w:start w:val="1"/>
      <w:numFmt w:val="bullet"/>
      <w:lvlText w:val=""/>
      <w:lvlJc w:val="left"/>
      <w:pPr>
        <w:tabs>
          <w:tab w:val="num" w:pos="5760"/>
        </w:tabs>
        <w:ind w:left="5760" w:hanging="360"/>
      </w:pPr>
      <w:rPr>
        <w:rFonts w:ascii="Wingdings" w:hAnsi="Wingdings" w:hint="default"/>
      </w:rPr>
    </w:lvl>
    <w:lvl w:ilvl="8" w:tplc="7A127C7E"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11"/>
  </w:num>
  <w:num w:numId="4">
    <w:abstractNumId w:val="13"/>
  </w:num>
  <w:num w:numId="5">
    <w:abstractNumId w:val="15"/>
  </w:num>
  <w:num w:numId="6">
    <w:abstractNumId w:val="1"/>
  </w:num>
  <w:num w:numId="7">
    <w:abstractNumId w:val="0"/>
  </w:num>
  <w:num w:numId="8">
    <w:abstractNumId w:val="5"/>
  </w:num>
  <w:num w:numId="9">
    <w:abstractNumId w:val="4"/>
  </w:num>
  <w:num w:numId="10">
    <w:abstractNumId w:val="12"/>
  </w:num>
  <w:num w:numId="11">
    <w:abstractNumId w:val="6"/>
  </w:num>
  <w:num w:numId="12">
    <w:abstractNumId w:val="10"/>
  </w:num>
  <w:num w:numId="13">
    <w:abstractNumId w:val="8"/>
  </w:num>
  <w:num w:numId="14">
    <w:abstractNumId w:val="3"/>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968DF-A8C1-4758-9968-BE8C7223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EndNoteBibliographyTitle">
    <w:name w:val="EndNote Bibliography Title"/>
    <w:basedOn w:val="Standard"/>
    <w:link w:val="EndNoteBibliographyTitleChar"/>
    <w:pPr>
      <w:spacing w:after="0"/>
      <w:jc w:val="center"/>
    </w:pPr>
    <w:rPr>
      <w:rFonts w:ascii="Calibri" w:hAnsi="Calibri" w:cs="Calibri"/>
      <w:noProof/>
      <w:sz w:val="20"/>
      <w:lang w:val="en-US"/>
    </w:rPr>
  </w:style>
  <w:style w:type="character" w:customStyle="1" w:styleId="EndNoteBibliographyTitleChar">
    <w:name w:val="EndNote Bibliography Title Char"/>
    <w:basedOn w:val="Absatz-Standardschriftart"/>
    <w:link w:val="EndNoteBibliographyTitle"/>
    <w:rPr>
      <w:rFonts w:ascii="Calibri" w:hAnsi="Calibri" w:cs="Calibri"/>
      <w:noProof/>
      <w:sz w:val="20"/>
      <w:lang w:val="en-US"/>
    </w:rPr>
  </w:style>
  <w:style w:type="paragraph" w:customStyle="1" w:styleId="EndNoteBibliography">
    <w:name w:val="EndNote Bibliography"/>
    <w:basedOn w:val="Standard"/>
    <w:link w:val="EndNoteBibliographyChar"/>
    <w:pPr>
      <w:spacing w:line="240" w:lineRule="auto"/>
    </w:pPr>
    <w:rPr>
      <w:rFonts w:ascii="Calibri" w:hAnsi="Calibri" w:cs="Calibri"/>
      <w:noProof/>
      <w:sz w:val="20"/>
      <w:lang w:val="en-US"/>
    </w:rPr>
  </w:style>
  <w:style w:type="character" w:customStyle="1" w:styleId="EndNoteBibliographyChar">
    <w:name w:val="EndNote Bibliography Char"/>
    <w:basedOn w:val="Absatz-Standardschriftart"/>
    <w:link w:val="EndNoteBibliography"/>
    <w:rPr>
      <w:rFonts w:ascii="Calibri" w:hAnsi="Calibri" w:cs="Calibri"/>
      <w:noProof/>
      <w:sz w:val="20"/>
      <w:lang w:val="en-US"/>
    </w:rPr>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pPr>
      <w:spacing w:after="0" w:line="240" w:lineRule="auto"/>
    </w:pPr>
  </w:style>
  <w:style w:type="character" w:styleId="Fett">
    <w:name w:val="Strong"/>
    <w:basedOn w:val="Absatz-Standardschriftart"/>
    <w:uiPriority w:val="22"/>
    <w:qFormat/>
    <w:rPr>
      <w:b/>
      <w:bCs/>
    </w:rPr>
  </w:style>
  <w:style w:type="character" w:styleId="Zeilennummer">
    <w:name w:val="line number"/>
    <w:basedOn w:val="Absatz-Standardschriftart"/>
    <w:uiPriority w:val="99"/>
    <w:semiHidden/>
    <w:unhideWhenUsed/>
  </w:style>
  <w:style w:type="paragraph" w:styleId="Beschriftung">
    <w:name w:val="caption"/>
    <w:basedOn w:val="Standard"/>
    <w:next w:val="Standard"/>
    <w:uiPriority w:val="35"/>
    <w:unhideWhenUsed/>
    <w:qFormat/>
    <w:pPr>
      <w:spacing w:line="240" w:lineRule="auto"/>
    </w:pPr>
    <w:rPr>
      <w:b/>
      <w:bCs/>
      <w:color w:val="4F81BD" w:themeColor="accent1"/>
      <w:sz w:val="18"/>
      <w:szCs w:val="18"/>
    </w:rPr>
  </w:style>
  <w:style w:type="character" w:customStyle="1" w:styleId="CommentTextChar">
    <w:name w:val="Comment Text Char"/>
    <w:basedOn w:val="Absatz-Standardschriftart"/>
    <w:uiPriority w:val="99"/>
    <w:semiHidden/>
    <w:rPr>
      <w:sz w:val="20"/>
      <w:szCs w:val="2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customStyle="1" w:styleId="PlainTable21">
    <w:name w:val="Plain Table 21"/>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Words>
  <Characters>1047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Universitaetsklinikum Tuebingen</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Tina Ganzenmüller</dc:creator>
  <cp:keywords/>
  <dc:description/>
  <cp:lastModifiedBy>Dr. Tina Ganzenmüller</cp:lastModifiedBy>
  <cp:revision>1</cp:revision>
  <dcterms:created xsi:type="dcterms:W3CDTF">2021-06-20T10:05:00Z</dcterms:created>
  <dcterms:modified xsi:type="dcterms:W3CDTF">2021-06-20T10:08:00Z</dcterms:modified>
</cp:coreProperties>
</file>