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4BE6" w14:textId="77777777" w:rsidR="008D4855" w:rsidRPr="00093B5A" w:rsidRDefault="008D4855" w:rsidP="008D4855">
      <w:pPr>
        <w:jc w:val="both"/>
        <w:rPr>
          <w:rFonts w:ascii="Aptos Display" w:hAnsi="Aptos Display"/>
          <w:i/>
          <w:color w:val="385623" w:themeColor="accent6" w:themeShade="80"/>
          <w:lang w:val="en-GB"/>
        </w:rPr>
      </w:pPr>
      <w:r w:rsidRPr="00093B5A">
        <w:rPr>
          <w:rFonts w:ascii="Aptos Display" w:hAnsi="Aptos Display"/>
          <w:i/>
          <w:color w:val="385623" w:themeColor="accent6" w:themeShade="80"/>
          <w:lang w:val="en-GB"/>
        </w:rPr>
        <w:t xml:space="preserve">Supplementary Figure 1. Gating strategy used to calculate percentage of infection in HeLa cells transfected with miRNA mimics. This is a representative experiment of HeLa cells transfected with miR-155-5p mimic following infection with DENV-1 at MOI 1. Panels above represent infected HeLa cells while panels below represent an uninfected sample. Gates starting from parental plot (left) show (1) Total events (SSC-A vs FSC-A) -&gt; (2) Singlets (FSC-H vs FSC-A) -&gt; (3) Alive cells (FSC-A vs </w:t>
      </w:r>
      <w:proofErr w:type="spellStart"/>
      <w:r w:rsidRPr="00093B5A">
        <w:rPr>
          <w:rFonts w:ascii="Aptos Display" w:hAnsi="Aptos Display"/>
          <w:i/>
          <w:color w:val="385623" w:themeColor="accent6" w:themeShade="80"/>
          <w:lang w:val="en-GB"/>
        </w:rPr>
        <w:t>Vioblue</w:t>
      </w:r>
      <w:proofErr w:type="spellEnd"/>
      <w:r w:rsidRPr="00093B5A">
        <w:rPr>
          <w:rFonts w:ascii="Aptos Display" w:hAnsi="Aptos Display"/>
          <w:i/>
          <w:color w:val="385623" w:themeColor="accent6" w:themeShade="80"/>
          <w:lang w:val="en-GB"/>
        </w:rPr>
        <w:t>-A) -&gt; (4) Alexa-4</w:t>
      </w:r>
      <w:r>
        <w:rPr>
          <w:rFonts w:ascii="Aptos Display" w:hAnsi="Aptos Display"/>
          <w:i/>
          <w:color w:val="385623" w:themeColor="accent6" w:themeShade="80"/>
          <w:lang w:val="en-GB"/>
        </w:rPr>
        <w:t>8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 xml:space="preserve">8 positive cells (FSC-A vs FITC-A). Final </w:t>
      </w:r>
      <w:proofErr w:type="gramStart"/>
      <w:r w:rsidRPr="00093B5A">
        <w:rPr>
          <w:rFonts w:ascii="Aptos Display" w:hAnsi="Aptos Display"/>
          <w:i/>
          <w:color w:val="385623" w:themeColor="accent6" w:themeShade="80"/>
          <w:lang w:val="en-GB"/>
        </w:rPr>
        <w:t>plot</w:t>
      </w:r>
      <w:proofErr w:type="gramEnd"/>
      <w:r w:rsidRPr="00093B5A">
        <w:rPr>
          <w:rFonts w:ascii="Aptos Display" w:hAnsi="Aptos Display"/>
          <w:i/>
          <w:color w:val="385623" w:themeColor="accent6" w:themeShade="80"/>
          <w:lang w:val="en-GB"/>
        </w:rPr>
        <w:t xml:space="preserve"> show histogram for FITC-A channel, showing the intensity and threshold </w:t>
      </w:r>
      <w:r>
        <w:rPr>
          <w:rFonts w:ascii="Aptos Display" w:hAnsi="Aptos Display"/>
          <w:i/>
          <w:color w:val="385623" w:themeColor="accent6" w:themeShade="80"/>
          <w:lang w:val="en-GB"/>
        </w:rPr>
        <w:t>e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>stablished for positivity of 4G2+</w:t>
      </w:r>
      <w:r>
        <w:rPr>
          <w:rFonts w:ascii="Aptos Display" w:hAnsi="Aptos Display"/>
          <w:i/>
          <w:color w:val="385623" w:themeColor="accent6" w:themeShade="80"/>
          <w:lang w:val="en-GB"/>
        </w:rPr>
        <w:t xml:space="preserve"> 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>goat</w:t>
      </w:r>
      <w:r>
        <w:rPr>
          <w:rFonts w:ascii="Aptos Display" w:hAnsi="Aptos Display"/>
          <w:i/>
          <w:color w:val="385623" w:themeColor="accent6" w:themeShade="80"/>
          <w:lang w:val="en-GB"/>
        </w:rPr>
        <w:t xml:space="preserve"> anti mouse 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>Alexa</w:t>
      </w:r>
      <w:r>
        <w:rPr>
          <w:rFonts w:ascii="Aptos Display" w:hAnsi="Aptos Display"/>
          <w:i/>
          <w:color w:val="385623" w:themeColor="accent6" w:themeShade="80"/>
          <w:lang w:val="en-GB"/>
        </w:rPr>
        <w:t>-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>4</w:t>
      </w:r>
      <w:r>
        <w:rPr>
          <w:rFonts w:ascii="Aptos Display" w:hAnsi="Aptos Display"/>
          <w:i/>
          <w:color w:val="385623" w:themeColor="accent6" w:themeShade="80"/>
          <w:lang w:val="en-GB"/>
        </w:rPr>
        <w:t>8</w:t>
      </w:r>
      <w:r w:rsidRPr="00093B5A">
        <w:rPr>
          <w:rFonts w:ascii="Aptos Display" w:hAnsi="Aptos Display"/>
          <w:i/>
          <w:color w:val="385623" w:themeColor="accent6" w:themeShade="80"/>
          <w:lang w:val="en-GB"/>
        </w:rPr>
        <w:t>8 antibody.</w:t>
      </w:r>
    </w:p>
    <w:p w14:paraId="78DCC264" w14:textId="77777777" w:rsidR="00FA2ED8" w:rsidRPr="00193AC4" w:rsidRDefault="00FA2ED8">
      <w:pPr>
        <w:rPr>
          <w:lang w:val="en-GB"/>
        </w:rPr>
      </w:pPr>
    </w:p>
    <w:sectPr w:rsidR="00FA2ED8" w:rsidRPr="00193A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C4"/>
    <w:rsid w:val="00193AC4"/>
    <w:rsid w:val="0039019D"/>
    <w:rsid w:val="008D4855"/>
    <w:rsid w:val="00FA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742A5"/>
  <w15:chartTrackingRefBased/>
  <w15:docId w15:val="{78706535-22C7-44F0-AA86-6A4D4D52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AC4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597</Characters>
  <Application>Microsoft Office Word</Application>
  <DocSecurity>0</DocSecurity>
  <Lines>4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AYALA, RUBEN ANTONIO (FCRB)</dc:creator>
  <cp:keywords/>
  <dc:description/>
  <cp:lastModifiedBy>Isabelle  CASADEMONT</cp:lastModifiedBy>
  <cp:revision>2</cp:revision>
  <dcterms:created xsi:type="dcterms:W3CDTF">2025-01-17T11:20:00Z</dcterms:created>
  <dcterms:modified xsi:type="dcterms:W3CDTF">2025-01-17T14:35:00Z</dcterms:modified>
</cp:coreProperties>
</file>