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1605B" w:rsidRPr="006E30E6" w:rsidTr="00A461C9">
        <w:tc>
          <w:tcPr>
            <w:tcW w:w="9062" w:type="dxa"/>
            <w:gridSpan w:val="2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Supplemental </w:t>
            </w:r>
            <w:r w:rsidRPr="006E30E6">
              <w:rPr>
                <w:b/>
                <w:sz w:val="20"/>
                <w:szCs w:val="20"/>
              </w:rPr>
              <w:t xml:space="preserve">Table 1. </w:t>
            </w:r>
            <w:r w:rsidRPr="006E30E6">
              <w:rPr>
                <w:sz w:val="20"/>
                <w:szCs w:val="20"/>
              </w:rPr>
              <w:t>Variables assessed and corresponding definitions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b/>
                <w:sz w:val="20"/>
                <w:szCs w:val="20"/>
              </w:rPr>
            </w:pPr>
            <w:r w:rsidRPr="006E30E6">
              <w:rPr>
                <w:b/>
                <w:sz w:val="20"/>
                <w:szCs w:val="20"/>
              </w:rPr>
              <w:t>Demographical variables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b/>
                <w:sz w:val="20"/>
                <w:szCs w:val="20"/>
              </w:rPr>
            </w:pPr>
            <w:r w:rsidRPr="006E30E6">
              <w:rPr>
                <w:b/>
                <w:sz w:val="20"/>
                <w:szCs w:val="20"/>
              </w:rPr>
              <w:t xml:space="preserve">Definitions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Gestational age</w:t>
            </w:r>
          </w:p>
        </w:tc>
        <w:tc>
          <w:tcPr>
            <w:tcW w:w="5948" w:type="dxa"/>
            <w:vMerge w:val="restart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Birthweight</w:t>
            </w:r>
          </w:p>
        </w:tc>
        <w:tc>
          <w:tcPr>
            <w:tcW w:w="5948" w:type="dxa"/>
            <w:vMerge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Gender</w:t>
            </w:r>
          </w:p>
        </w:tc>
        <w:tc>
          <w:tcPr>
            <w:tcW w:w="5948" w:type="dxa"/>
            <w:vMerge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Delivery mode</w:t>
            </w:r>
          </w:p>
        </w:tc>
        <w:tc>
          <w:tcPr>
            <w:tcW w:w="5948" w:type="dxa"/>
            <w:vMerge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Multiple birth</w:t>
            </w:r>
          </w:p>
        </w:tc>
        <w:tc>
          <w:tcPr>
            <w:tcW w:w="5948" w:type="dxa"/>
            <w:vMerge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Apgar score </w:t>
            </w:r>
          </w:p>
        </w:tc>
        <w:tc>
          <w:tcPr>
            <w:tcW w:w="5948" w:type="dxa"/>
            <w:vMerge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Premature rupture of membranes 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Rupture of membranes &gt;24 hours prior delivery. </w:t>
            </w:r>
          </w:p>
        </w:tc>
      </w:tr>
      <w:tr w:rsidR="0041605B" w:rsidRPr="006E30E6" w:rsidTr="00A461C9">
        <w:tc>
          <w:tcPr>
            <w:tcW w:w="9062" w:type="dxa"/>
            <w:gridSpan w:val="2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b/>
                <w:sz w:val="20"/>
                <w:szCs w:val="20"/>
              </w:rPr>
              <w:t>Clinical variables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Patent Ductus Arteriosus 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Hemodynamically significant PDA, defined as medical treatment with ibuprofen.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 onset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 life on which the symptoms of NEC started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Late onset sepsis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Episode of infection &gt;72 hours after birth and </w:t>
            </w:r>
            <w:r>
              <w:rPr>
                <w:sz w:val="20"/>
                <w:szCs w:val="20"/>
              </w:rPr>
              <w:t xml:space="preserve">within </w:t>
            </w:r>
            <w:r w:rsidRPr="006E30E6">
              <w:rPr>
                <w:sz w:val="20"/>
                <w:szCs w:val="20"/>
              </w:rPr>
              <w:t>72 hours prior NEC onset, meeting Vermont Oxford criteria for sepsis: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(1) Clinical symptoms of systemic infection 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(2) Isolation of a pathogen from blood culture 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(3) Antibiotic treatment of ≥ 5 days targeting the causative pathogen.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Antibiotics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(1) Cumulative number of days antibiotics administered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(2) Number of days antibiotics administered directly post-partum: (a) 0 days, (b) ≤3 days, (c) &gt; 3 days.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Mechanical ventilation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Ventilation requiring intubation. Total cumulative number of days were noted.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Erythrocytes transfusion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Total cumulative number of days a RBC transfusion was administered.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Parenteral feeding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Cumulative number of days any nutritional formula was parenterally administered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Enteral feeding practice 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(1) breast milk fed, daily &gt; 80% breast milk, including donor milk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(2) formula fed, daily &gt; 50% formula milk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(3) combination of breast and formula milk. 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 xml:space="preserve">Full enteral feeding: </w:t>
            </w:r>
            <w:r>
              <w:rPr>
                <w:sz w:val="20"/>
                <w:szCs w:val="20"/>
              </w:rPr>
              <w:t xml:space="preserve">two consecutive days without parenteral feeding or </w:t>
            </w:r>
            <w:r w:rsidRPr="006E30E6">
              <w:rPr>
                <w:sz w:val="20"/>
                <w:szCs w:val="20"/>
              </w:rPr>
              <w:t xml:space="preserve">enteral feeding volume of </w:t>
            </w:r>
            <w:r>
              <w:rPr>
                <w:sz w:val="20"/>
                <w:szCs w:val="20"/>
              </w:rPr>
              <w:t>1</w:t>
            </w:r>
            <w:r w:rsidRPr="006E30E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r w:rsidRPr="006E30E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L</w:t>
            </w:r>
            <w:r w:rsidRPr="006E30E6">
              <w:rPr>
                <w:sz w:val="20"/>
                <w:szCs w:val="20"/>
              </w:rPr>
              <w:t xml:space="preserve">/kg/day. </w:t>
            </w:r>
          </w:p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Increase or decrease of daily feeding volume prior NEC onset was noted relative to the neonates birth weight (mL/kg/day).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Laboratory tests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Most deviating value of </w:t>
            </w:r>
            <w:r w:rsidRPr="006E30E6">
              <w:rPr>
                <w:sz w:val="20"/>
                <w:szCs w:val="20"/>
              </w:rPr>
              <w:t>white blood cell count, hemoglobin</w:t>
            </w:r>
            <w:r>
              <w:rPr>
                <w:sz w:val="20"/>
                <w:szCs w:val="20"/>
              </w:rPr>
              <w:t xml:space="preserve">, platelet count, CRP and </w:t>
            </w:r>
            <w:r w:rsidRPr="006E30E6">
              <w:rPr>
                <w:sz w:val="20"/>
                <w:szCs w:val="20"/>
              </w:rPr>
              <w:t>arterial blood gas parameters</w:t>
            </w:r>
            <w:r>
              <w:rPr>
                <w:sz w:val="20"/>
                <w:szCs w:val="20"/>
              </w:rPr>
              <w:t xml:space="preserve">, within three days prior clinical onset. </w:t>
            </w:r>
          </w:p>
        </w:tc>
      </w:tr>
      <w:tr w:rsidR="0041605B" w:rsidRPr="006E30E6" w:rsidTr="00A461C9">
        <w:tc>
          <w:tcPr>
            <w:tcW w:w="3114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Mortality</w:t>
            </w:r>
          </w:p>
        </w:tc>
        <w:tc>
          <w:tcPr>
            <w:tcW w:w="5948" w:type="dxa"/>
          </w:tcPr>
          <w:p w:rsidR="0041605B" w:rsidRPr="006E30E6" w:rsidRDefault="0041605B" w:rsidP="00A461C9">
            <w:pPr>
              <w:rPr>
                <w:sz w:val="20"/>
                <w:szCs w:val="20"/>
              </w:rPr>
            </w:pPr>
            <w:r w:rsidRPr="006E30E6">
              <w:rPr>
                <w:sz w:val="20"/>
                <w:szCs w:val="20"/>
              </w:rPr>
              <w:t>death from any cause in the first 120 days of life.</w:t>
            </w:r>
          </w:p>
        </w:tc>
      </w:tr>
    </w:tbl>
    <w:p w:rsidR="0041605B" w:rsidRDefault="0041605B" w:rsidP="0041605B">
      <w:pPr>
        <w:rPr>
          <w:b/>
        </w:rPr>
      </w:pPr>
      <w:r w:rsidRPr="004D177D">
        <w:rPr>
          <w:b/>
        </w:rPr>
        <w:t>Abbreviations</w:t>
      </w:r>
      <w:r>
        <w:rPr>
          <w:b/>
        </w:rPr>
        <w:t xml:space="preserve"> </w:t>
      </w:r>
      <w:r w:rsidRPr="00AA61F4">
        <w:t>PDA, patent ductus arterio</w:t>
      </w:r>
      <w:r>
        <w:t>sus; NEC, necrotizing enterocolitis; RBC, red blood cells</w:t>
      </w:r>
    </w:p>
    <w:p w:rsidR="005A4569" w:rsidRDefault="0041605B" w:rsidP="0041605B">
      <w:r>
        <w:rPr>
          <w:b/>
        </w:rPr>
        <w:br w:type="page"/>
      </w:r>
      <w:bookmarkStart w:id="0" w:name="_GoBack"/>
      <w:bookmarkEnd w:id="0"/>
    </w:p>
    <w:sectPr w:rsidR="005A4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5B"/>
    <w:rsid w:val="00152F2C"/>
    <w:rsid w:val="00364F0A"/>
    <w:rsid w:val="0041605B"/>
    <w:rsid w:val="00621C78"/>
    <w:rsid w:val="006D239A"/>
    <w:rsid w:val="00D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88410-0B1F-4427-BBBB-CEE8A2C6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605B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160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Manouni El Hassani, S. (Sofia)</dc:creator>
  <cp:keywords/>
  <dc:description/>
  <cp:lastModifiedBy>El Manouni El Hassani, S. (Sofia)</cp:lastModifiedBy>
  <cp:revision>1</cp:revision>
  <dcterms:created xsi:type="dcterms:W3CDTF">2020-09-27T11:04:00Z</dcterms:created>
  <dcterms:modified xsi:type="dcterms:W3CDTF">2020-09-27T11:06:00Z</dcterms:modified>
</cp:coreProperties>
</file>