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3A8" w:rsidRPr="000818BA" w:rsidRDefault="00580240" w:rsidP="000818BA">
      <w:pPr>
        <w:pStyle w:val="Descripcin"/>
        <w:keepNext/>
        <w:rPr>
          <w:rFonts w:eastAsia="Calibri"/>
          <w:i w:val="0"/>
          <w:color w:val="000000"/>
          <w:sz w:val="20"/>
          <w:szCs w:val="20"/>
        </w:rPr>
      </w:pPr>
      <w:r>
        <w:rPr>
          <w:rFonts w:eastAsia="Calibri"/>
          <w:b/>
          <w:i w:val="0"/>
          <w:color w:val="000000"/>
          <w:sz w:val="20"/>
          <w:szCs w:val="20"/>
        </w:rPr>
        <w:t>Table S2</w:t>
      </w:r>
      <w:r w:rsidR="006B058A" w:rsidRPr="007773A8">
        <w:rPr>
          <w:rFonts w:eastAsia="Calibri"/>
          <w:b/>
          <w:i w:val="0"/>
          <w:color w:val="000000"/>
          <w:sz w:val="20"/>
          <w:szCs w:val="20"/>
        </w:rPr>
        <w:t>.</w:t>
      </w:r>
      <w:r w:rsidR="006B058A" w:rsidRPr="007773A8">
        <w:rPr>
          <w:rFonts w:eastAsia="Calibri"/>
          <w:i w:val="0"/>
          <w:color w:val="000000"/>
          <w:sz w:val="20"/>
          <w:szCs w:val="20"/>
        </w:rPr>
        <w:t xml:space="preserve"> Prevalence of cardiometabolic risk factors according to changes in general and abdominal obesity at 4, 6 and 9 years of age.</w:t>
      </w:r>
    </w:p>
    <w:tbl>
      <w:tblPr>
        <w:tblStyle w:val="Tablanormal1"/>
        <w:tblpPr w:leftFromText="141" w:rightFromText="141" w:vertAnchor="text" w:horzAnchor="margin" w:tblpXSpec="center" w:tblpY="12"/>
        <w:tblOverlap w:val="never"/>
        <w:tblW w:w="11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417"/>
        <w:gridCol w:w="1417"/>
        <w:gridCol w:w="1417"/>
        <w:gridCol w:w="1419"/>
        <w:gridCol w:w="1419"/>
        <w:gridCol w:w="861"/>
      </w:tblGrid>
      <w:tr w:rsidR="006B058A" w:rsidRPr="007773A8" w:rsidTr="00517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General obesity</w:t>
            </w:r>
            <w:r w:rsidRPr="007773A8">
              <w:rPr>
                <w:rFonts w:eastAsia="Calibri"/>
                <w:color w:val="000000"/>
                <w:sz w:val="18"/>
                <w:vertAlign w:val="superscript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Total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vertAlign w:val="superscript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Stable without obesity</w:t>
            </w:r>
            <w:r w:rsidRPr="007773A8">
              <w:rPr>
                <w:rFonts w:eastAsia="Calibri"/>
                <w:color w:val="000000"/>
                <w:sz w:val="18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</w:t>
            </w:r>
            <w:r w:rsidR="00B46C1D">
              <w:rPr>
                <w:rFonts w:eastAsia="Calibri"/>
                <w:color w:val="000000"/>
                <w:sz w:val="18"/>
              </w:rPr>
              <w:t>Remitting</w:t>
            </w:r>
            <w:r w:rsidRPr="007773A8">
              <w:rPr>
                <w:rFonts w:eastAsia="Calibri"/>
                <w:color w:val="000000"/>
                <w:sz w:val="18"/>
              </w:rPr>
              <w:t xml:space="preserve"> obesity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Incident obesity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Stable with obesity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p value</w:t>
            </w: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Merge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sz w:val="18"/>
                <w:szCs w:val="18"/>
              </w:rPr>
            </w:pPr>
          </w:p>
        </w:tc>
        <w:tc>
          <w:tcPr>
            <w:tcW w:w="70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B37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Prevalence (CI</w:t>
            </w:r>
            <w:r w:rsidR="006B058A" w:rsidRPr="007773A8">
              <w:rPr>
                <w:sz w:val="18"/>
                <w:szCs w:val="18"/>
              </w:rPr>
              <w:t xml:space="preserve"> 95%)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B058A" w:rsidRPr="007773A8" w:rsidTr="005176E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rPr>
                <w:b w:val="0"/>
                <w:sz w:val="18"/>
                <w:szCs w:val="18"/>
              </w:rPr>
            </w:pPr>
            <w:r w:rsidRPr="007773A8">
              <w:rPr>
                <w:b w:val="0"/>
                <w:sz w:val="18"/>
                <w:szCs w:val="18"/>
              </w:rPr>
              <w:t>Lipid profile (N=1,344)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High total cholesterol (mg/dL)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9.2 (7.7–10.8)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8.8 (7.2–10.6)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16.7 (6.1–38.3)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11.7 (7.6–17.5)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5.5 (1.7–15.9)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0.256</w:t>
            </w:r>
          </w:p>
        </w:tc>
      </w:tr>
      <w:tr w:rsidR="006B058A" w:rsidRPr="007773A8" w:rsidTr="005176E6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Low HDL cholesterol (mg/dL)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3.9 (3.0–5.1)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2.7 (1.8–3.8)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B058A" w:rsidRPr="007773A8" w:rsidRDefault="00FF0DA1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 (0.5–26.5</w:t>
            </w:r>
            <w:r w:rsidR="006B058A" w:rsidRPr="007773A8">
              <w:rPr>
                <w:sz w:val="18"/>
                <w:szCs w:val="18"/>
              </w:rPr>
              <w:t>)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8.2 (4.9–13.4)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16.4 (8.6–28.9)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&lt;0.001</w:t>
            </w: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Non-HDL cholesterol (mg/dL)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5.2 (4.1–6.5)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4.6 (3.5–6.0)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12.5 (3.8–33.9)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8.8 (5.3–14.1)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3.6 (0.9–13.8)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0.043</w:t>
            </w:r>
          </w:p>
        </w:tc>
      </w:tr>
      <w:tr w:rsidR="006B058A" w:rsidRPr="007773A8" w:rsidTr="005176E6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High LDL cholesterol (mg/dL)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5.0 (3.9–6.3)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5.0 (3.9–6.5)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8.3 (1.9–29.5)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5.8 (3.2–10.6)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-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0.293</w:t>
            </w: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High triglycerides (mg/dL)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10.9 (9.3–12.6)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7.1 (5.7–8.8)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16.7 (6.1–38.3)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26.9 (20.7–34.1)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32.7 (21.5–46.4)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&lt;0.001</w:t>
            </w:r>
          </w:p>
        </w:tc>
      </w:tr>
      <w:tr w:rsidR="006B058A" w:rsidRPr="007773A8" w:rsidTr="005176E6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 xml:space="preserve"> Glycemic profile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Altered baseline blood glucose (N = 1,244)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1.5 (1.0–2.3)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1.3 (0.8–2.2)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3.5 (1.6–7.6)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0.099</w:t>
            </w:r>
          </w:p>
        </w:tc>
      </w:tr>
      <w:tr w:rsidR="006B058A" w:rsidRPr="007773A8" w:rsidTr="005176E6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High glycated hemoglobin (N = 1,282)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3.3 (2.4–4.4)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2.6 (1.8–3.7)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7158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4.3 (0.5–2</w:t>
            </w:r>
            <w:r w:rsidR="007158A9">
              <w:rPr>
                <w:sz w:val="18"/>
                <w:szCs w:val="18"/>
              </w:rPr>
              <w:t>7.5</w:t>
            </w:r>
            <w:r w:rsidRPr="007773A8">
              <w:rPr>
                <w:sz w:val="18"/>
                <w:szCs w:val="18"/>
              </w:rPr>
              <w:t>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6.2 (3.3–11.1)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8.0 (3.0–19.9)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0.023</w:t>
            </w: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b w:val="0"/>
                <w:sz w:val="18"/>
                <w:szCs w:val="18"/>
              </w:rPr>
              <w:t>High insulin (µU/ml) (N=1,314)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7.4 (6.1–8.9)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3.5 (2.5–4.7)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4.2 (0.5–26.5)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21.4 (15.8–28.3)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43.4 (30.5–57.2)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&lt;0.001</w:t>
            </w:r>
          </w:p>
        </w:tc>
      </w:tr>
      <w:tr w:rsidR="006B058A" w:rsidRPr="007773A8" w:rsidTr="005176E6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b w:val="0"/>
                <w:sz w:val="18"/>
                <w:szCs w:val="18"/>
              </w:rPr>
              <w:t>High HOMA–IR</w:t>
            </w:r>
            <w:r w:rsidRPr="007773A8">
              <w:rPr>
                <w:b w:val="0"/>
                <w:sz w:val="18"/>
                <w:szCs w:val="18"/>
                <w:vertAlign w:val="superscript"/>
              </w:rPr>
              <w:t>c</w:t>
            </w:r>
            <w:r w:rsidRPr="007773A8">
              <w:rPr>
                <w:b w:val="0"/>
                <w:sz w:val="18"/>
                <w:szCs w:val="18"/>
              </w:rPr>
              <w:t xml:space="preserve"> (N=1,314)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7.5 (6.2–9.1)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3.6 (2.6–4.8)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4.2 (0.5–26.5)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22.6 (16.9–29.6)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41.5 (28.9–55.4)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&lt;0.001</w:t>
            </w: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 xml:space="preserve"> Blood pressure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B058A" w:rsidRPr="007773A8" w:rsidTr="005176E6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High blood pressure (N = 1,344)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12.7 (11.0–14.6)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8.7 (7.2–10.5)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16.7 (6.1–38.3)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28.7 (22.3–35.9)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41.8 (29.4–55.4)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&lt;0.001</w:t>
            </w: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Abdominal obesity</w:t>
            </w:r>
            <w:r w:rsidRPr="007773A8">
              <w:rPr>
                <w:rFonts w:eastAsia="Calibri"/>
                <w:color w:val="000000"/>
                <w:sz w:val="18"/>
                <w:vertAlign w:val="superscript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</w:t>
            </w:r>
            <w:r w:rsidRPr="007773A8">
              <w:rPr>
                <w:rFonts w:eastAsia="Calibri"/>
                <w:b/>
                <w:color w:val="000000"/>
                <w:sz w:val="18"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</w:t>
            </w:r>
            <w:r w:rsidRPr="007773A8">
              <w:rPr>
                <w:rFonts w:eastAsia="Calibri"/>
                <w:b/>
                <w:color w:val="000000"/>
                <w:sz w:val="18"/>
              </w:rPr>
              <w:t>Stable without obesity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</w:t>
            </w:r>
            <w:r w:rsidR="00B46C1D">
              <w:rPr>
                <w:rFonts w:eastAsia="Calibri"/>
                <w:b/>
                <w:color w:val="000000"/>
                <w:sz w:val="18"/>
              </w:rPr>
              <w:t>Remitting</w:t>
            </w:r>
            <w:r w:rsidRPr="007773A8">
              <w:rPr>
                <w:rFonts w:eastAsia="Calibri"/>
                <w:b/>
                <w:color w:val="000000"/>
                <w:sz w:val="18"/>
              </w:rPr>
              <w:t xml:space="preserve"> obesity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</w:t>
            </w:r>
            <w:r w:rsidRPr="007773A8">
              <w:rPr>
                <w:rFonts w:eastAsia="Calibri"/>
                <w:b/>
                <w:color w:val="000000"/>
                <w:sz w:val="18"/>
              </w:rPr>
              <w:t>Incident obesity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</w:t>
            </w:r>
            <w:r w:rsidRPr="007773A8">
              <w:rPr>
                <w:rFonts w:eastAsia="Calibri"/>
                <w:b/>
                <w:color w:val="000000"/>
                <w:sz w:val="18"/>
              </w:rPr>
              <w:t>Stable with obesity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</w:t>
            </w:r>
            <w:r w:rsidRPr="007773A8">
              <w:rPr>
                <w:rFonts w:eastAsia="Calibri"/>
                <w:b/>
                <w:color w:val="000000"/>
                <w:sz w:val="18"/>
              </w:rPr>
              <w:t>p value</w:t>
            </w:r>
          </w:p>
        </w:tc>
      </w:tr>
      <w:tr w:rsidR="006B058A" w:rsidRPr="007773A8" w:rsidTr="005176E6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Merge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sz w:val="18"/>
                <w:szCs w:val="18"/>
              </w:rPr>
            </w:pPr>
          </w:p>
        </w:tc>
        <w:tc>
          <w:tcPr>
            <w:tcW w:w="708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B37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Prevalence (CI</w:t>
            </w:r>
            <w:r w:rsidR="006B058A" w:rsidRPr="007773A8">
              <w:rPr>
                <w:sz w:val="18"/>
                <w:szCs w:val="18"/>
              </w:rPr>
              <w:t xml:space="preserve"> 95%)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Lipid profile (N=1,324)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B058A" w:rsidRPr="007773A8" w:rsidTr="005176E6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High total cholesterol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9.2 (7.8–10.9)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9.2 (7.6–11.0)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10.9 (4.5–24.0)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10.9 (6.7–17.1)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3.9 (0.9–14.8)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0.503</w:t>
            </w: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892F69">
            <w:pPr>
              <w:ind w:firstLine="179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Low HDL cholesterol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3.9 (2.9–5.0)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2.6 (1.8–3.7)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0568AF" w:rsidP="00056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 (1.0–16.3</w:t>
            </w:r>
            <w:r w:rsidR="006B058A" w:rsidRPr="007773A8">
              <w:rPr>
                <w:sz w:val="18"/>
                <w:szCs w:val="18"/>
              </w:rPr>
              <w:t>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8.2 (4.7–13.9)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3.9 (1.0–14.8)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&lt;0.001</w:t>
            </w:r>
          </w:p>
        </w:tc>
      </w:tr>
      <w:tr w:rsidR="006B058A" w:rsidRPr="007773A8" w:rsidTr="005176E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Non-HDL cholesterol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5.2 (4.1–6.5)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4.6 (3.5–6.1)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2.2 (0.3–14.6)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10.9 (6.7–17.1)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3.9 (0.9–14.8)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0.010</w:t>
            </w: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High LDL cholesterol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4.9 (3.9–6.2)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5.0 (3.8–6.5)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2.2 (0.3–14.6)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6.8 (3.7–12.2)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0.211</w:t>
            </w:r>
          </w:p>
        </w:tc>
      </w:tr>
      <w:tr w:rsidR="006B058A" w:rsidRPr="007773A8" w:rsidTr="005176E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High triglycerides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10.7 (9.2–12.5)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7.4 (6.0–9.1)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8.7 (3.2–21.5)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26.5 (20.0–34.3)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37.3 (24.9–51.5)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&lt;0.001</w:t>
            </w: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rPr>
                <w:sz w:val="18"/>
                <w:szCs w:val="18"/>
              </w:rPr>
            </w:pPr>
            <w:r w:rsidRPr="007773A8">
              <w:rPr>
                <w:rFonts w:eastAsia="Calibri"/>
                <w:color w:val="000000"/>
                <w:sz w:val="18"/>
              </w:rPr>
              <w:t xml:space="preserve"> Glycemic profile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B058A" w:rsidRPr="007773A8" w:rsidTr="005176E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Altered baseline blood glucose (N = 1,323)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1.5 (1.0–2.3)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1.3 (0.8–2.2)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4.1 (1.8–8.9)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0.039</w:t>
            </w: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>High glycated hemoglobin (N = 1,363)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3.2 (2.4–4.4)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2.5 (1.7–3.7)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4.3 (1.0–16.3)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4.4 (2.0–9.5)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14.6 (7.0–28.0)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&lt;0.001</w:t>
            </w:r>
          </w:p>
        </w:tc>
      </w:tr>
      <w:tr w:rsidR="006B058A" w:rsidRPr="007773A8" w:rsidTr="005176E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b w:val="0"/>
                <w:sz w:val="18"/>
                <w:szCs w:val="18"/>
              </w:rPr>
              <w:t>High insulin (N=1,295)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7.4 (6.1–9.0)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3.2 (2.3–4.5)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11.1 (4.6–24.5)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21.7 (15.6–29.2)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51.0 (37.2–64.6)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&lt;0.001</w:t>
            </w: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b w:val="0"/>
                <w:sz w:val="18"/>
                <w:szCs w:val="18"/>
              </w:rPr>
              <w:t>High HOMA–IR (N=1,295)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7.6 (6.2–9.1)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3.4 (2.5–4.7)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11.1 (4.6–24.5)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23.1 (16.8–30.8)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47.1 (33.6–61.0)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&lt;0.001</w:t>
            </w:r>
          </w:p>
        </w:tc>
      </w:tr>
      <w:tr w:rsidR="006B058A" w:rsidRPr="007773A8" w:rsidTr="005176E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 xml:space="preserve"> Blood pressure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B058A" w:rsidRPr="007773A8" w:rsidTr="0051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uto"/>
            <w:vAlign w:val="center"/>
          </w:tcPr>
          <w:p w:rsidR="006B058A" w:rsidRPr="007773A8" w:rsidRDefault="006B058A" w:rsidP="00EF5E56">
            <w:pPr>
              <w:ind w:left="170"/>
              <w:rPr>
                <w:b w:val="0"/>
                <w:sz w:val="18"/>
                <w:szCs w:val="18"/>
              </w:rPr>
            </w:pPr>
            <w:r w:rsidRPr="007773A8">
              <w:rPr>
                <w:rFonts w:eastAsia="Calibri"/>
                <w:b w:val="0"/>
                <w:color w:val="000000"/>
                <w:sz w:val="18"/>
              </w:rPr>
              <w:t xml:space="preserve"> High blood pressure (N = 1,324)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12.7 (11.0–14.6)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9.1 (7.5–10.9)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13.0 (5.8–26.6)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28.6 (21.8–36.5)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43.1 (30.1–57.2)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6B058A" w:rsidRPr="007773A8" w:rsidRDefault="006B058A" w:rsidP="00EF5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773A8">
              <w:rPr>
                <w:sz w:val="18"/>
                <w:szCs w:val="18"/>
              </w:rPr>
              <w:t>&lt;0.001</w:t>
            </w:r>
          </w:p>
        </w:tc>
      </w:tr>
      <w:tr w:rsidR="006B058A" w:rsidRPr="007773A8" w:rsidTr="005176E6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6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058A" w:rsidRPr="007773A8" w:rsidRDefault="006B058A" w:rsidP="00EF5E56">
            <w:pPr>
              <w:spacing w:line="240" w:lineRule="atLeast"/>
              <w:rPr>
                <w:b w:val="0"/>
                <w:sz w:val="16"/>
                <w:szCs w:val="16"/>
              </w:rPr>
            </w:pPr>
            <w:r w:rsidRPr="007773A8">
              <w:rPr>
                <w:rFonts w:eastAsia="Calibri"/>
                <w:b w:val="0"/>
                <w:color w:val="000000"/>
                <w:sz w:val="16"/>
                <w:vertAlign w:val="superscript"/>
              </w:rPr>
              <w:t>a</w:t>
            </w:r>
            <w:r w:rsidRPr="007773A8">
              <w:rPr>
                <w:rFonts w:eastAsia="Calibri"/>
                <w:b w:val="0"/>
                <w:color w:val="000000"/>
                <w:sz w:val="16"/>
              </w:rPr>
              <w:t xml:space="preserve"> Stable without obesity: without obesity on all three measurements; </w:t>
            </w:r>
            <w:r w:rsidR="00B46C1D">
              <w:rPr>
                <w:rFonts w:eastAsia="Calibri"/>
                <w:b w:val="0"/>
                <w:color w:val="000000"/>
                <w:sz w:val="16"/>
              </w:rPr>
              <w:t>remitting</w:t>
            </w:r>
            <w:r w:rsidRPr="007773A8">
              <w:rPr>
                <w:rFonts w:eastAsia="Calibri"/>
                <w:b w:val="0"/>
                <w:color w:val="000000"/>
                <w:sz w:val="16"/>
              </w:rPr>
              <w:t xml:space="preserve"> obesity: in obesity at 4 and/or 6 years old, but not at 9 years; Incident obesity: in obesity only at 9 or at 4 or 6 years of age as well as 9 years of age; and Stable with obesity: in obesity at 4, 6 and 9 years.</w:t>
            </w:r>
          </w:p>
          <w:p w:rsidR="006B058A" w:rsidRPr="007773A8" w:rsidRDefault="006B058A" w:rsidP="00EF5E56">
            <w:pPr>
              <w:spacing w:line="240" w:lineRule="atLeast"/>
              <w:rPr>
                <w:rFonts w:eastAsia="Times New Roman"/>
                <w:b w:val="0"/>
                <w:color w:val="000000"/>
                <w:sz w:val="16"/>
                <w:szCs w:val="16"/>
                <w:lang w:eastAsia="es-ES"/>
              </w:rPr>
            </w:pPr>
            <w:r w:rsidRPr="007773A8">
              <w:rPr>
                <w:rFonts w:eastAsia="Calibri"/>
                <w:b w:val="0"/>
                <w:color w:val="000000"/>
                <w:sz w:val="16"/>
                <w:vertAlign w:val="superscript"/>
              </w:rPr>
              <w:t>b</w:t>
            </w:r>
            <w:r w:rsidRPr="007773A8">
              <w:rPr>
                <w:rFonts w:eastAsia="Calibri"/>
                <w:b w:val="0"/>
                <w:color w:val="000000"/>
                <w:sz w:val="16"/>
              </w:rPr>
              <w:t xml:space="preserve"> General obesity: body mass index (BMI) &gt; +2 (SD) according to the standardized tables of the WHO 2007.</w:t>
            </w:r>
          </w:p>
          <w:p w:rsidR="006B058A" w:rsidRPr="007773A8" w:rsidRDefault="006B058A" w:rsidP="00EF5E56">
            <w:pPr>
              <w:spacing w:line="240" w:lineRule="atLeast"/>
              <w:rPr>
                <w:b w:val="0"/>
                <w:sz w:val="16"/>
                <w:szCs w:val="16"/>
              </w:rPr>
            </w:pPr>
            <w:r w:rsidRPr="007773A8">
              <w:rPr>
                <w:rFonts w:eastAsia="Calibri"/>
                <w:b w:val="0"/>
                <w:color w:val="000000"/>
                <w:sz w:val="16"/>
                <w:vertAlign w:val="superscript"/>
              </w:rPr>
              <w:t>c</w:t>
            </w:r>
            <w:r w:rsidRPr="007773A8">
              <w:rPr>
                <w:rFonts w:eastAsia="Calibri"/>
                <w:b w:val="0"/>
                <w:color w:val="000000"/>
                <w:sz w:val="16"/>
              </w:rPr>
              <w:t xml:space="preserve"> HOMA-IR: Homeostatic Model Assessment - Insulin Resistance.</w:t>
            </w:r>
          </w:p>
          <w:p w:rsidR="006B058A" w:rsidRPr="008D1171" w:rsidRDefault="006B058A" w:rsidP="00EF5E56">
            <w:pPr>
              <w:spacing w:line="240" w:lineRule="atLeast"/>
              <w:rPr>
                <w:b w:val="0"/>
                <w:color w:val="010202"/>
                <w:sz w:val="16"/>
                <w:szCs w:val="16"/>
                <w:vertAlign w:val="superscript"/>
              </w:rPr>
            </w:pPr>
            <w:r w:rsidRPr="007773A8">
              <w:rPr>
                <w:rFonts w:eastAsia="Calibri"/>
                <w:b w:val="0"/>
                <w:color w:val="000000"/>
                <w:sz w:val="16"/>
                <w:vertAlign w:val="superscript"/>
              </w:rPr>
              <w:t>d</w:t>
            </w:r>
            <w:r w:rsidRPr="007773A8">
              <w:rPr>
                <w:rFonts w:eastAsia="Calibri"/>
                <w:b w:val="0"/>
                <w:color w:val="000000"/>
                <w:sz w:val="16"/>
              </w:rPr>
              <w:t xml:space="preserve"> </w:t>
            </w:r>
            <w:r w:rsidRPr="007773A8">
              <w:rPr>
                <w:rFonts w:eastAsia="Calibri"/>
                <w:b w:val="0"/>
                <w:color w:val="010202"/>
                <w:sz w:val="16"/>
              </w:rPr>
              <w:t>Abdominal obesity: ≥90</w:t>
            </w:r>
            <w:r w:rsidRPr="007773A8">
              <w:rPr>
                <w:rFonts w:eastAsia="Calibri"/>
                <w:b w:val="0"/>
                <w:color w:val="010202"/>
                <w:sz w:val="16"/>
                <w:vertAlign w:val="superscript"/>
              </w:rPr>
              <w:t>th</w:t>
            </w:r>
            <w:r w:rsidRPr="007773A8">
              <w:rPr>
                <w:rFonts w:eastAsia="Calibri"/>
                <w:b w:val="0"/>
                <w:color w:val="010202"/>
                <w:sz w:val="16"/>
              </w:rPr>
              <w:t xml:space="preserve"> percentile of waist circumference according to consensus of the International Diabetes Federation (IDF).</w:t>
            </w:r>
          </w:p>
          <w:p w:rsidR="006B058A" w:rsidRPr="007773A8" w:rsidRDefault="006B058A" w:rsidP="00EF5E56">
            <w:pPr>
              <w:jc w:val="center"/>
              <w:rPr>
                <w:sz w:val="18"/>
                <w:szCs w:val="18"/>
              </w:rPr>
            </w:pPr>
          </w:p>
        </w:tc>
      </w:tr>
    </w:tbl>
    <w:p w:rsidR="006B058A" w:rsidRPr="007773A8" w:rsidRDefault="006B058A" w:rsidP="006B058A"/>
    <w:p w:rsidR="00337164" w:rsidRPr="007773A8" w:rsidRDefault="00337164" w:rsidP="00337164">
      <w:pPr>
        <w:spacing w:after="120" w:line="360" w:lineRule="auto"/>
        <w:rPr>
          <w:rFonts w:eastAsia="Calibri"/>
          <w:sz w:val="20"/>
          <w:szCs w:val="20"/>
          <w:lang w:val="en-GB"/>
        </w:rPr>
      </w:pPr>
      <w:r w:rsidRPr="007773A8">
        <w:rPr>
          <w:b/>
          <w:sz w:val="20"/>
          <w:szCs w:val="20"/>
        </w:rPr>
        <w:t xml:space="preserve">Author: </w:t>
      </w:r>
      <w:r w:rsidRPr="007773A8">
        <w:rPr>
          <w:rFonts w:eastAsia="Calibri"/>
          <w:color w:val="000000"/>
          <w:sz w:val="20"/>
          <w:szCs w:val="20"/>
          <w:lang w:val="en-GB"/>
        </w:rPr>
        <w:t>Honorato Ortiz Marrón</w:t>
      </w:r>
      <w:r w:rsidR="00A26024">
        <w:rPr>
          <w:rFonts w:eastAsia="Calibri"/>
          <w:color w:val="000000"/>
          <w:sz w:val="20"/>
          <w:szCs w:val="20"/>
          <w:lang w:val="en-GB"/>
        </w:rPr>
        <w:t xml:space="preserve"> et al</w:t>
      </w:r>
      <w:bookmarkStart w:id="0" w:name="_GoBack"/>
      <w:bookmarkEnd w:id="0"/>
      <w:r w:rsidRPr="007773A8">
        <w:rPr>
          <w:rFonts w:eastAsia="Calibri"/>
          <w:color w:val="000000"/>
          <w:sz w:val="20"/>
          <w:szCs w:val="20"/>
          <w:lang w:val="en-GB"/>
        </w:rPr>
        <w:t>. Department of Epidemiology, General Directorate of Public Health. Madrid, Spain</w:t>
      </w:r>
    </w:p>
    <w:p w:rsidR="00B62290" w:rsidRPr="007773A8" w:rsidRDefault="00B62290" w:rsidP="00B62290">
      <w:pPr>
        <w:spacing w:after="120" w:line="360" w:lineRule="auto"/>
        <w:rPr>
          <w:rFonts w:eastAsia="Calibri"/>
          <w:sz w:val="20"/>
          <w:szCs w:val="20"/>
          <w:lang w:val="en-GB"/>
        </w:rPr>
      </w:pPr>
      <w:r w:rsidRPr="007773A8">
        <w:rPr>
          <w:b/>
          <w:sz w:val="20"/>
          <w:szCs w:val="20"/>
        </w:rPr>
        <w:t xml:space="preserve">Journal: </w:t>
      </w:r>
      <w:r w:rsidRPr="007773A8">
        <w:rPr>
          <w:rFonts w:eastAsia="Calibri"/>
          <w:iCs/>
          <w:color w:val="000000"/>
          <w:sz w:val="20"/>
          <w:szCs w:val="20"/>
        </w:rPr>
        <w:t>European Journal of Pediatrics</w:t>
      </w:r>
    </w:p>
    <w:p w:rsidR="00891D99" w:rsidRPr="007773A8" w:rsidRDefault="00891D99"/>
    <w:sectPr w:rsidR="00891D99" w:rsidRPr="007773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58A"/>
    <w:rsid w:val="000568AF"/>
    <w:rsid w:val="000818BA"/>
    <w:rsid w:val="002D4C18"/>
    <w:rsid w:val="00337164"/>
    <w:rsid w:val="004955E2"/>
    <w:rsid w:val="005176E6"/>
    <w:rsid w:val="00580240"/>
    <w:rsid w:val="006B058A"/>
    <w:rsid w:val="007158A9"/>
    <w:rsid w:val="007773A8"/>
    <w:rsid w:val="00891D99"/>
    <w:rsid w:val="00892F69"/>
    <w:rsid w:val="008D1171"/>
    <w:rsid w:val="00A26024"/>
    <w:rsid w:val="00B3758A"/>
    <w:rsid w:val="00B46C1D"/>
    <w:rsid w:val="00B62290"/>
    <w:rsid w:val="00FF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83FDA"/>
  <w15:chartTrackingRefBased/>
  <w15:docId w15:val="{79296247-1574-40DA-BDD2-ED0BFEE68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58A"/>
    <w:rPr>
      <w:rFonts w:ascii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6B058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normal1">
    <w:name w:val="Plain Table 1"/>
    <w:basedOn w:val="Tablanormal"/>
    <w:uiPriority w:val="41"/>
    <w:rsid w:val="006B058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537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Ortiz Marrón.Honorato</dc:creator>
  <cp:keywords/>
  <dc:description/>
  <cp:lastModifiedBy>Cabañas Pujadas.Gloria</cp:lastModifiedBy>
  <cp:revision>18</cp:revision>
  <dcterms:created xsi:type="dcterms:W3CDTF">2022-10-11T12:00:00Z</dcterms:created>
  <dcterms:modified xsi:type="dcterms:W3CDTF">2022-11-23T08:45:00Z</dcterms:modified>
</cp:coreProperties>
</file>