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1B7" w:rsidRPr="005719DC" w:rsidRDefault="00746883" w:rsidP="00ED41B7">
      <w:pPr>
        <w:pStyle w:val="Descripcin"/>
        <w:keepNext/>
        <w:rPr>
          <w:i w:val="0"/>
          <w:iCs w:val="0"/>
          <w:color w:val="auto"/>
          <w:sz w:val="20"/>
          <w:szCs w:val="20"/>
        </w:rPr>
      </w:pPr>
      <w:r>
        <w:rPr>
          <w:rFonts w:eastAsia="Calibri"/>
          <w:b/>
          <w:i w:val="0"/>
          <w:color w:val="000000"/>
          <w:sz w:val="20"/>
          <w:szCs w:val="20"/>
        </w:rPr>
        <w:t>Table S4</w:t>
      </w:r>
      <w:r w:rsidR="00ED41B7" w:rsidRPr="005719DC">
        <w:rPr>
          <w:rFonts w:eastAsia="Calibri"/>
          <w:b/>
          <w:i w:val="0"/>
          <w:color w:val="000000"/>
          <w:sz w:val="20"/>
          <w:szCs w:val="20"/>
        </w:rPr>
        <w:t>.</w:t>
      </w:r>
      <w:r w:rsidR="00ED41B7" w:rsidRPr="005719DC">
        <w:rPr>
          <w:rFonts w:eastAsia="Calibri"/>
          <w:i w:val="0"/>
          <w:color w:val="000000"/>
          <w:sz w:val="20"/>
          <w:szCs w:val="20"/>
        </w:rPr>
        <w:t xml:space="preserve"> Association of general and abdominal obesity, isolated or combined, with cardiometabolic risk factors at 9 years of age.</w:t>
      </w:r>
    </w:p>
    <w:tbl>
      <w:tblPr>
        <w:tblStyle w:val="Tablanormal1"/>
        <w:tblpPr w:leftFromText="141" w:rightFromText="141" w:vertAnchor="text" w:horzAnchor="margin" w:tblpXSpec="center" w:tblpY="19"/>
        <w:tblOverlap w:val="never"/>
        <w:tblW w:w="964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7"/>
        <w:gridCol w:w="998"/>
        <w:gridCol w:w="1841"/>
        <w:gridCol w:w="1700"/>
        <w:gridCol w:w="1976"/>
        <w:gridCol w:w="12"/>
      </w:tblGrid>
      <w:tr w:rsidR="00ED41B7" w:rsidRPr="005719DC" w:rsidTr="006363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B7" w:rsidRPr="005719DC" w:rsidRDefault="00ED41B7" w:rsidP="00EF5E56">
            <w:pPr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B7" w:rsidRPr="005719DC" w:rsidRDefault="00ED41B7" w:rsidP="00EF5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 w:rsidRPr="005719DC">
              <w:rPr>
                <w:rFonts w:eastAsia="Calibri"/>
                <w:color w:val="000000"/>
                <w:sz w:val="20"/>
                <w:szCs w:val="20"/>
              </w:rPr>
              <w:t xml:space="preserve"> No obesity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B7" w:rsidRPr="005719DC" w:rsidRDefault="00ED41B7" w:rsidP="00EF5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 w:rsidRPr="005719DC">
              <w:rPr>
                <w:rFonts w:eastAsia="Calibri"/>
                <w:color w:val="000000"/>
                <w:sz w:val="20"/>
                <w:szCs w:val="20"/>
              </w:rPr>
              <w:t xml:space="preserve"> General obesity </w:t>
            </w:r>
            <w:r w:rsidRPr="005719DC">
              <w:rPr>
                <w:rFonts w:eastAsia="Calibri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B7" w:rsidRPr="005719DC" w:rsidRDefault="00ED41B7" w:rsidP="00EF5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 w:rsidRPr="005719DC">
              <w:rPr>
                <w:rFonts w:eastAsia="Calibri"/>
                <w:color w:val="000000"/>
                <w:sz w:val="20"/>
                <w:szCs w:val="20"/>
              </w:rPr>
              <w:t xml:space="preserve"> Abdominal obesity </w:t>
            </w:r>
            <w:r w:rsidRPr="005719DC">
              <w:rPr>
                <w:rFonts w:eastAsia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B7" w:rsidRPr="005719DC" w:rsidRDefault="00ED41B7" w:rsidP="00EF5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719DC">
              <w:rPr>
                <w:rFonts w:eastAsia="Calibri"/>
                <w:color w:val="000000"/>
                <w:sz w:val="20"/>
                <w:szCs w:val="20"/>
              </w:rPr>
              <w:t xml:space="preserve"> General and abdominal obesity</w:t>
            </w:r>
          </w:p>
        </w:tc>
      </w:tr>
      <w:tr w:rsidR="00ED41B7" w:rsidRPr="005719DC" w:rsidTr="0063633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" w:type="dxa"/>
          <w:trHeight w:val="4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B7" w:rsidRPr="005719DC" w:rsidRDefault="00ED41B7" w:rsidP="00EF5E56">
            <w:pPr>
              <w:rPr>
                <w:sz w:val="20"/>
                <w:szCs w:val="20"/>
              </w:rPr>
            </w:pPr>
          </w:p>
        </w:tc>
        <w:tc>
          <w:tcPr>
            <w:tcW w:w="6518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B7" w:rsidRPr="005719DC" w:rsidRDefault="00ED41B7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719DC">
              <w:rPr>
                <w:sz w:val="20"/>
                <w:szCs w:val="20"/>
              </w:rPr>
              <w:t>OR</w:t>
            </w:r>
            <w:r w:rsidRPr="005719DC">
              <w:rPr>
                <w:sz w:val="20"/>
                <w:szCs w:val="20"/>
                <w:vertAlign w:val="superscript"/>
              </w:rPr>
              <w:t>c</w:t>
            </w:r>
            <w:r w:rsidRPr="005719DC">
              <w:rPr>
                <w:sz w:val="20"/>
                <w:szCs w:val="20"/>
              </w:rPr>
              <w:t xml:space="preserve"> (95% CI)</w:t>
            </w:r>
          </w:p>
        </w:tc>
      </w:tr>
      <w:tr w:rsidR="00ED41B7" w:rsidRPr="005719DC" w:rsidTr="0063633C">
        <w:trPr>
          <w:trHeight w:val="2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auto"/>
            <w:vAlign w:val="center"/>
          </w:tcPr>
          <w:p w:rsidR="00ED41B7" w:rsidRPr="005719DC" w:rsidRDefault="00ED41B7" w:rsidP="00EF5E56">
            <w:pPr>
              <w:rPr>
                <w:sz w:val="20"/>
                <w:szCs w:val="20"/>
              </w:rPr>
            </w:pPr>
            <w:r w:rsidRPr="005719DC">
              <w:rPr>
                <w:sz w:val="20"/>
                <w:szCs w:val="20"/>
              </w:rPr>
              <w:t>Dyslipidemia</w:t>
            </w:r>
            <w:r w:rsidRPr="005719DC">
              <w:rPr>
                <w:sz w:val="20"/>
                <w:szCs w:val="20"/>
                <w:vertAlign w:val="superscript"/>
              </w:rPr>
              <w:t>d</w:t>
            </w:r>
            <w:r w:rsidRPr="005719DC">
              <w:rPr>
                <w:sz w:val="20"/>
                <w:szCs w:val="20"/>
              </w:rPr>
              <w:t xml:space="preserve"> (N=1,950)</w:t>
            </w:r>
          </w:p>
        </w:tc>
        <w:tc>
          <w:tcPr>
            <w:tcW w:w="99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ED41B7" w:rsidRPr="005719DC" w:rsidRDefault="00ED41B7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719DC">
              <w:rPr>
                <w:sz w:val="20"/>
                <w:szCs w:val="20"/>
              </w:rPr>
              <w:t>1 (ref)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ED41B7" w:rsidRPr="005719DC" w:rsidRDefault="00ED41B7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719DC">
              <w:rPr>
                <w:sz w:val="20"/>
                <w:szCs w:val="20"/>
              </w:rPr>
              <w:t>2.55 (1.60–4.07)</w:t>
            </w:r>
            <w:r w:rsidRPr="005719DC">
              <w:rPr>
                <w:sz w:val="20"/>
                <w:szCs w:val="20"/>
                <w:vertAlign w:val="superscript"/>
              </w:rPr>
              <w:t>††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ED41B7" w:rsidRPr="005719DC" w:rsidRDefault="00ED41B7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719DC">
              <w:rPr>
                <w:sz w:val="20"/>
                <w:szCs w:val="20"/>
              </w:rPr>
              <w:t>2.46 (1.41–4.31)</w:t>
            </w:r>
            <w:r w:rsidRPr="005719DC">
              <w:rPr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ED41B7" w:rsidRPr="005719DC" w:rsidRDefault="00ED41B7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719DC">
              <w:rPr>
                <w:sz w:val="20"/>
                <w:szCs w:val="20"/>
              </w:rPr>
              <w:t>3.87 (2.87–5.22)</w:t>
            </w:r>
            <w:r w:rsidRPr="005719DC">
              <w:rPr>
                <w:sz w:val="20"/>
                <w:szCs w:val="20"/>
                <w:vertAlign w:val="superscript"/>
              </w:rPr>
              <w:t>††</w:t>
            </w:r>
          </w:p>
        </w:tc>
      </w:tr>
      <w:tr w:rsidR="00ED41B7" w:rsidRPr="005719DC" w:rsidTr="006363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auto"/>
            <w:vAlign w:val="center"/>
          </w:tcPr>
          <w:p w:rsidR="00ED41B7" w:rsidRPr="005719DC" w:rsidRDefault="00ED41B7" w:rsidP="00EF5E56">
            <w:pPr>
              <w:rPr>
                <w:sz w:val="20"/>
                <w:szCs w:val="20"/>
              </w:rPr>
            </w:pPr>
            <w:r w:rsidRPr="005719DC">
              <w:rPr>
                <w:sz w:val="20"/>
                <w:szCs w:val="20"/>
              </w:rPr>
              <w:t>Dysglycemia</w:t>
            </w:r>
            <w:r w:rsidRPr="005719DC">
              <w:rPr>
                <w:sz w:val="20"/>
                <w:szCs w:val="20"/>
                <w:vertAlign w:val="superscript"/>
              </w:rPr>
              <w:t xml:space="preserve">e </w:t>
            </w:r>
            <w:r w:rsidRPr="005719DC">
              <w:rPr>
                <w:sz w:val="20"/>
                <w:szCs w:val="20"/>
              </w:rPr>
              <w:t>(N=1,950)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:rsidR="00ED41B7" w:rsidRPr="005719DC" w:rsidRDefault="00ED41B7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719DC">
              <w:rPr>
                <w:sz w:val="20"/>
                <w:szCs w:val="20"/>
              </w:rPr>
              <w:t>1 (ref)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ED41B7" w:rsidRPr="005719DC" w:rsidRDefault="00ED41B7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719DC">
              <w:rPr>
                <w:sz w:val="20"/>
                <w:szCs w:val="20"/>
              </w:rPr>
              <w:t>1.92 (0.98–3.76)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D41B7" w:rsidRPr="005719DC" w:rsidRDefault="00ED41B7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719DC">
              <w:rPr>
                <w:sz w:val="20"/>
                <w:szCs w:val="20"/>
              </w:rPr>
              <w:t>2.11 (0.98–4.70)</w:t>
            </w:r>
          </w:p>
        </w:tc>
        <w:tc>
          <w:tcPr>
            <w:tcW w:w="1984" w:type="dxa"/>
            <w:gridSpan w:val="2"/>
            <w:shd w:val="clear" w:color="auto" w:fill="FFFFFF" w:themeFill="background1"/>
            <w:vAlign w:val="center"/>
          </w:tcPr>
          <w:p w:rsidR="00ED41B7" w:rsidRPr="005719DC" w:rsidRDefault="00ED41B7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719DC">
              <w:rPr>
                <w:sz w:val="20"/>
                <w:szCs w:val="20"/>
              </w:rPr>
              <w:t>9.72 (6.90–13.69)</w:t>
            </w:r>
            <w:r w:rsidRPr="005719DC">
              <w:rPr>
                <w:sz w:val="20"/>
                <w:szCs w:val="20"/>
                <w:vertAlign w:val="superscript"/>
              </w:rPr>
              <w:t>††</w:t>
            </w:r>
          </w:p>
        </w:tc>
      </w:tr>
      <w:tr w:rsidR="00ED41B7" w:rsidRPr="005719DC" w:rsidTr="0063633C">
        <w:trPr>
          <w:trHeight w:val="2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auto"/>
            <w:vAlign w:val="center"/>
          </w:tcPr>
          <w:p w:rsidR="00ED41B7" w:rsidRPr="00540727" w:rsidRDefault="00ED41B7" w:rsidP="00EF5E56">
            <w:pPr>
              <w:ind w:left="170"/>
              <w:rPr>
                <w:b w:val="0"/>
                <w:sz w:val="20"/>
                <w:szCs w:val="20"/>
              </w:rPr>
            </w:pPr>
            <w:r w:rsidRPr="00540727">
              <w:rPr>
                <w:b w:val="0"/>
                <w:sz w:val="20"/>
                <w:szCs w:val="20"/>
              </w:rPr>
              <w:t>Prediabetes</w:t>
            </w:r>
            <w:r w:rsidRPr="00540727">
              <w:rPr>
                <w:b w:val="0"/>
                <w:sz w:val="20"/>
                <w:szCs w:val="20"/>
                <w:vertAlign w:val="superscript"/>
              </w:rPr>
              <w:t>f</w:t>
            </w:r>
            <w:r w:rsidRPr="00540727">
              <w:rPr>
                <w:b w:val="0"/>
                <w:sz w:val="20"/>
                <w:szCs w:val="20"/>
              </w:rPr>
              <w:t xml:space="preserve"> (N=1</w:t>
            </w:r>
            <w:r w:rsidR="0063633C" w:rsidRPr="00540727">
              <w:rPr>
                <w:b w:val="0"/>
                <w:sz w:val="20"/>
                <w:szCs w:val="20"/>
              </w:rPr>
              <w:t>,</w:t>
            </w:r>
            <w:r w:rsidRPr="00540727">
              <w:rPr>
                <w:b w:val="0"/>
                <w:sz w:val="20"/>
                <w:szCs w:val="20"/>
              </w:rPr>
              <w:t>904)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:rsidR="00ED41B7" w:rsidRPr="005719DC" w:rsidRDefault="00ED41B7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719DC">
              <w:rPr>
                <w:sz w:val="20"/>
                <w:szCs w:val="20"/>
              </w:rPr>
              <w:t>1 (ref)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ED41B7" w:rsidRPr="005719DC" w:rsidRDefault="00ED41B7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719DC">
              <w:rPr>
                <w:sz w:val="20"/>
                <w:szCs w:val="20"/>
              </w:rPr>
              <w:t>0.52 (0.12–2.20)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D41B7" w:rsidRPr="005719DC" w:rsidRDefault="00ED41B7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719DC">
              <w:rPr>
                <w:sz w:val="20"/>
                <w:szCs w:val="20"/>
              </w:rPr>
              <w:t>0.99 (0.23–4.21)</w:t>
            </w:r>
          </w:p>
        </w:tc>
        <w:tc>
          <w:tcPr>
            <w:tcW w:w="1984" w:type="dxa"/>
            <w:gridSpan w:val="2"/>
            <w:shd w:val="clear" w:color="auto" w:fill="FFFFFF" w:themeFill="background1"/>
            <w:vAlign w:val="center"/>
          </w:tcPr>
          <w:p w:rsidR="00ED41B7" w:rsidRPr="005719DC" w:rsidRDefault="00ED41B7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719DC">
              <w:rPr>
                <w:sz w:val="20"/>
                <w:szCs w:val="20"/>
              </w:rPr>
              <w:t>2.76 (1.63–4.64)</w:t>
            </w:r>
            <w:r w:rsidRPr="005719DC">
              <w:rPr>
                <w:sz w:val="20"/>
                <w:szCs w:val="20"/>
                <w:vertAlign w:val="superscript"/>
              </w:rPr>
              <w:t>††</w:t>
            </w:r>
          </w:p>
        </w:tc>
      </w:tr>
      <w:tr w:rsidR="00ED41B7" w:rsidRPr="005719DC" w:rsidTr="006363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auto"/>
            <w:vAlign w:val="center"/>
          </w:tcPr>
          <w:p w:rsidR="00ED41B7" w:rsidRPr="00540727" w:rsidRDefault="00ED41B7" w:rsidP="00EF5E56">
            <w:pPr>
              <w:ind w:left="170"/>
              <w:rPr>
                <w:b w:val="0"/>
                <w:sz w:val="20"/>
                <w:szCs w:val="20"/>
              </w:rPr>
            </w:pPr>
            <w:r w:rsidRPr="00540727">
              <w:rPr>
                <w:b w:val="0"/>
                <w:sz w:val="20"/>
                <w:szCs w:val="20"/>
              </w:rPr>
              <w:t>HOMA–IR</w:t>
            </w:r>
            <w:r w:rsidRPr="00540727">
              <w:rPr>
                <w:b w:val="0"/>
                <w:sz w:val="20"/>
                <w:szCs w:val="20"/>
                <w:vertAlign w:val="superscript"/>
              </w:rPr>
              <w:t>g</w:t>
            </w:r>
            <w:r w:rsidRPr="00540727">
              <w:rPr>
                <w:b w:val="0"/>
                <w:sz w:val="20"/>
                <w:szCs w:val="20"/>
              </w:rPr>
              <w:t xml:space="preserve"> (N=1</w:t>
            </w:r>
            <w:r w:rsidR="0063633C" w:rsidRPr="00540727">
              <w:rPr>
                <w:b w:val="0"/>
                <w:sz w:val="20"/>
                <w:szCs w:val="20"/>
              </w:rPr>
              <w:t>,</w:t>
            </w:r>
            <w:r w:rsidRPr="00540727">
              <w:rPr>
                <w:b w:val="0"/>
                <w:sz w:val="20"/>
                <w:szCs w:val="20"/>
              </w:rPr>
              <w:t>904)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:rsidR="00ED41B7" w:rsidRPr="005719DC" w:rsidRDefault="00ED41B7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719DC">
              <w:rPr>
                <w:sz w:val="20"/>
                <w:szCs w:val="20"/>
              </w:rPr>
              <w:t>1 (ref)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ED41B7" w:rsidRPr="005719DC" w:rsidRDefault="00ED41B7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719DC">
              <w:rPr>
                <w:sz w:val="20"/>
                <w:szCs w:val="20"/>
              </w:rPr>
              <w:t>3.19 (1.49–6.83)</w:t>
            </w:r>
            <w:r w:rsidRPr="005719DC">
              <w:rPr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D41B7" w:rsidRPr="005719DC" w:rsidRDefault="00ED41B7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719DC">
              <w:rPr>
                <w:sz w:val="20"/>
                <w:szCs w:val="20"/>
              </w:rPr>
              <w:t>3.21 (1.36–7.54)</w:t>
            </w:r>
            <w:r w:rsidRPr="005719DC">
              <w:rPr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984" w:type="dxa"/>
            <w:gridSpan w:val="2"/>
            <w:shd w:val="clear" w:color="auto" w:fill="FFFFFF" w:themeFill="background1"/>
            <w:vAlign w:val="center"/>
          </w:tcPr>
          <w:p w:rsidR="00ED41B7" w:rsidRPr="005719DC" w:rsidRDefault="00ED41B7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719DC">
              <w:rPr>
                <w:sz w:val="20"/>
                <w:szCs w:val="20"/>
              </w:rPr>
              <w:t>15.92 (10.66–23.78)</w:t>
            </w:r>
            <w:r w:rsidRPr="005719DC">
              <w:rPr>
                <w:sz w:val="20"/>
                <w:szCs w:val="20"/>
                <w:vertAlign w:val="superscript"/>
              </w:rPr>
              <w:t>††</w:t>
            </w:r>
          </w:p>
        </w:tc>
      </w:tr>
      <w:tr w:rsidR="00ED41B7" w:rsidRPr="005719DC" w:rsidTr="0063633C">
        <w:trPr>
          <w:trHeight w:val="2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auto"/>
            <w:vAlign w:val="center"/>
          </w:tcPr>
          <w:p w:rsidR="00ED41B7" w:rsidRPr="005719DC" w:rsidRDefault="00ED41B7" w:rsidP="00EF5E56">
            <w:pPr>
              <w:rPr>
                <w:sz w:val="20"/>
                <w:szCs w:val="20"/>
              </w:rPr>
            </w:pPr>
            <w:r w:rsidRPr="005719DC">
              <w:rPr>
                <w:rFonts w:eastAsia="Calibri"/>
                <w:color w:val="000000"/>
                <w:sz w:val="20"/>
                <w:szCs w:val="20"/>
              </w:rPr>
              <w:t xml:space="preserve"> High blood pressure</w:t>
            </w:r>
            <w:r w:rsidRPr="005719DC">
              <w:rPr>
                <w:rFonts w:eastAsia="Calibri"/>
                <w:color w:val="000000"/>
                <w:sz w:val="20"/>
                <w:szCs w:val="20"/>
                <w:vertAlign w:val="superscript"/>
              </w:rPr>
              <w:t>h</w:t>
            </w:r>
            <w:r w:rsidRPr="005719DC">
              <w:rPr>
                <w:rFonts w:eastAsia="Calibri"/>
                <w:color w:val="000000"/>
                <w:sz w:val="20"/>
                <w:szCs w:val="20"/>
              </w:rPr>
              <w:t xml:space="preserve"> (N = 1,950)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D41B7" w:rsidRPr="005719DC" w:rsidRDefault="00ED41B7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719DC">
              <w:rPr>
                <w:sz w:val="20"/>
                <w:szCs w:val="20"/>
              </w:rPr>
              <w:t>1 (ref)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D41B7" w:rsidRPr="005719DC" w:rsidRDefault="00ED41B7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719DC">
              <w:rPr>
                <w:sz w:val="20"/>
                <w:szCs w:val="20"/>
              </w:rPr>
              <w:t>2.46 (1.36–4.46)</w:t>
            </w:r>
            <w:r w:rsidRPr="005719DC">
              <w:rPr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D41B7" w:rsidRPr="005719DC" w:rsidRDefault="00ED41B7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719DC">
              <w:rPr>
                <w:sz w:val="20"/>
                <w:szCs w:val="20"/>
              </w:rPr>
              <w:t>2.08 (0.99–4.38)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D41B7" w:rsidRPr="005719DC" w:rsidRDefault="00ED41B7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719DC">
              <w:rPr>
                <w:sz w:val="20"/>
                <w:szCs w:val="20"/>
              </w:rPr>
              <w:t>5.74 (4.07–8.10)</w:t>
            </w:r>
            <w:r w:rsidRPr="005719DC">
              <w:rPr>
                <w:sz w:val="20"/>
                <w:szCs w:val="20"/>
                <w:vertAlign w:val="superscript"/>
              </w:rPr>
              <w:t>††</w:t>
            </w:r>
          </w:p>
        </w:tc>
      </w:tr>
      <w:tr w:rsidR="00ED41B7" w:rsidRPr="005719DC" w:rsidTr="0063633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4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2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B7" w:rsidRPr="005719DC" w:rsidRDefault="00ED41B7" w:rsidP="00EF5E56">
            <w:pPr>
              <w:spacing w:line="240" w:lineRule="atLeast"/>
              <w:jc w:val="both"/>
              <w:rPr>
                <w:rFonts w:eastAsia="Times New Roman"/>
                <w:b w:val="0"/>
                <w:color w:val="000000"/>
                <w:sz w:val="20"/>
                <w:szCs w:val="20"/>
                <w:lang w:eastAsia="es-ES"/>
              </w:rPr>
            </w:pPr>
            <w:r w:rsidRPr="005719DC">
              <w:rPr>
                <w:rFonts w:eastAsia="Calibri"/>
                <w:b w:val="0"/>
                <w:color w:val="000000"/>
                <w:sz w:val="20"/>
                <w:szCs w:val="20"/>
                <w:vertAlign w:val="superscript"/>
              </w:rPr>
              <w:t>a</w:t>
            </w:r>
            <w:r w:rsidRPr="005719DC">
              <w:rPr>
                <w:rFonts w:eastAsia="Calibri"/>
                <w:b w:val="0"/>
                <w:color w:val="000000"/>
                <w:sz w:val="20"/>
                <w:szCs w:val="20"/>
              </w:rPr>
              <w:t xml:space="preserve"> General obesity: body mass index (BMI) &gt; +2 (SD) according to the standardized tables of the WHO 2007.</w:t>
            </w:r>
          </w:p>
          <w:p w:rsidR="00ED41B7" w:rsidRPr="005719DC" w:rsidRDefault="00ED41B7" w:rsidP="00EF5E56">
            <w:pPr>
              <w:spacing w:line="240" w:lineRule="atLeast"/>
              <w:rPr>
                <w:b w:val="0"/>
                <w:color w:val="010202"/>
                <w:sz w:val="20"/>
                <w:szCs w:val="20"/>
                <w:vertAlign w:val="superscript"/>
              </w:rPr>
            </w:pPr>
            <w:r w:rsidRPr="005719DC">
              <w:rPr>
                <w:rFonts w:eastAsia="Calibri"/>
                <w:b w:val="0"/>
                <w:color w:val="000000"/>
                <w:sz w:val="20"/>
                <w:szCs w:val="20"/>
                <w:vertAlign w:val="superscript"/>
              </w:rPr>
              <w:t>b</w:t>
            </w:r>
            <w:r w:rsidRPr="005719DC">
              <w:rPr>
                <w:rFonts w:eastAsia="Calibri"/>
                <w:b w:val="0"/>
                <w:color w:val="000000"/>
                <w:sz w:val="20"/>
                <w:szCs w:val="20"/>
              </w:rPr>
              <w:t xml:space="preserve"> </w:t>
            </w:r>
            <w:r w:rsidRPr="005719DC">
              <w:rPr>
                <w:rFonts w:eastAsia="Calibri"/>
                <w:b w:val="0"/>
                <w:color w:val="010202"/>
                <w:sz w:val="20"/>
                <w:szCs w:val="20"/>
              </w:rPr>
              <w:t>Abdominal obesity: ≥90</w:t>
            </w:r>
            <w:r w:rsidRPr="005719DC">
              <w:rPr>
                <w:rFonts w:eastAsia="Calibri"/>
                <w:b w:val="0"/>
                <w:color w:val="010202"/>
                <w:sz w:val="20"/>
                <w:szCs w:val="20"/>
                <w:vertAlign w:val="superscript"/>
              </w:rPr>
              <w:t>th</w:t>
            </w:r>
            <w:r w:rsidRPr="005719DC">
              <w:rPr>
                <w:rFonts w:eastAsia="Calibri"/>
                <w:b w:val="0"/>
                <w:color w:val="010202"/>
                <w:sz w:val="20"/>
                <w:szCs w:val="20"/>
              </w:rPr>
              <w:t xml:space="preserve"> percentile of waist circumference according to the consensus of the International Diabetes Federation (IDF).</w:t>
            </w:r>
          </w:p>
          <w:p w:rsidR="00ED41B7" w:rsidRPr="005719DC" w:rsidRDefault="00ED41B7" w:rsidP="00EF5E56">
            <w:pPr>
              <w:spacing w:line="240" w:lineRule="atLeast"/>
              <w:rPr>
                <w:b w:val="0"/>
                <w:sz w:val="20"/>
                <w:szCs w:val="20"/>
              </w:rPr>
            </w:pPr>
            <w:r w:rsidRPr="005719DC">
              <w:rPr>
                <w:rFonts w:eastAsia="Calibri"/>
                <w:b w:val="0"/>
                <w:color w:val="000000"/>
                <w:sz w:val="20"/>
                <w:szCs w:val="20"/>
                <w:vertAlign w:val="superscript"/>
              </w:rPr>
              <w:t>c</w:t>
            </w:r>
            <w:r w:rsidRPr="005719DC">
              <w:rPr>
                <w:rFonts w:eastAsia="Calibri"/>
                <w:b w:val="0"/>
                <w:color w:val="000000"/>
                <w:sz w:val="20"/>
                <w:szCs w:val="20"/>
              </w:rPr>
              <w:t xml:space="preserve"> Odds ratios estimated by binomial logistic regression adjusted for sex, age, family purchasing p</w:t>
            </w:r>
            <w:r w:rsidR="00B53A19">
              <w:rPr>
                <w:rFonts w:eastAsia="Calibri"/>
                <w:b w:val="0"/>
                <w:color w:val="000000"/>
                <w:sz w:val="20"/>
                <w:szCs w:val="20"/>
              </w:rPr>
              <w:t>ower, diet quality index (M</w:t>
            </w:r>
            <w:r w:rsidR="002C42CE">
              <w:rPr>
                <w:rFonts w:eastAsia="Calibri"/>
                <w:b w:val="0"/>
                <w:color w:val="000000"/>
                <w:sz w:val="20"/>
                <w:szCs w:val="20"/>
              </w:rPr>
              <w:t>ed-</w:t>
            </w:r>
            <w:bookmarkStart w:id="0" w:name="_GoBack"/>
            <w:bookmarkEnd w:id="0"/>
            <w:r w:rsidRPr="005719DC">
              <w:rPr>
                <w:rFonts w:eastAsia="Calibri"/>
                <w:b w:val="0"/>
                <w:color w:val="000000"/>
                <w:sz w:val="20"/>
                <w:szCs w:val="20"/>
              </w:rPr>
              <w:t>DQI) and physical activity (PAQ-C).</w:t>
            </w:r>
          </w:p>
          <w:p w:rsidR="00ED41B7" w:rsidRPr="005719DC" w:rsidRDefault="00ED41B7" w:rsidP="00EF5E56">
            <w:pPr>
              <w:spacing w:line="240" w:lineRule="atLeast"/>
              <w:rPr>
                <w:b w:val="0"/>
                <w:sz w:val="20"/>
                <w:szCs w:val="20"/>
              </w:rPr>
            </w:pPr>
            <w:r w:rsidRPr="005719DC">
              <w:rPr>
                <w:rFonts w:eastAsia="Calibri"/>
                <w:b w:val="0"/>
                <w:color w:val="000000"/>
                <w:sz w:val="20"/>
                <w:szCs w:val="20"/>
                <w:vertAlign w:val="superscript"/>
              </w:rPr>
              <w:t>d</w:t>
            </w:r>
            <w:r w:rsidRPr="005719DC">
              <w:rPr>
                <w:rFonts w:eastAsia="Calibri"/>
                <w:b w:val="0"/>
                <w:color w:val="000000"/>
                <w:sz w:val="20"/>
                <w:szCs w:val="20"/>
              </w:rPr>
              <w:t xml:space="preserve"> At least one parameter of the following altered lipid profile: total cholesterol (≥200 mg/dL), HDL cholesterol (&lt;40 mg/dL), LDL cholesterol (≥130 mg/dL) and triglycerides (≥100 mg/dL).</w:t>
            </w:r>
          </w:p>
          <w:p w:rsidR="00ED41B7" w:rsidRPr="005719DC" w:rsidRDefault="00ED41B7" w:rsidP="00EF5E56">
            <w:pPr>
              <w:spacing w:line="240" w:lineRule="atLeast"/>
              <w:rPr>
                <w:b w:val="0"/>
                <w:sz w:val="20"/>
                <w:szCs w:val="20"/>
              </w:rPr>
            </w:pPr>
            <w:r w:rsidRPr="005719DC">
              <w:rPr>
                <w:rFonts w:eastAsia="Calibri"/>
                <w:b w:val="0"/>
                <w:color w:val="000000"/>
                <w:sz w:val="20"/>
                <w:szCs w:val="20"/>
                <w:vertAlign w:val="superscript"/>
              </w:rPr>
              <w:t>e</w:t>
            </w:r>
            <w:r w:rsidRPr="005719DC">
              <w:rPr>
                <w:rFonts w:eastAsia="Calibri"/>
                <w:b w:val="0"/>
                <w:color w:val="000000"/>
                <w:sz w:val="20"/>
                <w:szCs w:val="20"/>
              </w:rPr>
              <w:t xml:space="preserve"> At least one parameter of the following altered glycemic profile: glycemia (≥100 mg/dL), HOMA-IR (≥3.16) or glycated hemoglobin (≥5.7%).</w:t>
            </w:r>
          </w:p>
          <w:p w:rsidR="00ED41B7" w:rsidRPr="005719DC" w:rsidRDefault="00ED41B7" w:rsidP="00EF5E56">
            <w:pPr>
              <w:spacing w:line="240" w:lineRule="atLeast"/>
              <w:rPr>
                <w:b w:val="0"/>
                <w:sz w:val="20"/>
                <w:szCs w:val="20"/>
              </w:rPr>
            </w:pPr>
            <w:r w:rsidRPr="005719DC">
              <w:rPr>
                <w:rFonts w:eastAsia="Calibri"/>
                <w:b w:val="0"/>
                <w:color w:val="000000"/>
                <w:sz w:val="20"/>
                <w:szCs w:val="20"/>
                <w:vertAlign w:val="superscript"/>
              </w:rPr>
              <w:t>f</w:t>
            </w:r>
            <w:r w:rsidRPr="005719DC">
              <w:rPr>
                <w:rFonts w:eastAsia="Calibri"/>
                <w:b w:val="0"/>
                <w:color w:val="000000"/>
                <w:sz w:val="20"/>
                <w:szCs w:val="20"/>
              </w:rPr>
              <w:t xml:space="preserve"> Prediabetes: subcategory of dysglycemia. Glycemia (≥100 mg/dL) and glycated hemoglobin (≥5.7%).</w:t>
            </w:r>
          </w:p>
          <w:p w:rsidR="00ED41B7" w:rsidRPr="00746883" w:rsidRDefault="00ED41B7" w:rsidP="00EF5E56">
            <w:pPr>
              <w:spacing w:line="240" w:lineRule="atLeast"/>
              <w:rPr>
                <w:b w:val="0"/>
                <w:sz w:val="20"/>
                <w:szCs w:val="20"/>
                <w:lang w:val="es-ES"/>
              </w:rPr>
            </w:pPr>
            <w:r w:rsidRPr="00746883">
              <w:rPr>
                <w:rFonts w:eastAsia="Calibri"/>
                <w:b w:val="0"/>
                <w:color w:val="000000"/>
                <w:sz w:val="20"/>
                <w:szCs w:val="20"/>
                <w:vertAlign w:val="superscript"/>
                <w:lang w:val="es-ES"/>
              </w:rPr>
              <w:t>g</w:t>
            </w:r>
            <w:r w:rsidRPr="00746883">
              <w:rPr>
                <w:rFonts w:eastAsia="Calibri"/>
                <w:b w:val="0"/>
                <w:color w:val="000000"/>
                <w:sz w:val="20"/>
                <w:szCs w:val="20"/>
                <w:lang w:val="es-ES"/>
              </w:rPr>
              <w:t xml:space="preserve"> HOMA-IR: subcategory of dysglycemia. HOMA–IR ≥3.16.</w:t>
            </w:r>
          </w:p>
          <w:p w:rsidR="00ED41B7" w:rsidRPr="005719DC" w:rsidRDefault="00ED41B7" w:rsidP="00EF5E56">
            <w:pPr>
              <w:spacing w:line="240" w:lineRule="atLeast"/>
              <w:rPr>
                <w:b w:val="0"/>
                <w:sz w:val="20"/>
                <w:szCs w:val="20"/>
              </w:rPr>
            </w:pPr>
            <w:r w:rsidRPr="005719DC">
              <w:rPr>
                <w:rFonts w:eastAsia="Calibri"/>
                <w:b w:val="0"/>
                <w:color w:val="000000"/>
                <w:sz w:val="20"/>
                <w:szCs w:val="20"/>
                <w:vertAlign w:val="superscript"/>
              </w:rPr>
              <w:t>h</w:t>
            </w:r>
            <w:r w:rsidRPr="005719DC">
              <w:rPr>
                <w:rFonts w:eastAsia="Calibri"/>
                <w:b w:val="0"/>
                <w:color w:val="000000"/>
                <w:sz w:val="20"/>
                <w:szCs w:val="20"/>
              </w:rPr>
              <w:t xml:space="preserve"> Systolic or diastolic blood pressure above the 90</w:t>
            </w:r>
            <w:r w:rsidRPr="005719DC">
              <w:rPr>
                <w:rFonts w:eastAsia="Calibri"/>
                <w:b w:val="0"/>
                <w:color w:val="000000"/>
                <w:sz w:val="20"/>
                <w:szCs w:val="20"/>
                <w:vertAlign w:val="superscript"/>
              </w:rPr>
              <w:t>th</w:t>
            </w:r>
            <w:r w:rsidR="004A1289">
              <w:rPr>
                <w:rFonts w:eastAsia="Calibri"/>
                <w:b w:val="0"/>
                <w:color w:val="000000"/>
                <w:sz w:val="20"/>
                <w:szCs w:val="20"/>
              </w:rPr>
              <w:t xml:space="preserve"> percentile.</w:t>
            </w:r>
          </w:p>
          <w:p w:rsidR="00ED41B7" w:rsidRPr="005719DC" w:rsidRDefault="00ED41B7" w:rsidP="00EF5E56">
            <w:pPr>
              <w:spacing w:line="240" w:lineRule="atLeast"/>
              <w:rPr>
                <w:b w:val="0"/>
                <w:sz w:val="20"/>
                <w:szCs w:val="20"/>
              </w:rPr>
            </w:pPr>
            <w:r w:rsidRPr="005719DC">
              <w:rPr>
                <w:b w:val="0"/>
                <w:sz w:val="20"/>
                <w:szCs w:val="20"/>
                <w:vertAlign w:val="superscript"/>
              </w:rPr>
              <w:t>†</w:t>
            </w:r>
            <w:r w:rsidRPr="005719DC">
              <w:rPr>
                <w:b w:val="0"/>
                <w:sz w:val="20"/>
                <w:szCs w:val="20"/>
              </w:rPr>
              <w:t xml:space="preserve"> </w:t>
            </w:r>
            <w:r w:rsidRPr="005719DC">
              <w:rPr>
                <w:b w:val="0"/>
                <w:i/>
                <w:sz w:val="20"/>
                <w:szCs w:val="20"/>
              </w:rPr>
              <w:t>p value</w:t>
            </w:r>
            <w:r w:rsidRPr="005719DC">
              <w:rPr>
                <w:b w:val="0"/>
                <w:sz w:val="20"/>
                <w:szCs w:val="20"/>
              </w:rPr>
              <w:t xml:space="preserve"> &lt;0.05; </w:t>
            </w:r>
            <w:r w:rsidRPr="005719DC">
              <w:rPr>
                <w:b w:val="0"/>
                <w:sz w:val="20"/>
                <w:szCs w:val="20"/>
                <w:vertAlign w:val="superscript"/>
              </w:rPr>
              <w:t xml:space="preserve">†† </w:t>
            </w:r>
            <w:r w:rsidRPr="005719DC">
              <w:rPr>
                <w:b w:val="0"/>
                <w:i/>
                <w:sz w:val="20"/>
                <w:szCs w:val="20"/>
              </w:rPr>
              <w:t xml:space="preserve">p value </w:t>
            </w:r>
            <w:r w:rsidRPr="005719DC">
              <w:rPr>
                <w:b w:val="0"/>
                <w:sz w:val="20"/>
                <w:szCs w:val="20"/>
              </w:rPr>
              <w:t>&lt;0.001</w:t>
            </w:r>
            <w:r w:rsidR="00540727">
              <w:rPr>
                <w:b w:val="0"/>
                <w:sz w:val="20"/>
                <w:szCs w:val="20"/>
              </w:rPr>
              <w:t>.</w:t>
            </w:r>
          </w:p>
          <w:p w:rsidR="00ED41B7" w:rsidRPr="005719DC" w:rsidRDefault="00ED41B7" w:rsidP="00EF5E56">
            <w:pPr>
              <w:jc w:val="center"/>
              <w:rPr>
                <w:sz w:val="20"/>
                <w:szCs w:val="20"/>
              </w:rPr>
            </w:pPr>
          </w:p>
        </w:tc>
      </w:tr>
    </w:tbl>
    <w:p w:rsidR="00891D99" w:rsidRDefault="00891D99">
      <w:pPr>
        <w:rPr>
          <w:sz w:val="20"/>
          <w:szCs w:val="20"/>
        </w:rPr>
      </w:pPr>
    </w:p>
    <w:p w:rsidR="005719DC" w:rsidRDefault="005719DC">
      <w:pPr>
        <w:rPr>
          <w:sz w:val="20"/>
          <w:szCs w:val="20"/>
        </w:rPr>
      </w:pPr>
    </w:p>
    <w:p w:rsidR="005719DC" w:rsidRPr="007773A8" w:rsidRDefault="005719DC" w:rsidP="005719DC">
      <w:pPr>
        <w:spacing w:after="120" w:line="360" w:lineRule="auto"/>
        <w:rPr>
          <w:rFonts w:eastAsia="Calibri"/>
          <w:sz w:val="20"/>
          <w:szCs w:val="20"/>
          <w:lang w:val="en-GB"/>
        </w:rPr>
      </w:pPr>
      <w:r w:rsidRPr="00B53A19">
        <w:rPr>
          <w:b/>
          <w:sz w:val="20"/>
          <w:szCs w:val="20"/>
          <w:lang w:val="es-ES"/>
        </w:rPr>
        <w:t xml:space="preserve">Author: </w:t>
      </w:r>
      <w:r w:rsidRPr="00B53A19">
        <w:rPr>
          <w:rFonts w:eastAsia="Calibri"/>
          <w:color w:val="000000"/>
          <w:sz w:val="20"/>
          <w:szCs w:val="20"/>
          <w:lang w:val="es-ES"/>
        </w:rPr>
        <w:t>Honorato Ortiz Marrón</w:t>
      </w:r>
      <w:r w:rsidR="00BC2729" w:rsidRPr="00B53A19">
        <w:rPr>
          <w:rFonts w:eastAsia="Calibri"/>
          <w:color w:val="000000"/>
          <w:sz w:val="20"/>
          <w:szCs w:val="20"/>
          <w:lang w:val="es-ES"/>
        </w:rPr>
        <w:t xml:space="preserve"> et a</w:t>
      </w:r>
      <w:r w:rsidRPr="00B53A19">
        <w:rPr>
          <w:rFonts w:eastAsia="Calibri"/>
          <w:color w:val="000000"/>
          <w:sz w:val="20"/>
          <w:szCs w:val="20"/>
          <w:lang w:val="es-ES"/>
        </w:rPr>
        <w:t xml:space="preserve">l. </w:t>
      </w:r>
      <w:r w:rsidRPr="007773A8">
        <w:rPr>
          <w:rFonts w:eastAsia="Calibri"/>
          <w:color w:val="000000"/>
          <w:sz w:val="20"/>
          <w:szCs w:val="20"/>
          <w:lang w:val="en-GB"/>
        </w:rPr>
        <w:t>Department of Epidemiology, General Directorate of Public Health. Madrid, Spain</w:t>
      </w:r>
    </w:p>
    <w:p w:rsidR="005719DC" w:rsidRPr="007773A8" w:rsidRDefault="005719DC" w:rsidP="005719DC">
      <w:pPr>
        <w:spacing w:after="120" w:line="360" w:lineRule="auto"/>
        <w:rPr>
          <w:rFonts w:eastAsia="Calibri"/>
          <w:sz w:val="20"/>
          <w:szCs w:val="20"/>
          <w:lang w:val="en-GB"/>
        </w:rPr>
      </w:pPr>
      <w:r w:rsidRPr="007773A8">
        <w:rPr>
          <w:b/>
          <w:sz w:val="20"/>
          <w:szCs w:val="20"/>
        </w:rPr>
        <w:t xml:space="preserve">Journal: </w:t>
      </w:r>
      <w:r w:rsidRPr="007773A8">
        <w:rPr>
          <w:rFonts w:eastAsia="Calibri"/>
          <w:iCs/>
          <w:color w:val="000000"/>
          <w:sz w:val="20"/>
          <w:szCs w:val="20"/>
        </w:rPr>
        <w:t>European Journal of Pediatrics</w:t>
      </w:r>
    </w:p>
    <w:p w:rsidR="005719DC" w:rsidRPr="005719DC" w:rsidRDefault="005719DC">
      <w:pPr>
        <w:rPr>
          <w:sz w:val="20"/>
          <w:szCs w:val="20"/>
        </w:rPr>
      </w:pPr>
    </w:p>
    <w:sectPr w:rsidR="005719DC" w:rsidRPr="005719D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1B7"/>
    <w:rsid w:val="002C42CE"/>
    <w:rsid w:val="004A1289"/>
    <w:rsid w:val="00540727"/>
    <w:rsid w:val="005719DC"/>
    <w:rsid w:val="0063633C"/>
    <w:rsid w:val="00746883"/>
    <w:rsid w:val="00891D99"/>
    <w:rsid w:val="00B53A19"/>
    <w:rsid w:val="00BC2729"/>
    <w:rsid w:val="00D2324F"/>
    <w:rsid w:val="00ED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6D47C"/>
  <w15:chartTrackingRefBased/>
  <w15:docId w15:val="{1CEBC6B5-D34C-4A82-AAEF-6BE66788C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41B7"/>
    <w:rPr>
      <w:rFonts w:ascii="Times New Roman" w:hAnsi="Times New Roman" w:cs="Times New Roman"/>
      <w:sz w:val="24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escripcin">
    <w:name w:val="caption"/>
    <w:basedOn w:val="Normal"/>
    <w:next w:val="Normal"/>
    <w:uiPriority w:val="35"/>
    <w:unhideWhenUsed/>
    <w:qFormat/>
    <w:rsid w:val="00ED41B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anormal1">
    <w:name w:val="Plain Table 1"/>
    <w:basedOn w:val="Tablanormal"/>
    <w:uiPriority w:val="41"/>
    <w:rsid w:val="00ED41B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Comunidad de Madrid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Ortiz Marrón.Honorato</dc:creator>
  <cp:keywords/>
  <dc:description/>
  <cp:lastModifiedBy>Cabañas Pujadas.Gloria</cp:lastModifiedBy>
  <cp:revision>10</cp:revision>
  <dcterms:created xsi:type="dcterms:W3CDTF">2022-10-11T12:02:00Z</dcterms:created>
  <dcterms:modified xsi:type="dcterms:W3CDTF">2022-11-23T08:49:00Z</dcterms:modified>
</cp:coreProperties>
</file>