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88C64" w14:textId="77777777" w:rsidR="006170EB" w:rsidRDefault="00D15C98">
      <w:pPr>
        <w:spacing w:line="480" w:lineRule="auto"/>
        <w:ind w:left="1134"/>
        <w:jc w:val="both"/>
        <w:rPr>
          <w:lang w:val="en-US"/>
        </w:rPr>
      </w:pPr>
      <w:r>
        <w:rPr>
          <w:rFonts w:ascii="Times New Roman" w:hAnsi="Times New Roman"/>
          <w:b/>
          <w:lang w:val="en-US"/>
        </w:rPr>
        <w:t>Oculocutaneous albinism: the neurological, behavioral, and neuro-ophthalmological perspective</w:t>
      </w:r>
    </w:p>
    <w:p w14:paraId="053E7C13" w14:textId="77777777" w:rsidR="006170EB" w:rsidRDefault="00D15C98">
      <w:pPr>
        <w:spacing w:line="480" w:lineRule="auto"/>
        <w:ind w:left="1134"/>
        <w:jc w:val="both"/>
      </w:pPr>
      <w:r>
        <w:rPr>
          <w:rFonts w:ascii="Times New Roman" w:hAnsi="Times New Roman"/>
        </w:rPr>
        <w:t>Jessica Galli</w:t>
      </w:r>
      <w:r>
        <w:rPr>
          <w:rFonts w:ascii="Times New Roman" w:hAnsi="Times New Roman"/>
          <w:vertAlign w:val="superscript"/>
        </w:rPr>
        <w:t>1,2</w:t>
      </w:r>
      <w:r>
        <w:rPr>
          <w:rFonts w:ascii="Times New Roman" w:hAnsi="Times New Roman"/>
        </w:rPr>
        <w:t>*, Erika Loi</w:t>
      </w:r>
      <w:r>
        <w:rPr>
          <w:rFonts w:ascii="Times New Roman" w:hAnsi="Times New Roman"/>
          <w:vertAlign w:val="superscript"/>
        </w:rPr>
        <w:t>2,3</w:t>
      </w:r>
      <w:r>
        <w:rPr>
          <w:rFonts w:ascii="Times New Roman" w:hAnsi="Times New Roman"/>
        </w:rPr>
        <w:t>, Laura Dusi</w:t>
      </w:r>
      <w:r>
        <w:rPr>
          <w:rFonts w:ascii="Times New Roman" w:hAnsi="Times New Roman"/>
          <w:vertAlign w:val="superscript"/>
        </w:rPr>
        <w:t>1</w:t>
      </w:r>
      <w:r>
        <w:rPr>
          <w:rFonts w:ascii="Times New Roman" w:hAnsi="Times New Roman"/>
        </w:rPr>
        <w:t>, Nadia Pasini</w:t>
      </w:r>
      <w:r>
        <w:rPr>
          <w:rFonts w:ascii="Times New Roman" w:hAnsi="Times New Roman"/>
          <w:vertAlign w:val="superscript"/>
        </w:rPr>
        <w:t>4</w:t>
      </w:r>
      <w:r>
        <w:rPr>
          <w:rFonts w:ascii="Times New Roman" w:hAnsi="Times New Roman"/>
        </w:rPr>
        <w:t>, Andrea Rossi</w:t>
      </w:r>
      <w:r>
        <w:rPr>
          <w:rFonts w:ascii="Times New Roman" w:hAnsi="Times New Roman"/>
          <w:vertAlign w:val="superscript"/>
        </w:rPr>
        <w:t>2</w:t>
      </w:r>
      <w:r>
        <w:rPr>
          <w:rFonts w:ascii="Times New Roman" w:hAnsi="Times New Roman"/>
        </w:rPr>
        <w:t>, Vera Scaglioni</w:t>
      </w:r>
      <w:r>
        <w:rPr>
          <w:rFonts w:ascii="Times New Roman" w:hAnsi="Times New Roman"/>
          <w:vertAlign w:val="superscript"/>
        </w:rPr>
        <w:t>2</w:t>
      </w:r>
      <w:r>
        <w:rPr>
          <w:rFonts w:ascii="Times New Roman" w:hAnsi="Times New Roman"/>
        </w:rPr>
        <w:t>, Lucia Mauri</w:t>
      </w:r>
      <w:r>
        <w:rPr>
          <w:rFonts w:ascii="Times New Roman" w:hAnsi="Times New Roman"/>
          <w:vertAlign w:val="superscript"/>
        </w:rPr>
        <w:t>5</w:t>
      </w:r>
      <w:r>
        <w:rPr>
          <w:rFonts w:ascii="Times New Roman" w:hAnsi="Times New Roman"/>
        </w:rPr>
        <w:t>, Elisa Fazzi</w:t>
      </w:r>
      <w:r>
        <w:rPr>
          <w:rFonts w:ascii="Times New Roman" w:hAnsi="Times New Roman"/>
          <w:vertAlign w:val="superscript"/>
        </w:rPr>
        <w:t>1,2</w:t>
      </w:r>
      <w:r>
        <w:rPr>
          <w:rFonts w:ascii="Times New Roman" w:hAnsi="Times New Roman"/>
        </w:rPr>
        <w:t xml:space="preserve"> </w:t>
      </w:r>
    </w:p>
    <w:p w14:paraId="492A8AAA" w14:textId="77777777" w:rsidR="006170EB" w:rsidRDefault="00D15C98">
      <w:pPr>
        <w:spacing w:line="480" w:lineRule="auto"/>
        <w:ind w:left="1134"/>
        <w:jc w:val="both"/>
        <w:rPr>
          <w:lang w:val="en-US"/>
        </w:rPr>
      </w:pPr>
      <w:r>
        <w:rPr>
          <w:rFonts w:ascii="Times New Roman" w:hAnsi="Times New Roman"/>
          <w:vertAlign w:val="superscript"/>
          <w:lang w:val="en-US"/>
        </w:rPr>
        <w:t>1</w:t>
      </w:r>
      <w:r>
        <w:rPr>
          <w:rFonts w:ascii="Times New Roman" w:hAnsi="Times New Roman"/>
          <w:lang w:val="en-US"/>
        </w:rPr>
        <w:t>Department of Clinical and Experimental Sciences, University of Brescia, Brescia, Italy</w:t>
      </w:r>
    </w:p>
    <w:p w14:paraId="00168A95" w14:textId="77777777" w:rsidR="006170EB" w:rsidRDefault="00D15C98">
      <w:pPr>
        <w:spacing w:line="480" w:lineRule="auto"/>
        <w:ind w:left="1134"/>
        <w:jc w:val="both"/>
        <w:rPr>
          <w:lang w:val="en-US"/>
        </w:rPr>
      </w:pPr>
      <w:r>
        <w:rPr>
          <w:rFonts w:ascii="Times New Roman" w:hAnsi="Times New Roman"/>
          <w:vertAlign w:val="superscript"/>
          <w:lang w:val="en-US"/>
        </w:rPr>
        <w:t>2</w:t>
      </w:r>
      <w:r>
        <w:rPr>
          <w:rFonts w:ascii="Times New Roman" w:hAnsi="Times New Roman"/>
          <w:lang w:val="en-US"/>
        </w:rPr>
        <w:t>Unit of Child Neurology and Psychiatry, ASST Spedali Civili of Brescia, Brescia, Italy</w:t>
      </w:r>
    </w:p>
    <w:p w14:paraId="7BCF1C0A" w14:textId="77777777" w:rsidR="006170EB" w:rsidRDefault="00D15C98">
      <w:pPr>
        <w:spacing w:line="480" w:lineRule="auto"/>
        <w:ind w:left="1134"/>
        <w:jc w:val="both"/>
        <w:rPr>
          <w:lang w:val="en-US"/>
        </w:rPr>
      </w:pPr>
      <w:r>
        <w:rPr>
          <w:rFonts w:ascii="Times New Roman" w:hAnsi="Times New Roman"/>
          <w:vertAlign w:val="superscript"/>
          <w:lang w:val="en-US"/>
        </w:rPr>
        <w:t>3</w:t>
      </w:r>
      <w:r>
        <w:rPr>
          <w:rFonts w:ascii="Times New Roman" w:hAnsi="Times New Roman"/>
          <w:lang w:val="en-US"/>
        </w:rPr>
        <w:t xml:space="preserve">Department of Molecular and Translational Medicine, University of Brescia, Brescia, Italy </w:t>
      </w:r>
    </w:p>
    <w:p w14:paraId="5373A864" w14:textId="77777777" w:rsidR="006170EB" w:rsidRDefault="00D15C98">
      <w:pPr>
        <w:spacing w:line="480" w:lineRule="auto"/>
        <w:ind w:left="1134"/>
        <w:jc w:val="both"/>
        <w:rPr>
          <w:rFonts w:ascii="Times New Roman" w:hAnsi="Times New Roman"/>
          <w:lang w:val="en-US"/>
        </w:rPr>
      </w:pPr>
      <w:r>
        <w:rPr>
          <w:rFonts w:ascii="Times New Roman" w:hAnsi="Times New Roman"/>
          <w:vertAlign w:val="superscript"/>
          <w:lang w:val="en-US"/>
        </w:rPr>
        <w:t>4</w:t>
      </w:r>
      <w:r>
        <w:rPr>
          <w:rFonts w:ascii="Times New Roman" w:hAnsi="Times New Roman"/>
          <w:lang w:val="en-US"/>
        </w:rPr>
        <w:t xml:space="preserve">Department of Neurological and Vision Sciences, ASST Spedali Civili of Brescia </w:t>
      </w:r>
    </w:p>
    <w:p w14:paraId="170FD614" w14:textId="77777777" w:rsidR="006170EB" w:rsidRDefault="00D15C98">
      <w:pPr>
        <w:spacing w:line="480" w:lineRule="auto"/>
        <w:ind w:left="1134"/>
        <w:jc w:val="both"/>
        <w:rPr>
          <w:rFonts w:ascii="Times New Roman" w:hAnsi="Times New Roman"/>
          <w:lang w:val="en-US"/>
        </w:rPr>
      </w:pPr>
      <w:r>
        <w:rPr>
          <w:rFonts w:ascii="Times New Roman" w:hAnsi="Times New Roman"/>
          <w:vertAlign w:val="superscript"/>
          <w:lang w:val="en-US"/>
        </w:rPr>
        <w:t>5</w:t>
      </w:r>
      <w:r>
        <w:rPr>
          <w:rFonts w:ascii="Times New Roman" w:hAnsi="Times New Roman"/>
          <w:lang w:val="en-US"/>
        </w:rPr>
        <w:t>Medical Genetics Unit, Department of Laboratory Medicine, ASST Grande Ospedale Metropolitano Niguarda, Milan, Italy.</w:t>
      </w:r>
    </w:p>
    <w:p w14:paraId="55947742" w14:textId="77777777" w:rsidR="006170EB" w:rsidRDefault="006170EB">
      <w:pPr>
        <w:spacing w:line="480" w:lineRule="auto"/>
        <w:ind w:left="1134"/>
        <w:rPr>
          <w:rFonts w:ascii="Times New Roman" w:hAnsi="Times New Roman"/>
          <w:lang w:val="en-US"/>
        </w:rPr>
      </w:pPr>
    </w:p>
    <w:p w14:paraId="3BB00F72" w14:textId="77777777" w:rsidR="006170EB" w:rsidRDefault="00D15C98">
      <w:pPr>
        <w:spacing w:line="480" w:lineRule="auto"/>
        <w:ind w:left="1134"/>
        <w:rPr>
          <w:lang w:val="en-US"/>
        </w:rPr>
      </w:pPr>
      <w:r>
        <w:rPr>
          <w:rFonts w:ascii="Times New Roman" w:hAnsi="Times New Roman"/>
          <w:lang w:val="en-US"/>
        </w:rPr>
        <w:t>*Correspondence</w:t>
      </w:r>
    </w:p>
    <w:p w14:paraId="6C4D548A" w14:textId="77777777" w:rsidR="006170EB" w:rsidRDefault="00D15C98">
      <w:pPr>
        <w:spacing w:line="480" w:lineRule="auto"/>
        <w:ind w:left="1134"/>
        <w:rPr>
          <w:lang w:val="en-US"/>
        </w:rPr>
      </w:pPr>
      <w:r>
        <w:rPr>
          <w:rFonts w:ascii="Times New Roman" w:hAnsi="Times New Roman"/>
          <w:lang w:val="en-US"/>
        </w:rPr>
        <w:t>Corresponding Author: Jessica Galli; E-mail: jessica.galli@unibs.it</w:t>
      </w:r>
    </w:p>
    <w:p w14:paraId="6DB120F3" w14:textId="77777777" w:rsidR="006170EB" w:rsidRDefault="006170EB">
      <w:pPr>
        <w:spacing w:line="480" w:lineRule="auto"/>
        <w:ind w:left="1134"/>
        <w:rPr>
          <w:rFonts w:ascii="Times New Roman" w:hAnsi="Times New Roman"/>
          <w:lang w:val="en-US"/>
        </w:rPr>
      </w:pPr>
    </w:p>
    <w:p w14:paraId="3F49FCFE" w14:textId="77777777" w:rsidR="006170EB" w:rsidRDefault="006170EB">
      <w:pPr>
        <w:spacing w:line="480" w:lineRule="auto"/>
        <w:ind w:left="1134"/>
        <w:rPr>
          <w:rFonts w:ascii="Times New Roman" w:hAnsi="Times New Roman"/>
          <w:lang w:val="en-US"/>
        </w:rPr>
      </w:pPr>
    </w:p>
    <w:p w14:paraId="147B79B6" w14:textId="77777777" w:rsidR="006170EB" w:rsidRDefault="006170EB">
      <w:pPr>
        <w:spacing w:line="480" w:lineRule="auto"/>
        <w:ind w:left="1134"/>
        <w:rPr>
          <w:rFonts w:ascii="Times New Roman" w:hAnsi="Times New Roman"/>
          <w:lang w:val="en-US"/>
        </w:rPr>
      </w:pPr>
    </w:p>
    <w:p w14:paraId="5FF901FF" w14:textId="77777777" w:rsidR="006170EB" w:rsidRDefault="006170EB">
      <w:pPr>
        <w:spacing w:line="480" w:lineRule="auto"/>
        <w:ind w:left="1134"/>
        <w:rPr>
          <w:rFonts w:ascii="Times New Roman" w:hAnsi="Times New Roman"/>
          <w:lang w:val="en-US"/>
        </w:rPr>
      </w:pPr>
    </w:p>
    <w:p w14:paraId="6ECE8D65" w14:textId="77777777" w:rsidR="006170EB" w:rsidRDefault="006170EB">
      <w:pPr>
        <w:spacing w:line="480" w:lineRule="auto"/>
        <w:ind w:left="1134"/>
        <w:rPr>
          <w:rFonts w:ascii="Times New Roman" w:hAnsi="Times New Roman"/>
          <w:lang w:val="en-US"/>
        </w:rPr>
      </w:pPr>
    </w:p>
    <w:p w14:paraId="05133BE7" w14:textId="77777777" w:rsidR="006170EB" w:rsidRDefault="006170EB">
      <w:pPr>
        <w:spacing w:line="480" w:lineRule="auto"/>
        <w:ind w:left="1134"/>
        <w:rPr>
          <w:rFonts w:ascii="Times New Roman" w:hAnsi="Times New Roman"/>
          <w:lang w:val="en-US"/>
        </w:rPr>
      </w:pPr>
    </w:p>
    <w:p w14:paraId="4DEDC916" w14:textId="77777777" w:rsidR="006170EB" w:rsidRDefault="006170EB">
      <w:pPr>
        <w:spacing w:line="480" w:lineRule="auto"/>
        <w:ind w:left="1134"/>
        <w:rPr>
          <w:rFonts w:ascii="Times New Roman" w:hAnsi="Times New Roman"/>
          <w:lang w:val="en-US"/>
        </w:rPr>
      </w:pPr>
    </w:p>
    <w:p w14:paraId="3648255D" w14:textId="77777777" w:rsidR="006170EB" w:rsidRDefault="006170EB">
      <w:pPr>
        <w:spacing w:line="480" w:lineRule="auto"/>
        <w:ind w:left="1134"/>
        <w:rPr>
          <w:rFonts w:ascii="Times New Roman" w:hAnsi="Times New Roman"/>
          <w:lang w:val="en-US"/>
        </w:rPr>
      </w:pPr>
    </w:p>
    <w:p w14:paraId="08CE287F" w14:textId="77777777" w:rsidR="006170EB" w:rsidRDefault="006170EB">
      <w:pPr>
        <w:spacing w:line="480" w:lineRule="auto"/>
        <w:ind w:left="1134"/>
        <w:rPr>
          <w:rFonts w:ascii="Times New Roman" w:hAnsi="Times New Roman"/>
          <w:lang w:val="en-US"/>
        </w:rPr>
      </w:pPr>
    </w:p>
    <w:p w14:paraId="67F43D17" w14:textId="77777777" w:rsidR="006170EB" w:rsidRDefault="00D15C98">
      <w:pPr>
        <w:spacing w:after="0" w:line="480" w:lineRule="auto"/>
        <w:ind w:left="1134"/>
        <w:jc w:val="both"/>
        <w:rPr>
          <w:rFonts w:ascii="Times New Roman" w:hAnsi="Times New Roman"/>
          <w:bCs/>
          <w:lang w:val="en-US"/>
        </w:rPr>
      </w:pPr>
      <w:r>
        <w:rPr>
          <w:rFonts w:ascii="Times New Roman" w:hAnsi="Times New Roman"/>
          <w:b/>
          <w:bCs/>
          <w:lang w:val="en-US"/>
        </w:rPr>
        <w:lastRenderedPageBreak/>
        <w:t>Abstract</w:t>
      </w:r>
    </w:p>
    <w:p w14:paraId="1FD89AF6" w14:textId="77777777" w:rsidR="006170EB" w:rsidRPr="004B6D2C" w:rsidRDefault="00D15C98">
      <w:pPr>
        <w:spacing w:after="0" w:line="480" w:lineRule="auto"/>
        <w:ind w:left="1134"/>
        <w:jc w:val="both"/>
        <w:rPr>
          <w:rFonts w:ascii="Times New Roman" w:hAnsi="Times New Roman"/>
          <w:bCs/>
          <w:color w:val="auto"/>
          <w:lang w:val="en-US"/>
        </w:rPr>
      </w:pPr>
      <w:r>
        <w:rPr>
          <w:rFonts w:ascii="Times New Roman" w:hAnsi="Times New Roman"/>
          <w:bCs/>
          <w:lang w:val="en-US"/>
        </w:rPr>
        <w:t>Purpose:</w:t>
      </w:r>
      <w:r>
        <w:rPr>
          <w:lang w:val="en-US"/>
        </w:rPr>
        <w:t xml:space="preserve"> </w:t>
      </w:r>
      <w:r>
        <w:rPr>
          <w:rFonts w:ascii="Times New Roman" w:hAnsi="Times New Roman"/>
          <w:bCs/>
          <w:lang w:val="en-US"/>
        </w:rPr>
        <w:t xml:space="preserve">Oculocutaneous albinism (OCA) is a group of rare, genetic disorders caused by absent/reduced melanin biosynthesis. The aim of this study was to explore the neurovisual, cognitive, adaptive, and behavioral profile of children affected by OCA, also evaluating any possible effect of the visual acuity deficit on the clinical </w:t>
      </w:r>
      <w:r w:rsidRPr="004B6D2C">
        <w:rPr>
          <w:rFonts w:ascii="Times New Roman" w:hAnsi="Times New Roman"/>
          <w:bCs/>
          <w:color w:val="auto"/>
          <w:lang w:val="en-US"/>
        </w:rPr>
        <w:t>profile</w:t>
      </w:r>
      <w:r w:rsidR="004A67F1" w:rsidRPr="004B6D2C">
        <w:rPr>
          <w:rFonts w:ascii="Times New Roman" w:hAnsi="Times New Roman"/>
          <w:bCs/>
          <w:color w:val="auto"/>
          <w:lang w:val="en-US"/>
        </w:rPr>
        <w:t xml:space="preserve"> and genotype-phenotype correlations</w:t>
      </w:r>
      <w:r w:rsidRPr="004B6D2C">
        <w:rPr>
          <w:rFonts w:ascii="Times New Roman" w:hAnsi="Times New Roman"/>
          <w:bCs/>
          <w:color w:val="auto"/>
          <w:lang w:val="en-US"/>
        </w:rPr>
        <w:t>.</w:t>
      </w:r>
    </w:p>
    <w:p w14:paraId="53BD8FA8" w14:textId="77777777" w:rsidR="006170EB" w:rsidRDefault="00D15C98">
      <w:pPr>
        <w:spacing w:after="0" w:line="480" w:lineRule="auto"/>
        <w:ind w:left="1134"/>
        <w:jc w:val="both"/>
        <w:rPr>
          <w:rFonts w:ascii="Times New Roman" w:hAnsi="Times New Roman"/>
          <w:lang w:val="en-US"/>
        </w:rPr>
      </w:pPr>
      <w:r>
        <w:rPr>
          <w:rFonts w:ascii="Times New Roman" w:hAnsi="Times New Roman"/>
          <w:bCs/>
          <w:lang w:val="en-US"/>
        </w:rPr>
        <w:t>Methods: E</w:t>
      </w:r>
      <w:r>
        <w:rPr>
          <w:rFonts w:ascii="Times New Roman" w:hAnsi="Times New Roman"/>
          <w:lang w:val="en-US"/>
        </w:rPr>
        <w:t>ighteen children (9 males, mean age 84</w:t>
      </w:r>
      <w:r w:rsidRPr="00173B38">
        <w:rPr>
          <w:rFonts w:ascii="Times New Roman" w:hAnsi="Times New Roman"/>
          <w:strike/>
          <w:color w:val="FF0000"/>
          <w:lang w:val="en-US"/>
        </w:rPr>
        <w:t>.5</w:t>
      </w:r>
      <w:r>
        <w:rPr>
          <w:rFonts w:ascii="Times New Roman" w:hAnsi="Times New Roman"/>
          <w:lang w:val="en-US"/>
        </w:rPr>
        <w:t xml:space="preserve"> months ±41</w:t>
      </w:r>
      <w:r w:rsidRPr="00173B38">
        <w:rPr>
          <w:rFonts w:ascii="Times New Roman" w:hAnsi="Times New Roman"/>
          <w:strike/>
          <w:color w:val="FF0000"/>
          <w:lang w:val="en-US"/>
        </w:rPr>
        <w:t>.2</w:t>
      </w:r>
      <w:r>
        <w:rPr>
          <w:rFonts w:ascii="Times New Roman" w:hAnsi="Times New Roman"/>
          <w:lang w:val="en-US"/>
        </w:rPr>
        <w:t>; range 18-181 months) with a molecular confirmed diagnosis of OCA were enrolled in the study. We collected data on clinical history, neurodevelopmental profile, neurological and neurovisual examination, cognitive, adaptive and emotional/behavioral functioning.</w:t>
      </w:r>
    </w:p>
    <w:p w14:paraId="2A3CF407" w14:textId="0A3D5FAE" w:rsidR="006170EB" w:rsidRPr="004B6D2C" w:rsidRDefault="00D15C98">
      <w:pPr>
        <w:spacing w:after="0" w:line="480" w:lineRule="auto"/>
        <w:ind w:left="1134"/>
        <w:jc w:val="both"/>
        <w:rPr>
          <w:rFonts w:ascii="Times New Roman" w:hAnsi="Times New Roman"/>
          <w:color w:val="auto"/>
          <w:lang w:val="en-US"/>
        </w:rPr>
      </w:pPr>
      <w:r>
        <w:rPr>
          <w:rFonts w:ascii="Times New Roman" w:hAnsi="Times New Roman"/>
          <w:bCs/>
          <w:lang w:val="en-US"/>
        </w:rPr>
        <w:t>Results:</w:t>
      </w:r>
      <w:r>
        <w:rPr>
          <w:rFonts w:ascii="Times New Roman" w:hAnsi="Times New Roman"/>
          <w:lang w:val="en-US"/>
        </w:rPr>
        <w:t xml:space="preserve"> A global neurodevelopmental </w:t>
      </w:r>
      <w:r w:rsidRPr="004B6D2C">
        <w:rPr>
          <w:rFonts w:ascii="Times New Roman" w:hAnsi="Times New Roman"/>
          <w:color w:val="auto"/>
          <w:lang w:val="en-US"/>
        </w:rPr>
        <w:t xml:space="preserve">impairment was detected in </w:t>
      </w:r>
      <w:r w:rsidR="004A67F1" w:rsidRPr="004B6D2C">
        <w:rPr>
          <w:rFonts w:ascii="Times New Roman" w:hAnsi="Times New Roman"/>
          <w:color w:val="auto"/>
          <w:lang w:val="en-US"/>
        </w:rPr>
        <w:t xml:space="preserve">56% </w:t>
      </w:r>
      <w:r w:rsidRPr="004B6D2C">
        <w:rPr>
          <w:rFonts w:ascii="Times New Roman" w:hAnsi="Times New Roman"/>
          <w:color w:val="auto"/>
          <w:lang w:val="en-US"/>
        </w:rPr>
        <w:t>of the children, without evolving into an intellectual disability. All the patients showed</w:t>
      </w:r>
      <w:r>
        <w:rPr>
          <w:rFonts w:ascii="Times New Roman" w:hAnsi="Times New Roman"/>
          <w:lang w:val="en-US"/>
        </w:rPr>
        <w:t xml:space="preserve"> signs and symptoms of visual impairment. Low adaptive functioning was observed in 3 cases (17%). A risk for internalizing behavioral problems was documented in 6 cases (33%), for externalizing problems in 2 (11%) and for both in 5 (28%). Twelve children (67%) showed one or more autism-like features. Correlation analyses revealed significant associations between the visual acuity level and Performance </w:t>
      </w:r>
      <w:r w:rsidRPr="004B6D2C">
        <w:rPr>
          <w:rFonts w:ascii="Times New Roman" w:hAnsi="Times New Roman"/>
          <w:color w:val="auto"/>
          <w:lang w:val="en-US"/>
        </w:rPr>
        <w:t>Intelligence Quotient (</w:t>
      </w:r>
      <w:r w:rsidRPr="004B6D2C">
        <w:rPr>
          <w:rFonts w:ascii="Times New Roman" w:hAnsi="Times New Roman"/>
          <w:i/>
          <w:color w:val="auto"/>
          <w:lang w:val="en-US"/>
        </w:rPr>
        <w:t>p</w:t>
      </w:r>
      <w:r w:rsidRPr="004B6D2C">
        <w:rPr>
          <w:rFonts w:ascii="Times New Roman" w:hAnsi="Times New Roman"/>
          <w:iCs/>
          <w:color w:val="auto"/>
          <w:lang w:val="en-US"/>
        </w:rPr>
        <w:t xml:space="preserve">=0.001), </w:t>
      </w:r>
      <w:r w:rsidRPr="004B6D2C">
        <w:rPr>
          <w:rFonts w:ascii="Times New Roman" w:hAnsi="Times New Roman"/>
          <w:color w:val="auto"/>
          <w:lang w:val="en-US"/>
        </w:rPr>
        <w:t xml:space="preserve">Processing Speed Index </w:t>
      </w:r>
      <w:r w:rsidRPr="004B6D2C">
        <w:rPr>
          <w:rFonts w:ascii="Times New Roman" w:hAnsi="Times New Roman"/>
          <w:iCs/>
          <w:color w:val="auto"/>
          <w:lang w:val="en-US"/>
        </w:rPr>
        <w:t>(</w:t>
      </w:r>
      <w:r w:rsidRPr="004B6D2C">
        <w:rPr>
          <w:rFonts w:ascii="Times New Roman" w:hAnsi="Times New Roman"/>
          <w:i/>
          <w:color w:val="auto"/>
          <w:lang w:val="en-US"/>
        </w:rPr>
        <w:t>p</w:t>
      </w:r>
      <w:r w:rsidRPr="004B6D2C">
        <w:rPr>
          <w:rFonts w:ascii="Times New Roman" w:hAnsi="Times New Roman"/>
          <w:iCs/>
          <w:color w:val="auto"/>
          <w:lang w:val="en-US"/>
        </w:rPr>
        <w:t>=0.021), Vineland total score (</w:t>
      </w:r>
      <w:r w:rsidRPr="004B6D2C">
        <w:rPr>
          <w:rFonts w:ascii="Times New Roman" w:hAnsi="Times New Roman"/>
          <w:i/>
          <w:color w:val="auto"/>
          <w:lang w:val="en-US"/>
        </w:rPr>
        <w:t>p</w:t>
      </w:r>
      <w:r w:rsidRPr="004B6D2C">
        <w:rPr>
          <w:rFonts w:ascii="Times New Roman" w:hAnsi="Times New Roman"/>
          <w:iCs/>
          <w:color w:val="auto"/>
          <w:lang w:val="en-US"/>
        </w:rPr>
        <w:t>=0.020</w:t>
      </w:r>
      <w:r w:rsidRPr="004B6D2C">
        <w:rPr>
          <w:rFonts w:ascii="Times New Roman" w:hAnsi="Times New Roman"/>
          <w:color w:val="auto"/>
          <w:lang w:val="en-US"/>
        </w:rPr>
        <w:t>), Vineland communication (</w:t>
      </w:r>
      <w:r w:rsidRPr="004B6D2C">
        <w:rPr>
          <w:rFonts w:ascii="Times New Roman" w:hAnsi="Times New Roman"/>
          <w:i/>
          <w:color w:val="auto"/>
          <w:lang w:val="en-US"/>
        </w:rPr>
        <w:t>p</w:t>
      </w:r>
      <w:r w:rsidRPr="004B6D2C">
        <w:rPr>
          <w:rFonts w:ascii="Times New Roman" w:hAnsi="Times New Roman"/>
          <w:iCs/>
          <w:color w:val="auto"/>
          <w:lang w:val="en-US"/>
        </w:rPr>
        <w:t>=0.020</w:t>
      </w:r>
      <w:r w:rsidRPr="004B6D2C">
        <w:rPr>
          <w:rFonts w:ascii="Times New Roman" w:hAnsi="Times New Roman"/>
          <w:color w:val="auto"/>
          <w:lang w:val="en-US"/>
        </w:rPr>
        <w:t>) and socialization (</w:t>
      </w:r>
      <w:r w:rsidRPr="004B6D2C">
        <w:rPr>
          <w:rFonts w:ascii="Times New Roman" w:hAnsi="Times New Roman"/>
          <w:i/>
          <w:color w:val="auto"/>
          <w:lang w:val="en-US"/>
        </w:rPr>
        <w:t>p</w:t>
      </w:r>
      <w:r w:rsidRPr="004B6D2C">
        <w:rPr>
          <w:rFonts w:ascii="Times New Roman" w:hAnsi="Times New Roman"/>
          <w:iCs/>
          <w:color w:val="auto"/>
          <w:lang w:val="en-US"/>
        </w:rPr>
        <w:t>=0.037</w:t>
      </w:r>
      <w:r w:rsidRPr="004B6D2C">
        <w:rPr>
          <w:rFonts w:ascii="Times New Roman" w:hAnsi="Times New Roman"/>
          <w:color w:val="auto"/>
          <w:lang w:val="en-US"/>
        </w:rPr>
        <w:t>) domains.</w:t>
      </w:r>
      <w:r w:rsidR="004A67F1" w:rsidRPr="004B6D2C">
        <w:rPr>
          <w:rFonts w:ascii="Times New Roman" w:hAnsi="Times New Roman"/>
          <w:color w:val="auto"/>
          <w:lang w:val="en-US"/>
        </w:rPr>
        <w:t xml:space="preserve"> No significant correlations were found between genotype and phenotype.</w:t>
      </w:r>
    </w:p>
    <w:p w14:paraId="7F6A7BC4" w14:textId="674F8EAD" w:rsidR="006170EB" w:rsidRDefault="00D15C98">
      <w:pPr>
        <w:spacing w:after="0" w:line="480" w:lineRule="auto"/>
        <w:ind w:left="1134"/>
        <w:jc w:val="both"/>
        <w:rPr>
          <w:rFonts w:ascii="Times New Roman" w:hAnsi="Times New Roman"/>
          <w:lang w:val="en-US"/>
        </w:rPr>
      </w:pPr>
      <w:r w:rsidRPr="004B6D2C">
        <w:rPr>
          <w:rFonts w:ascii="Times New Roman" w:hAnsi="Times New Roman"/>
          <w:color w:val="auto"/>
          <w:lang w:val="en-US"/>
        </w:rPr>
        <w:t>Conclusions: Children with OCA may present a global neurodevelopmental delay that seems to improve with age, and emotional/behavioral</w:t>
      </w:r>
      <w:r>
        <w:rPr>
          <w:rFonts w:ascii="Times New Roman" w:hAnsi="Times New Roman"/>
          <w:lang w:val="en-US"/>
        </w:rPr>
        <w:t xml:space="preserve"> difficulties, along with the well-known visual impairment. An early neuropsychiatric evaluation and habilitative training </w:t>
      </w:r>
      <w:bookmarkStart w:id="0" w:name="_Hlk122441203"/>
      <w:r>
        <w:rPr>
          <w:rFonts w:ascii="Times New Roman" w:hAnsi="Times New Roman"/>
          <w:lang w:val="en-US"/>
        </w:rPr>
        <w:t xml:space="preserve">are recommended to improve vision-related performance, neurodevelopment, and any psychological difficulties. </w:t>
      </w:r>
      <w:bookmarkEnd w:id="0"/>
    </w:p>
    <w:p w14:paraId="331B1C7E" w14:textId="77777777" w:rsidR="006170EB" w:rsidRDefault="006170EB">
      <w:pPr>
        <w:spacing w:after="0" w:line="480" w:lineRule="auto"/>
        <w:ind w:left="1134"/>
        <w:jc w:val="both"/>
        <w:rPr>
          <w:rFonts w:ascii="Times New Roman" w:hAnsi="Times New Roman"/>
          <w:lang w:val="en-US"/>
        </w:rPr>
      </w:pPr>
    </w:p>
    <w:p w14:paraId="3220E537" w14:textId="77777777" w:rsidR="006170EB" w:rsidRPr="004B6D2C" w:rsidRDefault="00D15C98">
      <w:pPr>
        <w:spacing w:after="0" w:line="480" w:lineRule="auto"/>
        <w:ind w:left="1134"/>
        <w:jc w:val="both"/>
        <w:rPr>
          <w:color w:val="auto"/>
          <w:lang w:val="en-US"/>
        </w:rPr>
      </w:pPr>
      <w:r>
        <w:rPr>
          <w:rFonts w:ascii="Times New Roman" w:hAnsi="Times New Roman"/>
          <w:lang w:val="en-US"/>
        </w:rPr>
        <w:t xml:space="preserve">Keywords: albinism; children; neurodevelopment; </w:t>
      </w:r>
      <w:r w:rsidRPr="004B6D2C">
        <w:rPr>
          <w:rFonts w:ascii="Times New Roman" w:hAnsi="Times New Roman"/>
          <w:color w:val="auto"/>
          <w:lang w:val="en-US"/>
        </w:rPr>
        <w:t>vision</w:t>
      </w:r>
      <w:r w:rsidR="004A67F1" w:rsidRPr="004B6D2C">
        <w:rPr>
          <w:rFonts w:ascii="Times New Roman" w:hAnsi="Times New Roman"/>
          <w:color w:val="auto"/>
          <w:lang w:val="en-US"/>
        </w:rPr>
        <w:t>; intelligence quotient</w:t>
      </w:r>
      <w:r w:rsidRPr="004B6D2C">
        <w:rPr>
          <w:rFonts w:ascii="Times New Roman" w:hAnsi="Times New Roman"/>
          <w:color w:val="auto"/>
          <w:lang w:val="en-US"/>
        </w:rPr>
        <w:t>.</w:t>
      </w:r>
    </w:p>
    <w:p w14:paraId="330647D9" w14:textId="77777777" w:rsidR="006170EB" w:rsidRDefault="006170EB" w:rsidP="004A67F1">
      <w:pPr>
        <w:spacing w:after="0" w:line="480" w:lineRule="auto"/>
        <w:rPr>
          <w:rFonts w:ascii="Times New Roman" w:hAnsi="Times New Roman"/>
          <w:lang w:val="en-US"/>
        </w:rPr>
      </w:pPr>
    </w:p>
    <w:p w14:paraId="12FF13A5"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What is known</w:t>
      </w:r>
    </w:p>
    <w:p w14:paraId="5EA1632D" w14:textId="77777777" w:rsidR="006170EB" w:rsidRDefault="00D15C98">
      <w:pPr>
        <w:pStyle w:val="Paragrafoelenco"/>
        <w:numPr>
          <w:ilvl w:val="0"/>
          <w:numId w:val="2"/>
        </w:numPr>
        <w:spacing w:after="0" w:line="480" w:lineRule="auto"/>
        <w:jc w:val="both"/>
        <w:rPr>
          <w:rFonts w:ascii="Times New Roman" w:hAnsi="Times New Roman"/>
          <w:lang w:val="en-US"/>
        </w:rPr>
      </w:pPr>
      <w:r>
        <w:rPr>
          <w:rFonts w:ascii="Times New Roman" w:hAnsi="Times New Roman"/>
          <w:lang w:val="en-US"/>
        </w:rPr>
        <w:lastRenderedPageBreak/>
        <w:t>Children with oculocutaneous albinism show dermatological and ophthalmological problems.</w:t>
      </w:r>
    </w:p>
    <w:p w14:paraId="7066A510" w14:textId="77777777" w:rsidR="006170EB" w:rsidRDefault="00D15C98">
      <w:pPr>
        <w:pStyle w:val="Paragrafoelenco"/>
        <w:numPr>
          <w:ilvl w:val="0"/>
          <w:numId w:val="2"/>
        </w:numPr>
        <w:spacing w:after="0" w:line="480" w:lineRule="auto"/>
        <w:jc w:val="both"/>
        <w:rPr>
          <w:rFonts w:ascii="Times New Roman" w:hAnsi="Times New Roman"/>
          <w:lang w:val="en-US"/>
        </w:rPr>
      </w:pPr>
      <w:r>
        <w:rPr>
          <w:rFonts w:ascii="Times New Roman" w:hAnsi="Times New Roman"/>
          <w:lang w:val="en-US"/>
        </w:rPr>
        <w:t>An early visual impairment may have negative implications on motor, emotional and mental processes that would allow the child to organize his or her experiences.</w:t>
      </w:r>
    </w:p>
    <w:p w14:paraId="2CD75059"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What is new</w:t>
      </w:r>
    </w:p>
    <w:p w14:paraId="5B3231C9" w14:textId="77777777" w:rsidR="006170EB" w:rsidRDefault="00D15C98">
      <w:pPr>
        <w:pStyle w:val="Paragrafoelenco"/>
        <w:numPr>
          <w:ilvl w:val="0"/>
          <w:numId w:val="3"/>
        </w:numPr>
        <w:spacing w:after="0" w:line="480" w:lineRule="auto"/>
        <w:jc w:val="both"/>
        <w:rPr>
          <w:rFonts w:ascii="Times New Roman" w:hAnsi="Times New Roman"/>
          <w:lang w:val="en-US"/>
        </w:rPr>
      </w:pPr>
      <w:r>
        <w:rPr>
          <w:rFonts w:ascii="Times New Roman" w:hAnsi="Times New Roman"/>
          <w:lang w:val="en-US"/>
        </w:rPr>
        <w:t>In addition to a variable combination of ocular signs and symptoms, children with oculocutaneous albinism may present an early neurodevelopmental delay and emotional/behavioral difficulties.</w:t>
      </w:r>
    </w:p>
    <w:p w14:paraId="2FACC27D" w14:textId="77777777" w:rsidR="006170EB" w:rsidRDefault="00D15C98" w:rsidP="004A67F1">
      <w:pPr>
        <w:pStyle w:val="Paragrafoelenco"/>
        <w:numPr>
          <w:ilvl w:val="0"/>
          <w:numId w:val="3"/>
        </w:numPr>
        <w:spacing w:after="0" w:line="480" w:lineRule="auto"/>
        <w:jc w:val="both"/>
        <w:rPr>
          <w:rFonts w:ascii="Times New Roman" w:hAnsi="Times New Roman"/>
          <w:lang w:val="en-US"/>
        </w:rPr>
      </w:pPr>
      <w:r>
        <w:rPr>
          <w:rFonts w:ascii="Times New Roman" w:hAnsi="Times New Roman"/>
          <w:lang w:val="en-US"/>
        </w:rPr>
        <w:t>An early visual treatment are recommended to improve vision-related performance, neurodevelopment, and any psychological difficulties.</w:t>
      </w:r>
    </w:p>
    <w:p w14:paraId="11AE006B" w14:textId="77777777" w:rsidR="004A67F1" w:rsidRPr="004A67F1" w:rsidRDefault="004A67F1" w:rsidP="004A67F1">
      <w:pPr>
        <w:pStyle w:val="Paragrafoelenco"/>
        <w:spacing w:after="0" w:line="480" w:lineRule="auto"/>
        <w:ind w:left="1854"/>
        <w:jc w:val="both"/>
        <w:rPr>
          <w:rFonts w:ascii="Times New Roman" w:hAnsi="Times New Roman"/>
          <w:lang w:val="en-US"/>
        </w:rPr>
      </w:pPr>
    </w:p>
    <w:p w14:paraId="5B52B587"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List of Abbreviations in alphabetical order</w:t>
      </w:r>
    </w:p>
    <w:p w14:paraId="0F0ADFC7"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ASD: Autism spectrum disorders</w:t>
      </w:r>
    </w:p>
    <w:p w14:paraId="2F377FB4" w14:textId="77777777" w:rsidR="001615A6" w:rsidRDefault="00D15C98" w:rsidP="001615A6">
      <w:pPr>
        <w:spacing w:after="0" w:line="480" w:lineRule="auto"/>
        <w:ind w:left="1134"/>
        <w:jc w:val="both"/>
        <w:rPr>
          <w:rFonts w:ascii="Times New Roman" w:hAnsi="Times New Roman"/>
          <w:lang w:val="en-US"/>
        </w:rPr>
      </w:pPr>
      <w:r>
        <w:rPr>
          <w:rFonts w:ascii="Times New Roman" w:hAnsi="Times New Roman"/>
          <w:lang w:val="en-US"/>
        </w:rPr>
        <w:t>CASD: Checklist for Autism Spectrum Disorder</w:t>
      </w:r>
    </w:p>
    <w:p w14:paraId="7F2AEEE2"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CBCL:</w:t>
      </w:r>
      <w:r>
        <w:rPr>
          <w:lang w:val="en-US"/>
        </w:rPr>
        <w:t xml:space="preserve"> </w:t>
      </w:r>
      <w:r>
        <w:rPr>
          <w:rFonts w:ascii="Times New Roman" w:hAnsi="Times New Roman"/>
          <w:lang w:val="en-US"/>
        </w:rPr>
        <w:t>Child Behavior Checklist</w:t>
      </w:r>
    </w:p>
    <w:p w14:paraId="2D1B53C8" w14:textId="77777777" w:rsidR="001615A6" w:rsidRPr="004B6D2C" w:rsidRDefault="001615A6">
      <w:pPr>
        <w:spacing w:after="0" w:line="480" w:lineRule="auto"/>
        <w:ind w:left="1134"/>
        <w:jc w:val="both"/>
        <w:rPr>
          <w:rFonts w:ascii="Times New Roman" w:hAnsi="Times New Roman"/>
          <w:color w:val="auto"/>
          <w:lang w:val="en-US"/>
        </w:rPr>
      </w:pPr>
      <w:r w:rsidRPr="004B6D2C">
        <w:rPr>
          <w:rFonts w:ascii="Times New Roman" w:hAnsi="Times New Roman"/>
          <w:color w:val="auto"/>
          <w:lang w:val="en-US"/>
        </w:rPr>
        <w:t>CNS: Central nervous system</w:t>
      </w:r>
    </w:p>
    <w:p w14:paraId="0C69E6EB"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DQ: Developmental Quotient</w:t>
      </w:r>
    </w:p>
    <w:p w14:paraId="55CC6EE1"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FSIQ:</w:t>
      </w:r>
      <w:r>
        <w:rPr>
          <w:lang w:val="en-US"/>
        </w:rPr>
        <w:t xml:space="preserve"> </w:t>
      </w:r>
      <w:r>
        <w:rPr>
          <w:rFonts w:ascii="Times New Roman" w:hAnsi="Times New Roman"/>
          <w:lang w:val="en-US"/>
        </w:rPr>
        <w:t>Full Scale Intelligence Quotient</w:t>
      </w:r>
    </w:p>
    <w:p w14:paraId="1EC69FB5"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GMDS-R:</w:t>
      </w:r>
      <w:r>
        <w:rPr>
          <w:lang w:val="en-US"/>
        </w:rPr>
        <w:t xml:space="preserve"> </w:t>
      </w:r>
      <w:r>
        <w:rPr>
          <w:rFonts w:ascii="Times New Roman" w:hAnsi="Times New Roman"/>
          <w:lang w:val="en-US"/>
        </w:rPr>
        <w:t>Griffiths Mental Developmental Scales–Revised</w:t>
      </w:r>
    </w:p>
    <w:p w14:paraId="44E9A0CB"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OA:</w:t>
      </w:r>
      <w:r>
        <w:rPr>
          <w:lang w:val="en-US"/>
        </w:rPr>
        <w:t xml:space="preserve"> </w:t>
      </w:r>
      <w:r>
        <w:rPr>
          <w:rFonts w:ascii="Times New Roman" w:hAnsi="Times New Roman"/>
          <w:lang w:val="en-US"/>
        </w:rPr>
        <w:t>Ocular albinism</w:t>
      </w:r>
    </w:p>
    <w:p w14:paraId="51CA74DF"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OCA:</w:t>
      </w:r>
      <w:r>
        <w:rPr>
          <w:lang w:val="en-US"/>
        </w:rPr>
        <w:t xml:space="preserve"> </w:t>
      </w:r>
      <w:r>
        <w:rPr>
          <w:rFonts w:ascii="Times New Roman" w:hAnsi="Times New Roman"/>
          <w:lang w:val="en-US"/>
        </w:rPr>
        <w:t>Oculocutaneous albinism</w:t>
      </w:r>
    </w:p>
    <w:p w14:paraId="5EF262C8"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PRI: Perceptual Reasoning Index</w:t>
      </w:r>
    </w:p>
    <w:p w14:paraId="13C46F58"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PIQ: Performance Intelligence Quotient</w:t>
      </w:r>
    </w:p>
    <w:p w14:paraId="71F050E4"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PSI:</w:t>
      </w:r>
      <w:r>
        <w:rPr>
          <w:lang w:val="en-US"/>
        </w:rPr>
        <w:t xml:space="preserve"> </w:t>
      </w:r>
      <w:r>
        <w:rPr>
          <w:rFonts w:ascii="Times New Roman" w:hAnsi="Times New Roman"/>
          <w:lang w:val="en-US"/>
        </w:rPr>
        <w:t>Processing Speed Index</w:t>
      </w:r>
    </w:p>
    <w:p w14:paraId="2B5C376F"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VCI:</w:t>
      </w:r>
      <w:r>
        <w:rPr>
          <w:lang w:val="en-US"/>
        </w:rPr>
        <w:t xml:space="preserve"> </w:t>
      </w:r>
      <w:r>
        <w:rPr>
          <w:rFonts w:ascii="Times New Roman" w:hAnsi="Times New Roman"/>
          <w:lang w:val="en-US"/>
        </w:rPr>
        <w:t>Verbal Comprehension Index</w:t>
      </w:r>
    </w:p>
    <w:p w14:paraId="0BC779DD"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VIQ:</w:t>
      </w:r>
      <w:r>
        <w:rPr>
          <w:lang w:val="en-US"/>
        </w:rPr>
        <w:t xml:space="preserve"> </w:t>
      </w:r>
      <w:r>
        <w:rPr>
          <w:rFonts w:ascii="Times New Roman" w:hAnsi="Times New Roman"/>
          <w:lang w:val="en-US"/>
        </w:rPr>
        <w:t>Verbal Intelligence Quotient</w:t>
      </w:r>
    </w:p>
    <w:p w14:paraId="7E9AD345"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VABS: Vineland Adaptive Behavior Scales</w:t>
      </w:r>
    </w:p>
    <w:p w14:paraId="14A802EB"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WPPSI-III:</w:t>
      </w:r>
      <w:r>
        <w:rPr>
          <w:lang w:val="en-US"/>
        </w:rPr>
        <w:t xml:space="preserve"> </w:t>
      </w:r>
      <w:r>
        <w:rPr>
          <w:rFonts w:ascii="Times New Roman" w:hAnsi="Times New Roman"/>
          <w:lang w:val="en-US"/>
        </w:rPr>
        <w:t>Wechsler Preschool and Primary Scale of Intelligence III edition</w:t>
      </w:r>
    </w:p>
    <w:p w14:paraId="0C84A6CC"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lastRenderedPageBreak/>
        <w:t>WISC-IV:</w:t>
      </w:r>
      <w:r>
        <w:rPr>
          <w:lang w:val="en-US"/>
        </w:rPr>
        <w:t xml:space="preserve"> </w:t>
      </w:r>
      <w:r>
        <w:rPr>
          <w:rFonts w:ascii="Times New Roman" w:hAnsi="Times New Roman"/>
          <w:lang w:val="en-US"/>
        </w:rPr>
        <w:t>Wechsler Scales of Intelligence for Children IV edition</w:t>
      </w:r>
    </w:p>
    <w:p w14:paraId="57FFA724"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WMI: Working Memory Index</w:t>
      </w:r>
    </w:p>
    <w:p w14:paraId="05BBF16A" w14:textId="77777777" w:rsidR="004A67F1" w:rsidRDefault="00D15C98" w:rsidP="004A67F1">
      <w:pPr>
        <w:spacing w:after="0" w:line="480" w:lineRule="auto"/>
        <w:ind w:left="1134"/>
        <w:jc w:val="both"/>
        <w:rPr>
          <w:rFonts w:ascii="Times New Roman" w:hAnsi="Times New Roman"/>
          <w:lang w:val="en-US"/>
        </w:rPr>
      </w:pPr>
      <w:r>
        <w:rPr>
          <w:rFonts w:ascii="Times New Roman" w:hAnsi="Times New Roman"/>
          <w:lang w:val="en-US"/>
        </w:rPr>
        <w:t>WHO:</w:t>
      </w:r>
      <w:r>
        <w:rPr>
          <w:lang w:val="en-US"/>
        </w:rPr>
        <w:t xml:space="preserve"> </w:t>
      </w:r>
      <w:r>
        <w:rPr>
          <w:rFonts w:ascii="Times New Roman" w:hAnsi="Times New Roman"/>
          <w:lang w:val="en-US"/>
        </w:rPr>
        <w:t>World Health Organization</w:t>
      </w:r>
    </w:p>
    <w:p w14:paraId="1629211D" w14:textId="77777777" w:rsidR="006170EB" w:rsidRDefault="00D15C98">
      <w:pPr>
        <w:pStyle w:val="NormaleWeb"/>
        <w:spacing w:before="280" w:beforeAutospacing="0" w:after="0" w:afterAutospacing="0" w:line="480" w:lineRule="auto"/>
        <w:ind w:left="1134"/>
        <w:jc w:val="both"/>
        <w:rPr>
          <w:b/>
          <w:sz w:val="22"/>
          <w:szCs w:val="22"/>
          <w:lang w:val="en-US"/>
        </w:rPr>
      </w:pPr>
      <w:r>
        <w:rPr>
          <w:b/>
          <w:sz w:val="22"/>
          <w:szCs w:val="22"/>
          <w:lang w:val="en-US"/>
        </w:rPr>
        <w:t>INTRODUCTION</w:t>
      </w:r>
    </w:p>
    <w:p w14:paraId="42E81274" w14:textId="77777777" w:rsidR="006170EB" w:rsidRDefault="00D15C98" w:rsidP="004A67F1">
      <w:pPr>
        <w:pStyle w:val="NormaleWeb"/>
        <w:spacing w:beforeAutospacing="0" w:after="0" w:afterAutospacing="0" w:line="480" w:lineRule="auto"/>
        <w:ind w:left="1134"/>
        <w:jc w:val="both"/>
        <w:rPr>
          <w:sz w:val="22"/>
          <w:szCs w:val="22"/>
          <w:lang w:val="en-US"/>
        </w:rPr>
      </w:pPr>
      <w:r>
        <w:rPr>
          <w:sz w:val="22"/>
          <w:szCs w:val="22"/>
          <w:lang w:val="en-US"/>
        </w:rPr>
        <w:t>Oculocutaneous albinism (OCA) is a rare, autosomal recessive disorder caused by the complete absence or reduction of biosynthesis of melanin in melanocytes. It affects people globally, with an overall prevalence of approximately 1 in 20.000 [1], with different rates across geographic regions and ethnic groups [2].</w:t>
      </w:r>
    </w:p>
    <w:p w14:paraId="5C18B977" w14:textId="2B34B550" w:rsidR="006170EB" w:rsidRDefault="00D15C98" w:rsidP="004A67F1">
      <w:pPr>
        <w:pStyle w:val="NormaleWeb"/>
        <w:spacing w:beforeAutospacing="0" w:after="0" w:afterAutospacing="0" w:line="480" w:lineRule="auto"/>
        <w:ind w:left="1134"/>
        <w:jc w:val="both"/>
        <w:rPr>
          <w:sz w:val="22"/>
          <w:szCs w:val="22"/>
          <w:lang w:val="en-US"/>
        </w:rPr>
      </w:pPr>
      <w:r>
        <w:rPr>
          <w:sz w:val="22"/>
          <w:szCs w:val="22"/>
          <w:lang w:val="en-US"/>
        </w:rPr>
        <w:t xml:space="preserve">Individuals affected by OCA present a normal number of melanocytes in the epidermis and follicles, but they totally or partially lack of the melanin pigment [3]. Currently, eight forms have been identified (from OCA1 to OCA8) with a highly variable phenotype [1; 4-5]. Ocular abnormalities, such as hypopigmentation of iris and retina, foveal hypoplasia, and atypical decussation at the optic chiasm, also characterize the disorder, resulting in a wide spectrum of visual signs and symptoms, such as reduced visual acuity, impaired stereopsis, strabismus, nystagmus, iris translucency, and photophobia [6].  </w:t>
      </w:r>
    </w:p>
    <w:p w14:paraId="6EF46828" w14:textId="4D5FA62A" w:rsidR="00E239FA" w:rsidRDefault="00D15C98" w:rsidP="00E239FA">
      <w:pPr>
        <w:pStyle w:val="NormaleWeb"/>
        <w:spacing w:beforeAutospacing="0" w:after="0" w:afterAutospacing="0" w:line="480" w:lineRule="auto"/>
        <w:ind w:left="1134"/>
        <w:jc w:val="both"/>
        <w:rPr>
          <w:sz w:val="22"/>
          <w:szCs w:val="22"/>
          <w:lang w:val="en-US"/>
        </w:rPr>
      </w:pPr>
      <w:r>
        <w:rPr>
          <w:sz w:val="22"/>
          <w:szCs w:val="22"/>
          <w:lang w:val="en-US"/>
        </w:rPr>
        <w:t xml:space="preserve">Several alterations in genes encoding proteins involved in the melanin biosynthesis pathway have been identified: specifically, the </w:t>
      </w:r>
      <w:r>
        <w:rPr>
          <w:i/>
          <w:iCs/>
          <w:sz w:val="22"/>
          <w:szCs w:val="22"/>
          <w:lang w:val="en-US"/>
        </w:rPr>
        <w:t>TYR</w:t>
      </w:r>
      <w:r>
        <w:rPr>
          <w:sz w:val="22"/>
          <w:szCs w:val="22"/>
          <w:lang w:val="en-US"/>
        </w:rPr>
        <w:t xml:space="preserve"> gene (OCA1, both A and B type), </w:t>
      </w:r>
      <w:r>
        <w:rPr>
          <w:i/>
          <w:iCs/>
          <w:sz w:val="22"/>
          <w:szCs w:val="22"/>
          <w:lang w:val="en-US"/>
        </w:rPr>
        <w:t xml:space="preserve">OCA2 </w:t>
      </w:r>
      <w:r>
        <w:rPr>
          <w:sz w:val="22"/>
          <w:szCs w:val="22"/>
          <w:lang w:val="en-US"/>
        </w:rPr>
        <w:t>or</w:t>
      </w:r>
      <w:r>
        <w:rPr>
          <w:i/>
          <w:iCs/>
          <w:sz w:val="22"/>
          <w:szCs w:val="22"/>
          <w:lang w:val="en-US"/>
        </w:rPr>
        <w:t xml:space="preserve"> P </w:t>
      </w:r>
      <w:r>
        <w:rPr>
          <w:sz w:val="22"/>
          <w:szCs w:val="22"/>
          <w:lang w:val="en-US"/>
        </w:rPr>
        <w:t>gene</w:t>
      </w:r>
      <w:r>
        <w:rPr>
          <w:i/>
          <w:iCs/>
          <w:sz w:val="22"/>
          <w:szCs w:val="22"/>
          <w:lang w:val="en-US"/>
        </w:rPr>
        <w:t xml:space="preserve"> </w:t>
      </w:r>
      <w:r>
        <w:rPr>
          <w:sz w:val="22"/>
          <w:szCs w:val="22"/>
          <w:lang w:val="en-US"/>
        </w:rPr>
        <w:t xml:space="preserve">(OCA2), </w:t>
      </w:r>
      <w:r>
        <w:rPr>
          <w:i/>
          <w:iCs/>
          <w:sz w:val="22"/>
          <w:szCs w:val="22"/>
          <w:lang w:val="en-US"/>
        </w:rPr>
        <w:t>TYRP1</w:t>
      </w:r>
      <w:r>
        <w:rPr>
          <w:sz w:val="22"/>
          <w:szCs w:val="22"/>
          <w:lang w:val="en-US"/>
        </w:rPr>
        <w:t xml:space="preserve"> (OCA3) [7], </w:t>
      </w:r>
      <w:r>
        <w:rPr>
          <w:i/>
          <w:iCs/>
          <w:sz w:val="22"/>
          <w:szCs w:val="22"/>
          <w:lang w:val="en-US"/>
        </w:rPr>
        <w:t>SLC45A2</w:t>
      </w:r>
      <w:r>
        <w:rPr>
          <w:sz w:val="22"/>
          <w:szCs w:val="22"/>
          <w:lang w:val="en-US"/>
        </w:rPr>
        <w:t xml:space="preserve"> (OCA4) [4], </w:t>
      </w:r>
      <w:r>
        <w:rPr>
          <w:i/>
          <w:iCs/>
          <w:sz w:val="22"/>
          <w:szCs w:val="22"/>
          <w:lang w:val="en-US"/>
        </w:rPr>
        <w:t>SLC24A5</w:t>
      </w:r>
      <w:r>
        <w:rPr>
          <w:sz w:val="22"/>
          <w:szCs w:val="22"/>
          <w:lang w:val="en-US"/>
        </w:rPr>
        <w:t xml:space="preserve"> (OCA6) [8], </w:t>
      </w:r>
      <w:r w:rsidRPr="004B6D2C">
        <w:rPr>
          <w:i/>
          <w:iCs/>
          <w:color w:val="auto"/>
          <w:sz w:val="22"/>
          <w:szCs w:val="22"/>
          <w:lang w:val="en-US"/>
        </w:rPr>
        <w:t>LRMDA</w:t>
      </w:r>
      <w:r w:rsidRPr="004B6D2C">
        <w:rPr>
          <w:color w:val="auto"/>
          <w:sz w:val="22"/>
          <w:szCs w:val="22"/>
          <w:lang w:val="en-US"/>
        </w:rPr>
        <w:t xml:space="preserve"> (OCA7) [9] and </w:t>
      </w:r>
      <w:r w:rsidRPr="00445199">
        <w:rPr>
          <w:i/>
          <w:strike/>
          <w:color w:val="FF0000"/>
          <w:sz w:val="22"/>
          <w:szCs w:val="22"/>
          <w:lang w:val="en-US"/>
        </w:rPr>
        <w:t>TYRP2</w:t>
      </w:r>
      <w:r w:rsidRPr="004B6D2C">
        <w:rPr>
          <w:color w:val="auto"/>
          <w:sz w:val="22"/>
          <w:szCs w:val="22"/>
          <w:lang w:val="en-US"/>
        </w:rPr>
        <w:t xml:space="preserve"> </w:t>
      </w:r>
      <w:r w:rsidR="00445199" w:rsidRPr="00445199">
        <w:rPr>
          <w:color w:val="FF0000"/>
          <w:sz w:val="22"/>
          <w:szCs w:val="22"/>
          <w:lang w:val="en-US"/>
        </w:rPr>
        <w:t xml:space="preserve">DCT </w:t>
      </w:r>
      <w:r w:rsidRPr="004B6D2C">
        <w:rPr>
          <w:color w:val="auto"/>
          <w:sz w:val="22"/>
          <w:szCs w:val="22"/>
          <w:lang w:val="en-US"/>
        </w:rPr>
        <w:t>(OCA8) [</w:t>
      </w:r>
      <w:r w:rsidRPr="00445199">
        <w:rPr>
          <w:strike/>
          <w:color w:val="FF0000"/>
          <w:sz w:val="22"/>
          <w:szCs w:val="22"/>
          <w:lang w:val="en-US"/>
        </w:rPr>
        <w:t>2</w:t>
      </w:r>
      <w:r w:rsidR="00445199" w:rsidRPr="00445199">
        <w:rPr>
          <w:color w:val="FF0000"/>
          <w:sz w:val="22"/>
          <w:szCs w:val="22"/>
          <w:lang w:val="en-US"/>
        </w:rPr>
        <w:t xml:space="preserve"> </w:t>
      </w:r>
      <w:r w:rsidR="00445199">
        <w:rPr>
          <w:color w:val="FF0000"/>
          <w:sz w:val="22"/>
          <w:szCs w:val="22"/>
          <w:lang w:val="en-US"/>
        </w:rPr>
        <w:t>10</w:t>
      </w:r>
      <w:r w:rsidRPr="004B6D2C">
        <w:rPr>
          <w:color w:val="auto"/>
          <w:sz w:val="22"/>
          <w:szCs w:val="22"/>
          <w:lang w:val="en-US"/>
        </w:rPr>
        <w:t>]; the genetic mutation for the OCA5 subtype has not</w:t>
      </w:r>
      <w:r>
        <w:rPr>
          <w:sz w:val="22"/>
          <w:szCs w:val="22"/>
          <w:lang w:val="en-US"/>
        </w:rPr>
        <w:t xml:space="preserve"> yet been identified, but mapped to chromosome 4q24 [</w:t>
      </w:r>
      <w:r w:rsidRPr="00445199">
        <w:rPr>
          <w:strike/>
          <w:color w:val="FF0000"/>
          <w:sz w:val="22"/>
          <w:szCs w:val="22"/>
          <w:lang w:val="en-US"/>
        </w:rPr>
        <w:t>10</w:t>
      </w:r>
      <w:r w:rsidR="00445199" w:rsidRPr="00445199">
        <w:rPr>
          <w:color w:val="FF0000"/>
          <w:sz w:val="22"/>
          <w:szCs w:val="22"/>
          <w:lang w:val="en-US"/>
        </w:rPr>
        <w:t xml:space="preserve"> 11</w:t>
      </w:r>
      <w:r>
        <w:rPr>
          <w:sz w:val="22"/>
          <w:szCs w:val="22"/>
          <w:lang w:val="en-US"/>
        </w:rPr>
        <w:t>]. Finally, OCA can also occur in several syndromic disorders, such as the Hermansky-Pudlak syndrome [</w:t>
      </w:r>
      <w:r w:rsidRPr="00445199">
        <w:rPr>
          <w:strike/>
          <w:color w:val="FF0000"/>
          <w:sz w:val="22"/>
          <w:szCs w:val="22"/>
          <w:lang w:val="en-US"/>
        </w:rPr>
        <w:t>11</w:t>
      </w:r>
      <w:r w:rsidR="00445199" w:rsidRPr="00445199">
        <w:rPr>
          <w:color w:val="FF0000"/>
          <w:sz w:val="22"/>
          <w:szCs w:val="22"/>
          <w:lang w:val="en-US"/>
        </w:rPr>
        <w:t xml:space="preserve"> 12</w:t>
      </w:r>
      <w:r>
        <w:rPr>
          <w:sz w:val="22"/>
          <w:szCs w:val="22"/>
          <w:lang w:val="en-US"/>
        </w:rPr>
        <w:t>] and the Chediak-Higashi syndrome [</w:t>
      </w:r>
      <w:r w:rsidRPr="00445199">
        <w:rPr>
          <w:strike/>
          <w:color w:val="FF0000"/>
          <w:sz w:val="22"/>
          <w:szCs w:val="22"/>
          <w:lang w:val="en-US"/>
        </w:rPr>
        <w:t>12</w:t>
      </w:r>
      <w:r w:rsidR="00445199" w:rsidRPr="00445199">
        <w:rPr>
          <w:color w:val="FF0000"/>
          <w:sz w:val="22"/>
          <w:szCs w:val="22"/>
          <w:lang w:val="en-US"/>
        </w:rPr>
        <w:t xml:space="preserve"> 13</w:t>
      </w:r>
      <w:r>
        <w:rPr>
          <w:sz w:val="22"/>
          <w:szCs w:val="22"/>
          <w:lang w:val="en-US"/>
        </w:rPr>
        <w:t xml:space="preserve">]. </w:t>
      </w:r>
    </w:p>
    <w:p w14:paraId="1CC83A36" w14:textId="5E7C534B" w:rsidR="006170EB" w:rsidRDefault="00D15C98" w:rsidP="004A67F1">
      <w:pPr>
        <w:pStyle w:val="NormaleWeb"/>
        <w:spacing w:beforeAutospacing="0" w:after="0" w:afterAutospacing="0" w:line="480" w:lineRule="auto"/>
        <w:ind w:left="1134"/>
        <w:jc w:val="both"/>
        <w:rPr>
          <w:sz w:val="22"/>
          <w:szCs w:val="22"/>
          <w:lang w:val="en-US"/>
        </w:rPr>
      </w:pPr>
      <w:r>
        <w:rPr>
          <w:sz w:val="22"/>
          <w:szCs w:val="22"/>
          <w:lang w:val="en-US"/>
        </w:rPr>
        <w:t>To date, neurodevelopmental outcomes in subjects with OCA are poorly investigated and the literature is limited to few studies [</w:t>
      </w:r>
      <w:r w:rsidRPr="00E239FA">
        <w:rPr>
          <w:strike/>
          <w:color w:val="FF0000"/>
          <w:sz w:val="22"/>
          <w:szCs w:val="22"/>
          <w:lang w:val="en-US"/>
        </w:rPr>
        <w:t>13-17</w:t>
      </w:r>
      <w:r w:rsidR="00E239FA" w:rsidRPr="00E239FA">
        <w:rPr>
          <w:color w:val="FF0000"/>
          <w:sz w:val="22"/>
          <w:szCs w:val="22"/>
          <w:lang w:val="en-US"/>
        </w:rPr>
        <w:t xml:space="preserve"> 14-18</w:t>
      </w:r>
      <w:r>
        <w:rPr>
          <w:sz w:val="22"/>
          <w:szCs w:val="22"/>
          <w:lang w:val="en-US"/>
        </w:rPr>
        <w:t>] and case reports [</w:t>
      </w:r>
      <w:r w:rsidRPr="00E239FA">
        <w:rPr>
          <w:strike/>
          <w:color w:val="FF0000"/>
          <w:sz w:val="22"/>
          <w:szCs w:val="22"/>
          <w:lang w:val="en-US"/>
        </w:rPr>
        <w:t>18-20</w:t>
      </w:r>
      <w:r w:rsidR="00E239FA" w:rsidRPr="00E239FA">
        <w:rPr>
          <w:color w:val="FF0000"/>
          <w:sz w:val="22"/>
          <w:szCs w:val="22"/>
          <w:lang w:val="en-US"/>
        </w:rPr>
        <w:t xml:space="preserve"> 19-21</w:t>
      </w:r>
      <w:r>
        <w:rPr>
          <w:sz w:val="22"/>
          <w:szCs w:val="22"/>
          <w:lang w:val="en-US"/>
        </w:rPr>
        <w:t xml:space="preserve">]. Kutzbach and </w:t>
      </w:r>
      <w:r w:rsidRPr="00E239FA">
        <w:rPr>
          <w:sz w:val="22"/>
          <w:szCs w:val="22"/>
          <w:lang w:val="en-US"/>
        </w:rPr>
        <w:t>colleagues [</w:t>
      </w:r>
      <w:r w:rsidR="00EC35C2">
        <w:rPr>
          <w:strike/>
          <w:color w:val="FF0000"/>
          <w:sz w:val="22"/>
          <w:szCs w:val="22"/>
          <w:lang w:val="en-US"/>
        </w:rPr>
        <w:t>13-</w:t>
      </w:r>
      <w:r w:rsidR="00EC35C2">
        <w:rPr>
          <w:color w:val="auto"/>
          <w:sz w:val="22"/>
          <w:szCs w:val="22"/>
          <w:lang w:val="en-US"/>
        </w:rPr>
        <w:t>14-15</w:t>
      </w:r>
      <w:r w:rsidRPr="00E239FA">
        <w:rPr>
          <w:sz w:val="22"/>
          <w:szCs w:val="22"/>
          <w:lang w:val="en-US"/>
        </w:rPr>
        <w:t>] reported the presence</w:t>
      </w:r>
      <w:r>
        <w:rPr>
          <w:sz w:val="22"/>
          <w:szCs w:val="22"/>
          <w:lang w:val="en-US"/>
        </w:rPr>
        <w:t xml:space="preserve"> of attention-deficit/hyperactivity disorder in 6.8% of adults and in 21.7% of children with OCA, and of autism spectrum disorders (ASDs) in 3.8% of children; no reading disorders were found in the 44 children evaluated. As regard cognitive profile, normal quotient has been reported in albino subjects [</w:t>
      </w:r>
      <w:r w:rsidRPr="00EC35C2">
        <w:rPr>
          <w:strike/>
          <w:color w:val="FF0000"/>
          <w:sz w:val="22"/>
          <w:szCs w:val="22"/>
          <w:lang w:val="en-US"/>
        </w:rPr>
        <w:t>15-17</w:t>
      </w:r>
      <w:r w:rsidR="00EC35C2" w:rsidRPr="00EC35C2">
        <w:rPr>
          <w:color w:val="FF0000"/>
          <w:sz w:val="22"/>
          <w:szCs w:val="22"/>
          <w:lang w:val="en-US"/>
        </w:rPr>
        <w:t xml:space="preserve"> 16-18</w:t>
      </w:r>
      <w:r>
        <w:rPr>
          <w:sz w:val="22"/>
          <w:szCs w:val="22"/>
          <w:lang w:val="en-US"/>
        </w:rPr>
        <w:t xml:space="preserve">]. Finally, in a recent </w:t>
      </w:r>
      <w:r>
        <w:rPr>
          <w:sz w:val="22"/>
          <w:szCs w:val="22"/>
          <w:lang w:val="en-US"/>
        </w:rPr>
        <w:lastRenderedPageBreak/>
        <w:t xml:space="preserve">study by our group on children with </w:t>
      </w:r>
      <w:r w:rsidRPr="009B4B01">
        <w:rPr>
          <w:sz w:val="22"/>
          <w:szCs w:val="22"/>
          <w:lang w:val="en-US"/>
        </w:rPr>
        <w:t>ocular albinism (OA) [</w:t>
      </w:r>
      <w:r w:rsidRPr="009B4B01">
        <w:rPr>
          <w:strike/>
          <w:color w:val="FF0000"/>
          <w:sz w:val="22"/>
          <w:szCs w:val="22"/>
          <w:lang w:val="en-US"/>
        </w:rPr>
        <w:t>21</w:t>
      </w:r>
      <w:r w:rsidR="009B4B01" w:rsidRPr="009B4B01">
        <w:rPr>
          <w:color w:val="FF0000"/>
          <w:sz w:val="22"/>
          <w:szCs w:val="22"/>
          <w:lang w:val="en-US"/>
        </w:rPr>
        <w:t xml:space="preserve"> 22</w:t>
      </w:r>
      <w:r w:rsidRPr="009B4B01">
        <w:rPr>
          <w:sz w:val="22"/>
          <w:szCs w:val="22"/>
          <w:lang w:val="en-US"/>
        </w:rPr>
        <w:t>], we documented</w:t>
      </w:r>
      <w:r>
        <w:rPr>
          <w:sz w:val="22"/>
          <w:szCs w:val="22"/>
          <w:lang w:val="en-US"/>
        </w:rPr>
        <w:t xml:space="preserve"> neurodevelopmental problems (such as developmental delay, impaired cognitive profile, language disorder, and autistic-like features) above all in children with a genetically confirmed OA diagnosis. The association between OCA and neurodevelopmental disorders could be explained by genetic factors (mutation of the </w:t>
      </w:r>
      <w:r>
        <w:rPr>
          <w:i/>
          <w:iCs/>
          <w:sz w:val="22"/>
          <w:szCs w:val="22"/>
          <w:lang w:val="en-US"/>
        </w:rPr>
        <w:t>GABRA5</w:t>
      </w:r>
      <w:r>
        <w:rPr>
          <w:sz w:val="22"/>
          <w:szCs w:val="22"/>
          <w:lang w:val="en-US"/>
        </w:rPr>
        <w:t xml:space="preserve"> gene, candidate for autism and located near to the </w:t>
      </w:r>
      <w:r>
        <w:rPr>
          <w:i/>
          <w:iCs/>
          <w:sz w:val="22"/>
          <w:szCs w:val="22"/>
          <w:lang w:val="en-US"/>
        </w:rPr>
        <w:t>OCA2</w:t>
      </w:r>
      <w:r>
        <w:rPr>
          <w:sz w:val="22"/>
          <w:szCs w:val="22"/>
          <w:lang w:val="en-US"/>
        </w:rPr>
        <w:t xml:space="preserve"> gene) [</w:t>
      </w:r>
      <w:r w:rsidRPr="009B4B01">
        <w:rPr>
          <w:strike/>
          <w:color w:val="FF0000"/>
          <w:sz w:val="22"/>
          <w:szCs w:val="22"/>
          <w:lang w:val="en-US"/>
        </w:rPr>
        <w:t>19</w:t>
      </w:r>
      <w:r w:rsidR="009B4B01" w:rsidRPr="009B4B01">
        <w:rPr>
          <w:color w:val="FF0000"/>
          <w:sz w:val="22"/>
          <w:szCs w:val="22"/>
          <w:lang w:val="en-US"/>
        </w:rPr>
        <w:t xml:space="preserve"> 20</w:t>
      </w:r>
      <w:r>
        <w:rPr>
          <w:sz w:val="22"/>
          <w:szCs w:val="22"/>
          <w:lang w:val="en-US"/>
        </w:rPr>
        <w:t>] and brain connectivity dysfunctions (misdirection in central nervous system networks other than the visual pathways) [</w:t>
      </w:r>
      <w:r w:rsidRPr="009B4B01">
        <w:rPr>
          <w:strike/>
          <w:color w:val="FF0000"/>
          <w:sz w:val="22"/>
          <w:szCs w:val="22"/>
          <w:lang w:val="en-US"/>
        </w:rPr>
        <w:t>13; 20-21</w:t>
      </w:r>
      <w:r w:rsidR="009B4B01" w:rsidRPr="009B4B01">
        <w:rPr>
          <w:color w:val="FF0000"/>
          <w:sz w:val="22"/>
          <w:szCs w:val="22"/>
          <w:lang w:val="en-US"/>
        </w:rPr>
        <w:t xml:space="preserve"> 14;</w:t>
      </w:r>
      <w:r w:rsidR="009B4B01">
        <w:rPr>
          <w:color w:val="FF0000"/>
          <w:sz w:val="22"/>
          <w:szCs w:val="22"/>
          <w:lang w:val="en-US"/>
        </w:rPr>
        <w:t xml:space="preserve"> 21-22</w:t>
      </w:r>
      <w:r>
        <w:rPr>
          <w:sz w:val="22"/>
          <w:szCs w:val="22"/>
          <w:lang w:val="en-US"/>
        </w:rPr>
        <w:t xml:space="preserve">]. </w:t>
      </w:r>
    </w:p>
    <w:p w14:paraId="486DDFA4" w14:textId="212D136C" w:rsidR="006170EB" w:rsidRPr="004B6D2C" w:rsidRDefault="00D15C98" w:rsidP="004A67F1">
      <w:pPr>
        <w:pStyle w:val="NormaleWeb"/>
        <w:spacing w:beforeAutospacing="0" w:after="0" w:afterAutospacing="0" w:line="480" w:lineRule="auto"/>
        <w:ind w:left="1134"/>
        <w:jc w:val="both"/>
        <w:rPr>
          <w:color w:val="auto"/>
          <w:sz w:val="22"/>
          <w:szCs w:val="22"/>
          <w:lang w:val="en-GB"/>
        </w:rPr>
      </w:pPr>
      <w:r>
        <w:rPr>
          <w:sz w:val="22"/>
          <w:szCs w:val="22"/>
          <w:lang w:val="en-GB"/>
        </w:rPr>
        <w:t>Despite some descriptive data documenting the cognitive level and academic skills of albino subjects, no studies, to our knowledge, provide a comprehensive description of their clinical profile, collecting and relating different developmental areas such as neurovisual, cognitive, adaptive and behavioural features. Given these premises, the aim of the present study was 1) to explore these neurodevelopmental areas that characterized children affected by OCA</w:t>
      </w:r>
      <w:r w:rsidRPr="004B6D2C">
        <w:rPr>
          <w:color w:val="auto"/>
          <w:sz w:val="22"/>
          <w:szCs w:val="22"/>
          <w:lang w:val="en-GB"/>
        </w:rPr>
        <w:t>,</w:t>
      </w:r>
      <w:r>
        <w:rPr>
          <w:sz w:val="22"/>
          <w:szCs w:val="22"/>
          <w:lang w:val="en-GB"/>
        </w:rPr>
        <w:t xml:space="preserve"> </w:t>
      </w:r>
      <w:r w:rsidRPr="004B6D2C">
        <w:rPr>
          <w:color w:val="auto"/>
          <w:sz w:val="22"/>
          <w:szCs w:val="22"/>
          <w:lang w:val="en-GB"/>
        </w:rPr>
        <w:t xml:space="preserve">2) to evaluate any possible effect of the visual acuity deficit on cognitive, adaptive and behavioural functions, and 3) to explore any possible genotype-phenotype correlations. </w:t>
      </w:r>
    </w:p>
    <w:p w14:paraId="3A296EFF"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METHODS</w:t>
      </w:r>
    </w:p>
    <w:p w14:paraId="6293ED00" w14:textId="2F045536" w:rsidR="006170EB" w:rsidRDefault="00D15C98">
      <w:pPr>
        <w:spacing w:after="0" w:line="480" w:lineRule="auto"/>
        <w:ind w:left="1134"/>
        <w:jc w:val="both"/>
        <w:rPr>
          <w:rFonts w:ascii="Times New Roman" w:hAnsi="Times New Roman"/>
          <w:lang w:val="en-US"/>
        </w:rPr>
      </w:pPr>
      <w:r>
        <w:rPr>
          <w:rFonts w:ascii="Times New Roman" w:hAnsi="Times New Roman"/>
          <w:lang w:val="en-US"/>
        </w:rPr>
        <w:t>We collected and analyzed demographic, genetical, and clinical data on 18 children (9 males, mean age of 84</w:t>
      </w:r>
      <w:r w:rsidRPr="009B4B01">
        <w:rPr>
          <w:rFonts w:ascii="Times New Roman" w:hAnsi="Times New Roman"/>
          <w:strike/>
          <w:color w:val="FF0000"/>
          <w:lang w:val="en-US"/>
        </w:rPr>
        <w:t>.5</w:t>
      </w:r>
      <w:r>
        <w:rPr>
          <w:rFonts w:ascii="Times New Roman" w:hAnsi="Times New Roman"/>
          <w:lang w:val="en-US"/>
        </w:rPr>
        <w:t xml:space="preserve"> months, SD 41</w:t>
      </w:r>
      <w:r w:rsidRPr="009B4B01">
        <w:rPr>
          <w:rFonts w:ascii="Times New Roman" w:hAnsi="Times New Roman"/>
          <w:strike/>
          <w:color w:val="FF0000"/>
          <w:lang w:val="en-US"/>
        </w:rPr>
        <w:t>.2</w:t>
      </w:r>
      <w:r>
        <w:rPr>
          <w:rFonts w:ascii="Times New Roman" w:hAnsi="Times New Roman"/>
          <w:lang w:val="en-US"/>
        </w:rPr>
        <w:t xml:space="preserve">; range 18-181 months), referred to our Neuro-ophthalmological Tertiary Centre, Child </w:t>
      </w:r>
      <w:r w:rsidRPr="004B6D2C">
        <w:rPr>
          <w:rFonts w:ascii="Times New Roman" w:hAnsi="Times New Roman"/>
          <w:color w:val="auto"/>
          <w:lang w:val="en-US"/>
        </w:rPr>
        <w:t xml:space="preserve">Neurology and Psychiatry Unit, ASST Spedali Civili of Brescia between January 2021 and July 2022. Inclusion criteria were the diagnosis of OCA, confirmed by genetic analysis, and age </w:t>
      </w:r>
      <w:r w:rsidR="00572F66" w:rsidRPr="004B6D2C">
        <w:rPr>
          <w:rFonts w:ascii="Times New Roman" w:hAnsi="Times New Roman"/>
          <w:color w:val="auto"/>
          <w:lang w:val="en-US"/>
        </w:rPr>
        <w:t>from</w:t>
      </w:r>
      <w:r w:rsidRPr="004B6D2C">
        <w:rPr>
          <w:rFonts w:ascii="Times New Roman" w:hAnsi="Times New Roman"/>
          <w:color w:val="auto"/>
          <w:lang w:val="en-US"/>
        </w:rPr>
        <w:t xml:space="preserve"> </w:t>
      </w:r>
      <w:r w:rsidR="00572F66" w:rsidRPr="004B6D2C">
        <w:rPr>
          <w:rFonts w:ascii="Times New Roman" w:hAnsi="Times New Roman"/>
          <w:color w:val="auto"/>
          <w:lang w:val="en-US"/>
        </w:rPr>
        <w:t>birth</w:t>
      </w:r>
      <w:r w:rsidRPr="004B6D2C">
        <w:rPr>
          <w:rFonts w:ascii="Times New Roman" w:hAnsi="Times New Roman"/>
          <w:color w:val="auto"/>
          <w:lang w:val="en-US"/>
        </w:rPr>
        <w:t xml:space="preserve"> </w:t>
      </w:r>
      <w:r w:rsidR="00572F66" w:rsidRPr="004B6D2C">
        <w:rPr>
          <w:rFonts w:ascii="Times New Roman" w:hAnsi="Times New Roman"/>
          <w:color w:val="auto"/>
          <w:lang w:val="en-US"/>
        </w:rPr>
        <w:t>to</w:t>
      </w:r>
      <w:r w:rsidRPr="004B6D2C">
        <w:rPr>
          <w:rFonts w:ascii="Times New Roman" w:hAnsi="Times New Roman"/>
          <w:color w:val="auto"/>
          <w:lang w:val="en-US"/>
        </w:rPr>
        <w:t xml:space="preserve"> 18 years. Exclusion criteria were the presence of syndromic forms of albinism or ocular albinism. </w:t>
      </w:r>
      <w:r w:rsidRPr="004B6D2C">
        <w:rPr>
          <w:rFonts w:ascii="Times New Roman" w:hAnsi="Times New Roman"/>
          <w:strike/>
          <w:color w:val="FF0000"/>
          <w:lang w:val="en-US"/>
        </w:rPr>
        <w:t>All subjects were eligible for the present study and none declined to participate.</w:t>
      </w:r>
      <w:r w:rsidR="004B6D2C" w:rsidRPr="004B6D2C">
        <w:rPr>
          <w:rFonts w:ascii="Times New Roman" w:hAnsi="Times New Roman"/>
          <w:strike/>
          <w:color w:val="FF0000"/>
          <w:lang w:val="en-US"/>
        </w:rPr>
        <w:t xml:space="preserve"> </w:t>
      </w:r>
      <w:r w:rsidR="004B6D2C">
        <w:rPr>
          <w:rFonts w:ascii="Times New Roman" w:hAnsi="Times New Roman"/>
          <w:color w:val="FF0000"/>
          <w:lang w:val="en-US"/>
        </w:rPr>
        <w:t>None of the eligible subjects declined to participate.</w:t>
      </w:r>
    </w:p>
    <w:p w14:paraId="5FF7F3F6" w14:textId="7BAE49D6" w:rsidR="006170EB" w:rsidRDefault="00D15C98">
      <w:pPr>
        <w:spacing w:after="0" w:line="480" w:lineRule="auto"/>
        <w:ind w:left="1134"/>
        <w:jc w:val="both"/>
        <w:rPr>
          <w:color w:val="auto"/>
          <w:lang w:val="en-US"/>
        </w:rPr>
      </w:pPr>
      <w:r>
        <w:rPr>
          <w:rFonts w:ascii="Times New Roman" w:hAnsi="Times New Roman"/>
          <w:lang w:val="en-US"/>
        </w:rPr>
        <w:t>Data on clinical history (pregnancy, delivery, birth weight, and neurodevelopment milestones) and on neurodevelopmental profile, evaluated using the Griffiths Mental Developmental Scales–Revised (GMDS-R) [</w:t>
      </w:r>
      <w:r w:rsidRPr="009B4B01">
        <w:rPr>
          <w:rFonts w:ascii="Times New Roman" w:hAnsi="Times New Roman"/>
          <w:strike/>
          <w:color w:val="FF0000"/>
          <w:lang w:val="en-US"/>
        </w:rPr>
        <w:t>22</w:t>
      </w:r>
      <w:r w:rsidR="009B4B01" w:rsidRPr="009B4B01">
        <w:rPr>
          <w:rFonts w:ascii="Times New Roman" w:hAnsi="Times New Roman"/>
          <w:color w:val="FF0000"/>
          <w:lang w:val="en-US"/>
        </w:rPr>
        <w:t xml:space="preserve"> 23</w:t>
      </w:r>
      <w:r>
        <w:rPr>
          <w:rFonts w:ascii="Times New Roman" w:hAnsi="Times New Roman"/>
          <w:lang w:val="en-US"/>
        </w:rPr>
        <w:t xml:space="preserve">], were collected from medical charts. Furthermore, the enrolled children underwent neurological and neurovisual examination, cognitive evaluation, adaptive and emotional/behavioral functioning </w:t>
      </w:r>
      <w:r>
        <w:rPr>
          <w:rFonts w:ascii="Times New Roman" w:hAnsi="Times New Roman"/>
          <w:color w:val="auto"/>
          <w:lang w:val="en-US"/>
        </w:rPr>
        <w:t xml:space="preserve">assessments. </w:t>
      </w:r>
    </w:p>
    <w:p w14:paraId="465711D6" w14:textId="57E6E317" w:rsidR="006170EB" w:rsidRDefault="00D15C98">
      <w:pPr>
        <w:spacing w:after="0" w:line="480" w:lineRule="auto"/>
        <w:ind w:left="1134"/>
        <w:jc w:val="both"/>
        <w:rPr>
          <w:rFonts w:ascii="Times New Roman" w:hAnsi="Times New Roman"/>
          <w:sz w:val="24"/>
          <w:szCs w:val="24"/>
          <w:lang w:val="en-US"/>
        </w:rPr>
      </w:pPr>
      <w:r>
        <w:rPr>
          <w:rStyle w:val="Nessuno"/>
          <w:rFonts w:ascii="Times New Roman" w:hAnsi="Times New Roman"/>
          <w:color w:val="auto"/>
        </w:rPr>
        <w:lastRenderedPageBreak/>
        <w:t xml:space="preserve">The neurovisual profile was assessed </w:t>
      </w:r>
      <w:r>
        <w:rPr>
          <w:rFonts w:ascii="Times New Roman" w:hAnsi="Times New Roman"/>
          <w:color w:val="auto"/>
          <w:lang w:val="en-US"/>
        </w:rPr>
        <w:t>according to our protocol [</w:t>
      </w:r>
      <w:r w:rsidRPr="009B4B01">
        <w:rPr>
          <w:rFonts w:ascii="Times New Roman" w:hAnsi="Times New Roman"/>
          <w:strike/>
          <w:color w:val="FF0000"/>
          <w:lang w:val="en-US"/>
        </w:rPr>
        <w:t>23-25</w:t>
      </w:r>
      <w:r w:rsidR="009B4B01" w:rsidRPr="009B4B01">
        <w:rPr>
          <w:rFonts w:ascii="Times New Roman" w:hAnsi="Times New Roman"/>
          <w:color w:val="FF0000"/>
          <w:lang w:val="en-US"/>
        </w:rPr>
        <w:t xml:space="preserve"> 24-26</w:t>
      </w:r>
      <w:r>
        <w:rPr>
          <w:rFonts w:ascii="Times New Roman" w:hAnsi="Times New Roman"/>
          <w:color w:val="auto"/>
          <w:lang w:val="en-US"/>
        </w:rPr>
        <w:t xml:space="preserve">] that includes the evaluation of: </w:t>
      </w:r>
      <w:r w:rsidRPr="009B4B01">
        <w:rPr>
          <w:rFonts w:ascii="Times New Roman" w:hAnsi="Times New Roman"/>
          <w:color w:val="auto"/>
          <w:lang w:val="en-US"/>
        </w:rPr>
        <w:t>ophthalmological characteristics (refraction under cycloplegia, anterior segment and ocular fundus); oculomotor functions as fixation (defined as</w:t>
      </w:r>
      <w:r w:rsidRPr="009B4B01">
        <w:rPr>
          <w:lang w:val="en-US"/>
        </w:rPr>
        <w:t xml:space="preserve"> </w:t>
      </w:r>
      <w:r w:rsidR="00572F66" w:rsidRPr="009B4B01">
        <w:rPr>
          <w:rFonts w:ascii="Times New Roman" w:hAnsi="Times New Roman"/>
          <w:color w:val="auto"/>
          <w:lang w:val="en-US"/>
        </w:rPr>
        <w:t>altered</w:t>
      </w:r>
      <w:r w:rsidRPr="009B4B01">
        <w:rPr>
          <w:rFonts w:ascii="Times New Roman" w:hAnsi="Times New Roman"/>
          <w:color w:val="auto"/>
          <w:lang w:val="en-US"/>
        </w:rPr>
        <w:t xml:space="preserve"> when unstable or absent), smooth </w:t>
      </w:r>
      <w:r w:rsidRPr="009B4B01">
        <w:rPr>
          <w:rFonts w:ascii="Times New Roman" w:hAnsi="Times New Roman"/>
          <w:lang w:val="en-US"/>
        </w:rPr>
        <w:t>pursuit (“altered” when discontinuous or</w:t>
      </w:r>
      <w:r>
        <w:rPr>
          <w:rFonts w:ascii="Times New Roman" w:hAnsi="Times New Roman"/>
          <w:lang w:val="en-US"/>
        </w:rPr>
        <w:t xml:space="preserve"> difficult to elicit/absent), saccadic movements (“altered” when dysmetric and/or with increased latency or absent), strabismus, ocular motility deficit and abnormal eye movements; basic visual functions (visual acuity, contrast sensitivity, visual field). Visual acuity was evaluated under maximum refractive correction with test suitable for patient’s age and cooperation using Teller Acuity Cards </w:t>
      </w:r>
      <w:bookmarkStart w:id="1" w:name="_Hlk86310961"/>
      <w:r>
        <w:rPr>
          <w:rFonts w:ascii="Times New Roman" w:hAnsi="Times New Roman"/>
          <w:lang w:val="en-US"/>
        </w:rPr>
        <w:t>[</w:t>
      </w:r>
      <w:r w:rsidRPr="009B4B01">
        <w:rPr>
          <w:rFonts w:ascii="Times New Roman" w:hAnsi="Times New Roman"/>
          <w:strike/>
          <w:color w:val="FF0000"/>
          <w:lang w:val="en-US"/>
        </w:rPr>
        <w:t>26</w:t>
      </w:r>
      <w:r w:rsidR="009B4B01" w:rsidRPr="009B4B01">
        <w:rPr>
          <w:rFonts w:ascii="Times New Roman" w:hAnsi="Times New Roman"/>
          <w:color w:val="FF0000"/>
          <w:lang w:val="en-US"/>
        </w:rPr>
        <w:t xml:space="preserve"> 27</w:t>
      </w:r>
      <w:r>
        <w:rPr>
          <w:rFonts w:ascii="Times New Roman" w:hAnsi="Times New Roman"/>
          <w:lang w:val="en-US"/>
        </w:rPr>
        <w:t>]</w:t>
      </w:r>
      <w:bookmarkEnd w:id="1"/>
      <w:r>
        <w:rPr>
          <w:rFonts w:ascii="Times New Roman" w:hAnsi="Times New Roman"/>
          <w:lang w:val="en-US"/>
        </w:rPr>
        <w:t xml:space="preserve">, </w:t>
      </w:r>
      <w:bookmarkStart w:id="2" w:name="_Hlk91731991"/>
      <w:r>
        <w:rPr>
          <w:rFonts w:ascii="Times New Roman" w:hAnsi="Times New Roman"/>
          <w:lang w:val="en-US"/>
        </w:rPr>
        <w:t xml:space="preserve">Lea Symbols or letter optotypes </w:t>
      </w:r>
      <w:bookmarkStart w:id="3" w:name="_Hlk91732055"/>
      <w:bookmarkEnd w:id="2"/>
      <w:r>
        <w:rPr>
          <w:rFonts w:ascii="Times New Roman" w:hAnsi="Times New Roman"/>
          <w:lang w:val="en-US"/>
        </w:rPr>
        <w:t>[</w:t>
      </w:r>
      <w:r w:rsidRPr="009B4B01">
        <w:rPr>
          <w:rFonts w:ascii="Times New Roman" w:hAnsi="Times New Roman"/>
          <w:strike/>
          <w:color w:val="FF0000"/>
          <w:lang w:val="en-US"/>
        </w:rPr>
        <w:t>27</w:t>
      </w:r>
      <w:r w:rsidR="009B4B01" w:rsidRPr="009B4B01">
        <w:rPr>
          <w:rFonts w:ascii="Times New Roman" w:hAnsi="Times New Roman"/>
          <w:color w:val="FF0000"/>
          <w:lang w:val="en-US"/>
        </w:rPr>
        <w:t xml:space="preserve"> 28</w:t>
      </w:r>
      <w:r>
        <w:rPr>
          <w:rFonts w:ascii="Times New Roman" w:hAnsi="Times New Roman"/>
          <w:lang w:val="en-US"/>
        </w:rPr>
        <w:t>].</w:t>
      </w:r>
      <w:bookmarkEnd w:id="3"/>
      <w:r>
        <w:rPr>
          <w:rFonts w:ascii="Times New Roman" w:hAnsi="Times New Roman"/>
          <w:lang w:val="en-US"/>
        </w:rPr>
        <w:t xml:space="preserve"> We defined visual acuity score as normal or reduced according to normative data [</w:t>
      </w:r>
      <w:r w:rsidRPr="009B4B01">
        <w:rPr>
          <w:rFonts w:ascii="Times New Roman" w:hAnsi="Times New Roman"/>
          <w:strike/>
          <w:color w:val="FF0000"/>
          <w:lang w:val="en-US"/>
        </w:rPr>
        <w:t>26; 28-29</w:t>
      </w:r>
      <w:r w:rsidR="009B4B01" w:rsidRPr="009B4B01">
        <w:rPr>
          <w:rFonts w:ascii="Times New Roman" w:hAnsi="Times New Roman"/>
          <w:color w:val="FF0000"/>
          <w:lang w:val="en-US"/>
        </w:rPr>
        <w:t xml:space="preserve"> 27; </w:t>
      </w:r>
      <w:r w:rsidR="009B4B01">
        <w:rPr>
          <w:rFonts w:ascii="Times New Roman" w:hAnsi="Times New Roman"/>
          <w:color w:val="FF0000"/>
          <w:lang w:val="en-US"/>
        </w:rPr>
        <w:t>29-30</w:t>
      </w:r>
      <w:r>
        <w:rPr>
          <w:rFonts w:ascii="Times New Roman" w:hAnsi="Times New Roman"/>
          <w:lang w:val="en-US"/>
        </w:rPr>
        <w:t>]. Contrast sensitivity was evaluated using the Hiding Heidi Low Contrast “Face” Test and co</w:t>
      </w:r>
      <w:r w:rsidR="00C973A4">
        <w:rPr>
          <w:rFonts w:ascii="Times New Roman" w:hAnsi="Times New Roman"/>
          <w:lang w:val="en-US"/>
        </w:rPr>
        <w:t>nsidered as “reduced” if &gt; 2.5%</w:t>
      </w:r>
      <w:r>
        <w:rPr>
          <w:rFonts w:ascii="Times New Roman" w:hAnsi="Times New Roman"/>
          <w:lang w:val="en-US"/>
        </w:rPr>
        <w:t>, while the visual field was evaluated through the kinetic perimetry [</w:t>
      </w:r>
      <w:r w:rsidRPr="009B4B01">
        <w:rPr>
          <w:rFonts w:ascii="Times New Roman" w:hAnsi="Times New Roman"/>
          <w:strike/>
          <w:color w:val="FF0000"/>
          <w:lang w:val="en-US"/>
        </w:rPr>
        <w:t>30</w:t>
      </w:r>
      <w:r w:rsidR="009B4B01" w:rsidRPr="009B4B01">
        <w:rPr>
          <w:rFonts w:ascii="Times New Roman" w:hAnsi="Times New Roman"/>
          <w:color w:val="FF0000"/>
          <w:lang w:val="en-US"/>
        </w:rPr>
        <w:t xml:space="preserve"> 31</w:t>
      </w:r>
      <w:r>
        <w:rPr>
          <w:rFonts w:ascii="Times New Roman" w:hAnsi="Times New Roman"/>
          <w:lang w:val="en-US"/>
        </w:rPr>
        <w:t>].</w:t>
      </w:r>
    </w:p>
    <w:p w14:paraId="1554270C" w14:textId="3A481673" w:rsidR="006170EB" w:rsidRDefault="00D15C98">
      <w:pPr>
        <w:spacing w:after="0" w:line="480" w:lineRule="auto"/>
        <w:ind w:left="1134"/>
        <w:jc w:val="both"/>
        <w:rPr>
          <w:lang w:val="en-US"/>
        </w:rPr>
      </w:pPr>
      <w:r>
        <w:rPr>
          <w:rFonts w:ascii="Times New Roman" w:hAnsi="Times New Roman"/>
          <w:lang w:val="en-US"/>
        </w:rPr>
        <w:t>Cognitive level was evaluated using age-appropriate versions of Wechsler Preschool and Primary Scale of Intelligence III edition (WPPSI-III) [</w:t>
      </w:r>
      <w:r w:rsidRPr="00C973A4">
        <w:rPr>
          <w:rFonts w:ascii="Times New Roman" w:hAnsi="Times New Roman"/>
          <w:strike/>
          <w:color w:val="FF0000"/>
          <w:lang w:val="en-US"/>
        </w:rPr>
        <w:t>31</w:t>
      </w:r>
      <w:r w:rsidR="00C973A4" w:rsidRPr="00C973A4">
        <w:rPr>
          <w:rFonts w:ascii="Times New Roman" w:hAnsi="Times New Roman"/>
          <w:color w:val="FF0000"/>
          <w:lang w:val="en-US"/>
        </w:rPr>
        <w:t xml:space="preserve"> 32</w:t>
      </w:r>
      <w:r>
        <w:rPr>
          <w:rFonts w:ascii="Times New Roman" w:hAnsi="Times New Roman"/>
          <w:lang w:val="en-US"/>
        </w:rPr>
        <w:t>] and Wechsler Scales of Intelligence for Children IV edition (WISC-IV) [</w:t>
      </w:r>
      <w:r w:rsidRPr="00C973A4">
        <w:rPr>
          <w:rFonts w:ascii="Times New Roman" w:hAnsi="Times New Roman"/>
          <w:strike/>
          <w:color w:val="FF0000"/>
          <w:lang w:val="en-US"/>
        </w:rPr>
        <w:t>32</w:t>
      </w:r>
      <w:r w:rsidR="00C973A4" w:rsidRPr="00C973A4">
        <w:rPr>
          <w:rFonts w:ascii="Times New Roman" w:hAnsi="Times New Roman"/>
          <w:color w:val="FF0000"/>
          <w:lang w:val="en-US"/>
        </w:rPr>
        <w:t xml:space="preserve"> 33</w:t>
      </w:r>
      <w:r>
        <w:rPr>
          <w:rFonts w:ascii="Times New Roman" w:hAnsi="Times New Roman"/>
          <w:lang w:val="en-US"/>
        </w:rPr>
        <w:t xml:space="preserve">]. Full Scale Intelligence Quotient (FSIQ), Verbal Comprehension/Verbal Intelligence Quotient (VCI/VIQ), Perceptual Reasoning/Performance Intelligence Quotient (PRI/PIQ), Working Memory (WMI), and Processing Speed Index (PSI) scores were collected.  All the quotients are reported in standard scores (mean 100, SD 15) and defined as follow: more than −1 DS, normal; between −1 and −2 DS, borderline; &lt;-2 DS, delay. </w:t>
      </w:r>
    </w:p>
    <w:p w14:paraId="586AA4D7" w14:textId="479B66A2" w:rsidR="006170EB" w:rsidRPr="00C973A4" w:rsidRDefault="00D15C98">
      <w:pPr>
        <w:spacing w:after="0" w:line="480" w:lineRule="auto"/>
        <w:ind w:left="1134"/>
        <w:jc w:val="both"/>
        <w:rPr>
          <w:rFonts w:ascii="Times New Roman" w:hAnsi="Times New Roman"/>
          <w:lang w:val="en-US"/>
        </w:rPr>
      </w:pPr>
      <w:r>
        <w:rPr>
          <w:rFonts w:ascii="Times New Roman" w:hAnsi="Times New Roman"/>
          <w:lang w:val="en-US"/>
        </w:rPr>
        <w:t>Adaptive functioning was evaluated using the Vineland Adaptive Behavior Scales-II (VABS-II) [</w:t>
      </w:r>
      <w:r w:rsidRPr="00C973A4">
        <w:rPr>
          <w:rFonts w:ascii="Times New Roman" w:hAnsi="Times New Roman"/>
          <w:strike/>
          <w:color w:val="FF0000"/>
          <w:lang w:val="en-US"/>
        </w:rPr>
        <w:t>33</w:t>
      </w:r>
      <w:r w:rsidR="00C973A4" w:rsidRPr="00C973A4">
        <w:rPr>
          <w:rFonts w:ascii="Times New Roman" w:hAnsi="Times New Roman"/>
          <w:color w:val="FF0000"/>
          <w:lang w:val="en-US"/>
        </w:rPr>
        <w:t xml:space="preserve"> 34</w:t>
      </w:r>
      <w:r>
        <w:rPr>
          <w:rFonts w:ascii="Times New Roman" w:hAnsi="Times New Roman"/>
          <w:lang w:val="en-US"/>
        </w:rPr>
        <w:t xml:space="preserve">], a questionnaire filled out by parents that covers four domains of adaptive behavior, that are: communication, socialization, daily living skills, and motor skills. Centile score &lt;5 was </w:t>
      </w:r>
      <w:r w:rsidRPr="00C973A4">
        <w:rPr>
          <w:rFonts w:ascii="Times New Roman" w:hAnsi="Times New Roman"/>
          <w:lang w:val="en-US"/>
        </w:rPr>
        <w:t>considered as a cut off for adaptive disorders.</w:t>
      </w:r>
    </w:p>
    <w:p w14:paraId="0E42AFC3" w14:textId="68FF3591" w:rsidR="006170EB" w:rsidRDefault="00D15C98">
      <w:pPr>
        <w:spacing w:after="0" w:line="480" w:lineRule="auto"/>
        <w:ind w:left="1134"/>
        <w:jc w:val="both"/>
        <w:rPr>
          <w:rFonts w:ascii="Times New Roman" w:hAnsi="Times New Roman"/>
          <w:lang w:val="en-US"/>
        </w:rPr>
      </w:pPr>
      <w:r w:rsidRPr="00C973A4">
        <w:rPr>
          <w:rFonts w:ascii="Times New Roman" w:hAnsi="Times New Roman"/>
          <w:lang w:val="en-US"/>
        </w:rPr>
        <w:t>Emotional and behavioral characteristics were assessed using the parent report Child Behavior Checklist (CBCL) 1½-5 [</w:t>
      </w:r>
      <w:r w:rsidRPr="00C973A4">
        <w:rPr>
          <w:rFonts w:ascii="Times New Roman" w:hAnsi="Times New Roman"/>
          <w:strike/>
          <w:color w:val="FF0000"/>
          <w:lang w:val="en-US"/>
        </w:rPr>
        <w:t>34-</w:t>
      </w:r>
      <w:r w:rsidRPr="00C973A4">
        <w:rPr>
          <w:rFonts w:ascii="Times New Roman" w:hAnsi="Times New Roman"/>
          <w:lang w:val="en-US"/>
        </w:rPr>
        <w:t>35</w:t>
      </w:r>
      <w:r w:rsidR="00C973A4" w:rsidRPr="00C973A4">
        <w:rPr>
          <w:rFonts w:ascii="Times New Roman" w:hAnsi="Times New Roman"/>
          <w:color w:val="FF0000"/>
          <w:lang w:val="en-US"/>
        </w:rPr>
        <w:t>-36</w:t>
      </w:r>
      <w:r w:rsidRPr="00C973A4">
        <w:rPr>
          <w:rFonts w:ascii="Times New Roman" w:hAnsi="Times New Roman"/>
          <w:lang w:val="en-US"/>
        </w:rPr>
        <w:t>] or 6–18 [</w:t>
      </w:r>
      <w:r w:rsidRPr="00C973A4">
        <w:rPr>
          <w:rFonts w:ascii="Times New Roman" w:hAnsi="Times New Roman"/>
          <w:strike/>
          <w:color w:val="FF0000"/>
          <w:lang w:val="en-US"/>
        </w:rPr>
        <w:t>36</w:t>
      </w:r>
      <w:r w:rsidR="00C973A4" w:rsidRPr="00C973A4">
        <w:rPr>
          <w:rFonts w:ascii="Times New Roman" w:hAnsi="Times New Roman"/>
          <w:color w:val="FF0000"/>
          <w:lang w:val="en-US"/>
        </w:rPr>
        <w:t xml:space="preserve"> 37</w:t>
      </w:r>
      <w:r w:rsidRPr="00C973A4">
        <w:rPr>
          <w:rFonts w:ascii="Times New Roman" w:hAnsi="Times New Roman"/>
          <w:lang w:val="en-US"/>
        </w:rPr>
        <w:t>] according to age. Composite scales (Internalizing, Externalizing, and Total problems) and syndrome scales (CBCL</w:t>
      </w:r>
      <w:r>
        <w:rPr>
          <w:rFonts w:ascii="Times New Roman" w:hAnsi="Times New Roman"/>
          <w:lang w:val="en-US"/>
        </w:rPr>
        <w:t xml:space="preserve"> 1½-5: Emotionally reactive, Anxious/Depressed, Somatic complaints, Withdrawn, Sleep problems, </w:t>
      </w:r>
      <w:r>
        <w:rPr>
          <w:rFonts w:ascii="Times New Roman" w:hAnsi="Times New Roman"/>
          <w:lang w:val="en-US"/>
        </w:rPr>
        <w:lastRenderedPageBreak/>
        <w:t xml:space="preserve">Attention problems, and Aggressive behavior; CBCL 6–18: anxious/depressed, withdrawn/ depressed, somatic complaints, social problems, thought problems, attention problems, rule-breaking behavior and aggressive behavior) are obtained from the item scores, categorized as “normal,” “borderline,” or “clinically significant” according to the tool kit software standards. Given the high frequency </w:t>
      </w:r>
      <w:r w:rsidRPr="00C973A4">
        <w:rPr>
          <w:rFonts w:ascii="Times New Roman" w:hAnsi="Times New Roman"/>
          <w:lang w:val="en-US"/>
        </w:rPr>
        <w:t>of autism-like features in visually impaired children [</w:t>
      </w:r>
      <w:r w:rsidRPr="00C973A4">
        <w:rPr>
          <w:rFonts w:ascii="Times New Roman" w:hAnsi="Times New Roman"/>
          <w:strike/>
          <w:color w:val="FF0000"/>
          <w:lang w:val="en-US"/>
        </w:rPr>
        <w:t>37</w:t>
      </w:r>
      <w:r w:rsidR="00C973A4" w:rsidRPr="00C973A4">
        <w:rPr>
          <w:rFonts w:ascii="Times New Roman" w:hAnsi="Times New Roman"/>
          <w:color w:val="FF0000"/>
          <w:lang w:val="en-US"/>
        </w:rPr>
        <w:t xml:space="preserve"> 38</w:t>
      </w:r>
      <w:r w:rsidRPr="00C973A4">
        <w:rPr>
          <w:rFonts w:ascii="Times New Roman" w:hAnsi="Times New Roman"/>
          <w:lang w:val="en-US"/>
        </w:rPr>
        <w:t>] and in children with ocular albinism [</w:t>
      </w:r>
      <w:r w:rsidRPr="00C973A4">
        <w:rPr>
          <w:rFonts w:ascii="Times New Roman" w:hAnsi="Times New Roman"/>
          <w:strike/>
          <w:color w:val="FF0000"/>
          <w:lang w:val="en-US"/>
        </w:rPr>
        <w:t>21</w:t>
      </w:r>
      <w:r w:rsidR="00C973A4" w:rsidRPr="00C973A4">
        <w:rPr>
          <w:rFonts w:ascii="Times New Roman" w:hAnsi="Times New Roman"/>
          <w:color w:val="FF0000"/>
          <w:lang w:val="en-US"/>
        </w:rPr>
        <w:t xml:space="preserve"> 22</w:t>
      </w:r>
      <w:r w:rsidRPr="00C973A4">
        <w:rPr>
          <w:rFonts w:ascii="Times New Roman" w:hAnsi="Times New Roman"/>
          <w:lang w:val="en-US"/>
        </w:rPr>
        <w:t>], we performed the Checklist for Autism Spectrum Disorder (CASD) [</w:t>
      </w:r>
      <w:r w:rsidRPr="00C973A4">
        <w:rPr>
          <w:rFonts w:ascii="Times New Roman" w:hAnsi="Times New Roman"/>
          <w:strike/>
          <w:color w:val="FF0000"/>
          <w:lang w:val="en-US"/>
        </w:rPr>
        <w:t>38</w:t>
      </w:r>
      <w:r w:rsidR="00C973A4" w:rsidRPr="00C973A4">
        <w:rPr>
          <w:rFonts w:ascii="Times New Roman" w:hAnsi="Times New Roman"/>
          <w:color w:val="FF0000"/>
          <w:lang w:val="en-US"/>
        </w:rPr>
        <w:t xml:space="preserve"> 39</w:t>
      </w:r>
      <w:r w:rsidRPr="00C973A4">
        <w:rPr>
          <w:rFonts w:ascii="Times New Roman" w:hAnsi="Times New Roman"/>
          <w:lang w:val="en-US"/>
        </w:rPr>
        <w:t>]. Scores of 15 or higher are</w:t>
      </w:r>
      <w:r>
        <w:rPr>
          <w:rFonts w:ascii="Times New Roman" w:hAnsi="Times New Roman"/>
          <w:lang w:val="en-US"/>
        </w:rPr>
        <w:t xml:space="preserve"> within the autism range, scores of 10-14 in the autism spectrum range, and scores less than 10 characterize children with typical development or different diagnoses. </w:t>
      </w:r>
    </w:p>
    <w:p w14:paraId="2F5D95A5" w14:textId="77777777" w:rsidR="006170EB" w:rsidRPr="007D11A7" w:rsidRDefault="00D15C98">
      <w:pPr>
        <w:spacing w:after="0" w:line="480" w:lineRule="auto"/>
        <w:ind w:left="1134"/>
        <w:jc w:val="both"/>
        <w:rPr>
          <w:rFonts w:ascii="Times New Roman" w:hAnsi="Times New Roman"/>
          <w:lang w:val="en-US"/>
        </w:rPr>
      </w:pPr>
      <w:r>
        <w:rPr>
          <w:rFonts w:ascii="Times New Roman" w:hAnsi="Times New Roman"/>
          <w:lang w:val="en-US"/>
        </w:rPr>
        <w:t xml:space="preserve">The study was conducted </w:t>
      </w:r>
      <w:r w:rsidRPr="007D11A7">
        <w:rPr>
          <w:rFonts w:ascii="Times New Roman" w:hAnsi="Times New Roman"/>
          <w:lang w:val="en-US"/>
        </w:rPr>
        <w:t>in accordance with the ethical guidelines set forth by the Declaration of Helsinki and was approved by the Ethical Committee of ASST Spedali Civili in Brescia, Italy (NP 5523). Written informed consent was obtained from parents/caregivers of the children.</w:t>
      </w:r>
    </w:p>
    <w:p w14:paraId="3442B18F" w14:textId="77777777" w:rsidR="006170EB" w:rsidRPr="007D11A7" w:rsidRDefault="00D15C98">
      <w:pPr>
        <w:spacing w:after="0" w:line="480" w:lineRule="auto"/>
        <w:ind w:left="1134"/>
        <w:jc w:val="both"/>
        <w:rPr>
          <w:rFonts w:ascii="Times New Roman" w:hAnsi="Times New Roman"/>
          <w:b/>
          <w:lang w:val="en-US"/>
        </w:rPr>
      </w:pPr>
      <w:r w:rsidRPr="007D11A7">
        <w:rPr>
          <w:rFonts w:ascii="Times New Roman" w:hAnsi="Times New Roman"/>
          <w:b/>
          <w:lang w:val="en-US"/>
        </w:rPr>
        <w:t xml:space="preserve">STATISTICAL ANALYSIS </w:t>
      </w:r>
    </w:p>
    <w:p w14:paraId="7DA293E3" w14:textId="3611724E" w:rsidR="006170EB" w:rsidRPr="00572F66" w:rsidRDefault="00D15C98" w:rsidP="00572F66">
      <w:pPr>
        <w:spacing w:after="0" w:line="480" w:lineRule="auto"/>
        <w:ind w:left="1134"/>
        <w:jc w:val="both"/>
        <w:rPr>
          <w:rStyle w:val="Nessuno"/>
          <w:rFonts w:ascii="Times New Roman" w:hAnsi="Times New Roman"/>
          <w:color w:val="FF0000"/>
        </w:rPr>
      </w:pPr>
      <w:r w:rsidRPr="007D11A7">
        <w:rPr>
          <w:rStyle w:val="Nessuno"/>
          <w:rFonts w:ascii="Times New Roman" w:hAnsi="Times New Roman"/>
        </w:rPr>
        <w:t xml:space="preserve">A descriptive analysis of the findings was performed. </w:t>
      </w:r>
      <w:r w:rsidRPr="007D11A7">
        <w:rPr>
          <w:rFonts w:ascii="Times New Roman" w:hAnsi="Times New Roman"/>
          <w:lang w:val="en-US"/>
        </w:rPr>
        <w:t xml:space="preserve">Qualitative variables were analyzed in terms of number and percentage, </w:t>
      </w:r>
      <w:r w:rsidRPr="007D11A7">
        <w:rPr>
          <w:rFonts w:ascii="Times New Roman" w:hAnsi="Times New Roman"/>
          <w:color w:val="auto"/>
          <w:lang w:val="en-US"/>
        </w:rPr>
        <w:t>while quantitative data</w:t>
      </w:r>
      <w:r w:rsidRPr="00EA7619">
        <w:rPr>
          <w:rFonts w:ascii="Times New Roman" w:hAnsi="Times New Roman"/>
          <w:color w:val="auto"/>
          <w:lang w:val="en-US"/>
        </w:rPr>
        <w:t xml:space="preserve"> were reported as mean, standard deviation and range. </w:t>
      </w:r>
      <w:r w:rsidRPr="00EA7619">
        <w:rPr>
          <w:rStyle w:val="Nessuno"/>
          <w:rFonts w:ascii="Times New Roman" w:hAnsi="Times New Roman"/>
          <w:color w:val="auto"/>
        </w:rPr>
        <w:t>The Pearson or Spearman correlation analysis has been performed using SPSS software to evaluate the impact of the visual acuity deficit on cognitive level, adaptive functioning, and emotional/behavioral profile. Given limitations in genotype incidence, we were able to compare only two genotypes: OCA1 and OCA2. We applied a Fisher’s Exact Test to study the relationship between neurodevelopmental, cognitive, adaptive, and behavioral aspects and genetic defects. A p-value below 0.05 was interpreted as statistically significant. When missing data were present due to the age of the children, we excluded from the analyses of the specific variable those subjects with missing data.</w:t>
      </w:r>
      <w:r>
        <w:rPr>
          <w:rStyle w:val="Nessuno"/>
          <w:rFonts w:ascii="Times New Roman" w:hAnsi="Times New Roman"/>
          <w:color w:val="FF0000"/>
        </w:rPr>
        <w:t xml:space="preserve"> </w:t>
      </w:r>
    </w:p>
    <w:p w14:paraId="61105C9B" w14:textId="77777777" w:rsidR="006170EB" w:rsidRDefault="00D15C98">
      <w:pPr>
        <w:spacing w:after="0" w:line="480" w:lineRule="auto"/>
        <w:ind w:left="1134"/>
        <w:jc w:val="both"/>
        <w:rPr>
          <w:lang w:val="en-US"/>
        </w:rPr>
      </w:pPr>
      <w:r>
        <w:rPr>
          <w:rFonts w:ascii="Times New Roman" w:hAnsi="Times New Roman"/>
          <w:b/>
          <w:lang w:val="en-US"/>
        </w:rPr>
        <w:t>RESULTS</w:t>
      </w:r>
    </w:p>
    <w:p w14:paraId="4BBD8AF0" w14:textId="77777777" w:rsidR="006170EB" w:rsidRDefault="00D15C98">
      <w:pPr>
        <w:spacing w:after="0" w:line="480" w:lineRule="auto"/>
        <w:ind w:left="1134"/>
        <w:jc w:val="both"/>
        <w:rPr>
          <w:rFonts w:ascii="Times New Roman" w:hAnsi="Times New Roman"/>
          <w:i/>
          <w:iCs/>
          <w:u w:val="single"/>
          <w:lang w:val="en-US"/>
        </w:rPr>
      </w:pPr>
      <w:r>
        <w:rPr>
          <w:rFonts w:ascii="Times New Roman" w:hAnsi="Times New Roman"/>
          <w:i/>
          <w:iCs/>
          <w:u w:val="single"/>
          <w:lang w:val="en-US"/>
        </w:rPr>
        <w:t>3.1 Data collection</w:t>
      </w:r>
    </w:p>
    <w:p w14:paraId="4187F0DB" w14:textId="77777777" w:rsidR="006170EB" w:rsidRDefault="00D15C98">
      <w:pPr>
        <w:spacing w:after="0" w:line="480" w:lineRule="auto"/>
        <w:ind w:left="1134"/>
        <w:jc w:val="both"/>
        <w:rPr>
          <w:rFonts w:ascii="Times New Roman" w:hAnsi="Times New Roman"/>
          <w:lang w:val="en-US"/>
        </w:rPr>
      </w:pPr>
      <w:r>
        <w:rPr>
          <w:rFonts w:ascii="Times New Roman" w:hAnsi="Times New Roman"/>
          <w:iCs/>
          <w:lang w:val="en-US"/>
        </w:rPr>
        <w:t xml:space="preserve">Out of 18 subjects enrolled, 10 children (56%) had a </w:t>
      </w:r>
      <w:r>
        <w:rPr>
          <w:rFonts w:ascii="Times New Roman" w:hAnsi="Times New Roman"/>
          <w:i/>
          <w:lang w:val="en-US"/>
        </w:rPr>
        <w:t>TYR</w:t>
      </w:r>
      <w:r>
        <w:rPr>
          <w:rFonts w:ascii="Times New Roman" w:hAnsi="Times New Roman"/>
          <w:lang w:val="en-US"/>
        </w:rPr>
        <w:t xml:space="preserve"> gene alteration (</w:t>
      </w:r>
      <w:r>
        <w:rPr>
          <w:rFonts w:ascii="Times New Roman" w:hAnsi="Times New Roman"/>
          <w:iCs/>
          <w:lang w:val="en-US"/>
        </w:rPr>
        <w:t xml:space="preserve">OCA1), </w:t>
      </w:r>
      <w:r>
        <w:rPr>
          <w:rFonts w:ascii="Times New Roman" w:hAnsi="Times New Roman"/>
          <w:lang w:val="en-US"/>
        </w:rPr>
        <w:t xml:space="preserve">7 (38%) an </w:t>
      </w:r>
      <w:r>
        <w:rPr>
          <w:rFonts w:ascii="Times New Roman" w:hAnsi="Times New Roman"/>
          <w:i/>
          <w:lang w:val="en-US"/>
        </w:rPr>
        <w:t>OCA2</w:t>
      </w:r>
      <w:r>
        <w:rPr>
          <w:rFonts w:ascii="Times New Roman" w:hAnsi="Times New Roman"/>
          <w:lang w:val="en-US"/>
        </w:rPr>
        <w:t xml:space="preserve"> gene deletion or mutation (OCA2) and 1 (6%) a </w:t>
      </w:r>
      <w:r>
        <w:rPr>
          <w:rFonts w:ascii="Times New Roman" w:hAnsi="Times New Roman"/>
          <w:i/>
          <w:lang w:val="en-US"/>
        </w:rPr>
        <w:t xml:space="preserve">SLC45A2 </w:t>
      </w:r>
      <w:r>
        <w:rPr>
          <w:rFonts w:ascii="Times New Roman" w:hAnsi="Times New Roman"/>
          <w:lang w:val="en-US"/>
        </w:rPr>
        <w:t xml:space="preserve">gene deletion (OCA4).  </w:t>
      </w:r>
    </w:p>
    <w:p w14:paraId="172FC8F8" w14:textId="77777777" w:rsidR="006170EB" w:rsidRDefault="00D15C98">
      <w:pPr>
        <w:spacing w:after="0" w:line="480" w:lineRule="auto"/>
        <w:ind w:left="1134"/>
        <w:jc w:val="both"/>
        <w:rPr>
          <w:lang w:val="en-US"/>
        </w:rPr>
      </w:pPr>
      <w:r>
        <w:rPr>
          <w:rFonts w:ascii="Times New Roman" w:hAnsi="Times New Roman"/>
          <w:lang w:val="en-US"/>
        </w:rPr>
        <w:lastRenderedPageBreak/>
        <w:t xml:space="preserve">From the medical charts revision, pregnancy was uneventful in 16 (89%) cases while the mothers of 2 children (11%) suffered from gestational diabetes. Delivery was at term in 17 (94%) cases while a boy was born at 35 weeks of gestation. The mean birth weight was 3129.5 ± 426.0 grams (range: 2540-4000 grams). Perinatal was uneventful in all the sample. </w:t>
      </w:r>
    </w:p>
    <w:p w14:paraId="1F3D898B" w14:textId="4C1FDE5C" w:rsidR="006170EB" w:rsidRDefault="00D15C98">
      <w:pPr>
        <w:spacing w:after="0" w:line="480" w:lineRule="auto"/>
        <w:ind w:left="1134"/>
        <w:jc w:val="both"/>
        <w:rPr>
          <w:rFonts w:ascii="Times New Roman" w:hAnsi="Times New Roman"/>
          <w:color w:val="FF0000"/>
          <w:lang w:val="en-US"/>
        </w:rPr>
      </w:pPr>
      <w:r>
        <w:rPr>
          <w:rFonts w:ascii="Times New Roman" w:hAnsi="Times New Roman"/>
          <w:lang w:val="en-US"/>
        </w:rPr>
        <w:t>Eight (44%) children appropriately acquired the gross (head control, sitting, walking) motor milestones, while 10 (56%) had different levels of delay: 5 (28%) presented with a delay in the head control, 5 (28%) in the sitting position, 4 (22%) in the walking, and 2 (11%) an overall delay. Specifically, the mean age of head control was 3</w:t>
      </w:r>
      <w:r w:rsidRPr="00EA7619">
        <w:rPr>
          <w:rFonts w:ascii="Times New Roman" w:hAnsi="Times New Roman"/>
          <w:strike/>
          <w:color w:val="FF0000"/>
          <w:lang w:val="en-US"/>
        </w:rPr>
        <w:t>.2</w:t>
      </w:r>
      <w:r>
        <w:rPr>
          <w:rFonts w:ascii="Times New Roman" w:hAnsi="Times New Roman"/>
          <w:lang w:val="en-US"/>
        </w:rPr>
        <w:t xml:space="preserve"> </w:t>
      </w:r>
      <w:bookmarkStart w:id="4" w:name="_Hlk112329837"/>
      <w:r>
        <w:rPr>
          <w:rFonts w:ascii="Times New Roman" w:hAnsi="Times New Roman"/>
          <w:lang w:val="en-US"/>
        </w:rPr>
        <w:t>±</w:t>
      </w:r>
      <w:bookmarkEnd w:id="4"/>
      <w:r>
        <w:rPr>
          <w:rFonts w:ascii="Times New Roman" w:hAnsi="Times New Roman"/>
          <w:lang w:val="en-US"/>
        </w:rPr>
        <w:t xml:space="preserve"> 1</w:t>
      </w:r>
      <w:r w:rsidRPr="00EA7619">
        <w:rPr>
          <w:rFonts w:ascii="Times New Roman" w:hAnsi="Times New Roman"/>
          <w:strike/>
          <w:color w:val="FF0000"/>
          <w:lang w:val="en-US"/>
        </w:rPr>
        <w:t>.2</w:t>
      </w:r>
      <w:r>
        <w:rPr>
          <w:rFonts w:ascii="Times New Roman" w:hAnsi="Times New Roman"/>
          <w:lang w:val="en-US"/>
        </w:rPr>
        <w:t xml:space="preserve"> months (range 2-6 months), sitting 7</w:t>
      </w:r>
      <w:r w:rsidRPr="00EA7619">
        <w:rPr>
          <w:rFonts w:ascii="Times New Roman" w:hAnsi="Times New Roman"/>
          <w:strike/>
          <w:color w:val="FF0000"/>
          <w:lang w:val="en-US"/>
        </w:rPr>
        <w:t>.5</w:t>
      </w:r>
      <w:r>
        <w:rPr>
          <w:rFonts w:ascii="Times New Roman" w:hAnsi="Times New Roman"/>
          <w:lang w:val="en-US"/>
        </w:rPr>
        <w:t xml:space="preserve"> ± 2</w:t>
      </w:r>
      <w:r w:rsidRPr="00EA7619">
        <w:rPr>
          <w:rFonts w:ascii="Times New Roman" w:hAnsi="Times New Roman"/>
          <w:strike/>
          <w:color w:val="FF0000"/>
          <w:lang w:val="en-US"/>
        </w:rPr>
        <w:t>.3</w:t>
      </w:r>
      <w:r>
        <w:rPr>
          <w:rFonts w:ascii="Times New Roman" w:hAnsi="Times New Roman"/>
          <w:lang w:val="en-US"/>
        </w:rPr>
        <w:t xml:space="preserve"> (range 5-12 months), walking </w:t>
      </w:r>
      <w:r w:rsidRPr="00EA7619">
        <w:rPr>
          <w:rFonts w:ascii="Times New Roman" w:hAnsi="Times New Roman"/>
          <w:strike/>
          <w:color w:val="FF0000"/>
          <w:lang w:val="en-US"/>
        </w:rPr>
        <w:t>15.9</w:t>
      </w:r>
      <w:r w:rsidR="00EA7619" w:rsidRPr="00EA7619">
        <w:rPr>
          <w:rFonts w:ascii="Times New Roman" w:hAnsi="Times New Roman"/>
          <w:color w:val="FF0000"/>
          <w:lang w:val="en-US"/>
        </w:rPr>
        <w:t xml:space="preserve"> 16</w:t>
      </w:r>
      <w:r>
        <w:rPr>
          <w:rFonts w:ascii="Times New Roman" w:hAnsi="Times New Roman"/>
          <w:lang w:val="en-US"/>
        </w:rPr>
        <w:t xml:space="preserve"> ± 4</w:t>
      </w:r>
      <w:r w:rsidRPr="00EA7619">
        <w:rPr>
          <w:rFonts w:ascii="Times New Roman" w:hAnsi="Times New Roman"/>
          <w:strike/>
          <w:color w:val="FF0000"/>
          <w:lang w:val="en-US"/>
        </w:rPr>
        <w:t>.2</w:t>
      </w:r>
      <w:r>
        <w:rPr>
          <w:rFonts w:ascii="Times New Roman" w:hAnsi="Times New Roman"/>
          <w:lang w:val="en-US"/>
        </w:rPr>
        <w:t xml:space="preserve"> (range: 10-24 months). Thumb finger was appropriately acquired in all the cases (mean age 12</w:t>
      </w:r>
      <w:r w:rsidRPr="00EA7619">
        <w:rPr>
          <w:rFonts w:ascii="Times New Roman" w:hAnsi="Times New Roman"/>
          <w:strike/>
          <w:color w:val="FF0000"/>
          <w:lang w:val="en-US"/>
        </w:rPr>
        <w:t>.5</w:t>
      </w:r>
      <w:r>
        <w:rPr>
          <w:rFonts w:ascii="Times New Roman" w:hAnsi="Times New Roman"/>
          <w:lang w:val="en-US"/>
        </w:rPr>
        <w:t xml:space="preserve"> ± </w:t>
      </w:r>
      <w:r w:rsidRPr="00EA7619">
        <w:rPr>
          <w:rFonts w:ascii="Times New Roman" w:hAnsi="Times New Roman"/>
          <w:strike/>
          <w:color w:val="FF0000"/>
          <w:lang w:val="en-US"/>
        </w:rPr>
        <w:t>0.7</w:t>
      </w:r>
      <w:r>
        <w:rPr>
          <w:rFonts w:ascii="Times New Roman" w:hAnsi="Times New Roman"/>
          <w:lang w:val="en-US"/>
        </w:rPr>
        <w:t xml:space="preserve"> </w:t>
      </w:r>
      <w:r w:rsidR="00EA7619" w:rsidRPr="00EA7619">
        <w:rPr>
          <w:rFonts w:ascii="Times New Roman" w:hAnsi="Times New Roman"/>
          <w:color w:val="FF0000"/>
          <w:lang w:val="en-US"/>
        </w:rPr>
        <w:t xml:space="preserve">1 </w:t>
      </w:r>
      <w:r>
        <w:rPr>
          <w:rFonts w:ascii="Times New Roman" w:hAnsi="Times New Roman"/>
          <w:lang w:val="en-US"/>
        </w:rPr>
        <w:t>months, range</w:t>
      </w:r>
      <w:r w:rsidR="00EA7619">
        <w:rPr>
          <w:rFonts w:ascii="Times New Roman" w:hAnsi="Times New Roman"/>
          <w:lang w:val="en-US"/>
        </w:rPr>
        <w:t xml:space="preserve"> </w:t>
      </w:r>
      <w:r>
        <w:rPr>
          <w:rFonts w:ascii="Times New Roman" w:hAnsi="Times New Roman"/>
          <w:lang w:val="en-US"/>
        </w:rPr>
        <w:t>12-14 months). Data on communication and language skills were collected in 16 children; the remaining two were infants (aged between 18-21 months) and</w:t>
      </w:r>
      <w:bookmarkStart w:id="5" w:name="tw-target-text"/>
      <w:bookmarkEnd w:id="5"/>
      <w:r>
        <w:rPr>
          <w:rFonts w:ascii="Times New Roman" w:hAnsi="Times New Roman"/>
          <w:lang w:val="en-US"/>
        </w:rPr>
        <w:t xml:space="preserve"> have not yet achieved the vocabulary expansion. </w:t>
      </w:r>
      <w:bookmarkStart w:id="6" w:name="_Hlk127537633"/>
      <w:r>
        <w:rPr>
          <w:rFonts w:ascii="Times New Roman" w:hAnsi="Times New Roman"/>
          <w:lang w:val="en-US"/>
        </w:rPr>
        <w:t xml:space="preserve">Six (38%) children were </w:t>
      </w:r>
      <w:r>
        <w:rPr>
          <w:rFonts w:ascii="Times New Roman" w:hAnsi="Times New Roman"/>
          <w:i/>
          <w:lang w:val="en-US"/>
        </w:rPr>
        <w:t xml:space="preserve">Late Talkers </w:t>
      </w:r>
      <w:r>
        <w:rPr>
          <w:rFonts w:ascii="Times New Roman" w:hAnsi="Times New Roman"/>
          <w:lang w:val="en-US"/>
        </w:rPr>
        <w:t>because they produced fewer than 50 words or no word combinations at 24 months of age</w:t>
      </w:r>
      <w:bookmarkEnd w:id="6"/>
      <w:r>
        <w:rPr>
          <w:rFonts w:ascii="Times New Roman" w:hAnsi="Times New Roman"/>
          <w:lang w:val="en-US"/>
        </w:rPr>
        <w:t xml:space="preserve">. Four of these eventually met their same-age peers in language performance and therefore they can be considered </w:t>
      </w:r>
      <w:r>
        <w:rPr>
          <w:rFonts w:ascii="Times New Roman" w:hAnsi="Times New Roman"/>
          <w:i/>
          <w:lang w:val="en-US"/>
        </w:rPr>
        <w:t>Late Bloomers</w:t>
      </w:r>
      <w:r>
        <w:rPr>
          <w:rFonts w:ascii="Times New Roman" w:hAnsi="Times New Roman"/>
          <w:lang w:val="en-US"/>
        </w:rPr>
        <w:t xml:space="preserve">; the remaining two </w:t>
      </w:r>
      <w:r>
        <w:rPr>
          <w:rFonts w:ascii="Times New Roman" w:hAnsi="Times New Roman"/>
          <w:i/>
          <w:lang w:val="en-US"/>
        </w:rPr>
        <w:t>Late Talkers</w:t>
      </w:r>
      <w:r>
        <w:rPr>
          <w:rFonts w:ascii="Times New Roman" w:hAnsi="Times New Roman"/>
          <w:lang w:val="en-US"/>
        </w:rPr>
        <w:t xml:space="preserve"> received a diagnosis of Language Disorder at age six because they showed impairments in both receptive and expressive language skills on specific neuropsychological test. More in general, canonical babbling was acquired at 8</w:t>
      </w:r>
      <w:r w:rsidRPr="00EA7619">
        <w:rPr>
          <w:rFonts w:ascii="Times New Roman" w:hAnsi="Times New Roman"/>
          <w:strike/>
          <w:color w:val="FF0000"/>
          <w:lang w:val="en-US"/>
        </w:rPr>
        <w:t>.2</w:t>
      </w:r>
      <w:r>
        <w:rPr>
          <w:rFonts w:ascii="Times New Roman" w:hAnsi="Times New Roman"/>
          <w:lang w:val="en-US"/>
        </w:rPr>
        <w:t xml:space="preserve"> ± 1</w:t>
      </w:r>
      <w:r w:rsidRPr="00EA7619">
        <w:rPr>
          <w:rFonts w:ascii="Times New Roman" w:hAnsi="Times New Roman"/>
          <w:strike/>
          <w:color w:val="FF0000"/>
          <w:lang w:val="en-US"/>
        </w:rPr>
        <w:t>.4</w:t>
      </w:r>
      <w:r>
        <w:rPr>
          <w:rFonts w:ascii="Times New Roman" w:hAnsi="Times New Roman"/>
          <w:lang w:val="en-US"/>
        </w:rPr>
        <w:t xml:space="preserve"> months (range 7-12 months), 1</w:t>
      </w:r>
      <w:r>
        <w:rPr>
          <w:rFonts w:ascii="Times New Roman" w:hAnsi="Times New Roman"/>
          <w:vertAlign w:val="superscript"/>
          <w:lang w:val="en-US"/>
        </w:rPr>
        <w:t>st</w:t>
      </w:r>
      <w:r>
        <w:rPr>
          <w:rFonts w:ascii="Times New Roman" w:hAnsi="Times New Roman"/>
          <w:lang w:val="en-US"/>
        </w:rPr>
        <w:t xml:space="preserve"> word at 16</w:t>
      </w:r>
      <w:r w:rsidRPr="00EA7619">
        <w:rPr>
          <w:rFonts w:ascii="Times New Roman" w:hAnsi="Times New Roman"/>
          <w:strike/>
          <w:color w:val="FF0000"/>
          <w:lang w:val="en-US"/>
        </w:rPr>
        <w:t>.2</w:t>
      </w:r>
      <w:r>
        <w:rPr>
          <w:rFonts w:ascii="Times New Roman" w:hAnsi="Times New Roman"/>
          <w:lang w:val="en-US"/>
        </w:rPr>
        <w:t xml:space="preserve"> ± 5</w:t>
      </w:r>
      <w:r w:rsidRPr="00EA7619">
        <w:rPr>
          <w:rFonts w:ascii="Times New Roman" w:hAnsi="Times New Roman"/>
          <w:strike/>
          <w:color w:val="FF0000"/>
          <w:lang w:val="en-US"/>
        </w:rPr>
        <w:t>.4</w:t>
      </w:r>
      <w:r>
        <w:rPr>
          <w:rFonts w:ascii="Times New Roman" w:hAnsi="Times New Roman"/>
          <w:lang w:val="en-US"/>
        </w:rPr>
        <w:t xml:space="preserve"> (range 10-27 months), and &gt;50 words at 30</w:t>
      </w:r>
      <w:r w:rsidRPr="00EA7619">
        <w:rPr>
          <w:rFonts w:ascii="Times New Roman" w:hAnsi="Times New Roman"/>
          <w:strike/>
          <w:color w:val="FF0000"/>
          <w:lang w:val="en-US"/>
        </w:rPr>
        <w:t>.1</w:t>
      </w:r>
      <w:r>
        <w:rPr>
          <w:rFonts w:ascii="Times New Roman" w:hAnsi="Times New Roman"/>
          <w:lang w:val="en-US"/>
        </w:rPr>
        <w:t xml:space="preserve"> ± </w:t>
      </w:r>
      <w:r w:rsidRPr="00EA7619">
        <w:rPr>
          <w:rFonts w:ascii="Times New Roman" w:hAnsi="Times New Roman"/>
          <w:strike/>
          <w:color w:val="FF0000"/>
          <w:lang w:val="en-US"/>
        </w:rPr>
        <w:t>9.8</w:t>
      </w:r>
      <w:r>
        <w:rPr>
          <w:rFonts w:ascii="Times New Roman" w:hAnsi="Times New Roman"/>
          <w:lang w:val="en-US"/>
        </w:rPr>
        <w:t xml:space="preserve"> </w:t>
      </w:r>
      <w:r w:rsidR="00EA7619" w:rsidRPr="00EA7619">
        <w:rPr>
          <w:rFonts w:ascii="Times New Roman" w:hAnsi="Times New Roman"/>
          <w:color w:val="FF0000"/>
          <w:lang w:val="en-US"/>
        </w:rPr>
        <w:t xml:space="preserve">10 </w:t>
      </w:r>
      <w:r>
        <w:rPr>
          <w:rFonts w:ascii="Times New Roman" w:hAnsi="Times New Roman"/>
          <w:lang w:val="en-US"/>
        </w:rPr>
        <w:t xml:space="preserve">months (range 24-60 months). </w:t>
      </w:r>
    </w:p>
    <w:p w14:paraId="16D25CDC" w14:textId="15E5247B" w:rsidR="006170EB" w:rsidRDefault="00D15C98">
      <w:pPr>
        <w:spacing w:after="0" w:line="480" w:lineRule="auto"/>
        <w:ind w:left="1134"/>
        <w:jc w:val="both"/>
        <w:rPr>
          <w:rFonts w:ascii="Times New Roman" w:hAnsi="Times New Roman"/>
          <w:lang w:val="en-US"/>
        </w:rPr>
      </w:pPr>
      <w:r>
        <w:rPr>
          <w:rFonts w:ascii="Times New Roman" w:hAnsi="Times New Roman"/>
          <w:lang w:val="en-US"/>
        </w:rPr>
        <w:t xml:space="preserve">The Developmental profile assessment </w:t>
      </w:r>
      <w:r w:rsidRPr="00EA7619">
        <w:rPr>
          <w:rFonts w:ascii="Times New Roman" w:hAnsi="Times New Roman"/>
          <w:color w:val="auto"/>
          <w:lang w:val="en-US"/>
        </w:rPr>
        <w:t xml:space="preserve">evaluated in 16 children using GMDS-R (mean age at evaluation: </w:t>
      </w:r>
      <w:r w:rsidRPr="00EA7619">
        <w:rPr>
          <w:rFonts w:ascii="Times New Roman" w:hAnsi="Times New Roman"/>
          <w:strike/>
          <w:color w:val="FF0000"/>
          <w:lang w:val="en-US"/>
        </w:rPr>
        <w:t>18.8</w:t>
      </w:r>
      <w:r w:rsidRPr="00EA7619">
        <w:rPr>
          <w:rFonts w:ascii="Times New Roman" w:hAnsi="Times New Roman"/>
          <w:color w:val="auto"/>
          <w:lang w:val="en-US"/>
        </w:rPr>
        <w:t xml:space="preserve"> </w:t>
      </w:r>
      <w:r w:rsidR="00EA7619" w:rsidRPr="00EA7619">
        <w:rPr>
          <w:rFonts w:ascii="Times New Roman" w:hAnsi="Times New Roman"/>
          <w:color w:val="FF0000"/>
          <w:lang w:val="en-US"/>
        </w:rPr>
        <w:t xml:space="preserve">19 </w:t>
      </w:r>
      <w:r w:rsidRPr="00EA7619">
        <w:rPr>
          <w:rFonts w:ascii="Times New Roman" w:hAnsi="Times New Roman"/>
          <w:color w:val="auto"/>
          <w:lang w:val="en-US"/>
        </w:rPr>
        <w:t>months ± 12</w:t>
      </w:r>
      <w:r w:rsidRPr="00EA7619">
        <w:rPr>
          <w:rFonts w:ascii="Times New Roman" w:hAnsi="Times New Roman"/>
          <w:strike/>
          <w:color w:val="FF0000"/>
          <w:lang w:val="en-US"/>
        </w:rPr>
        <w:t>.3</w:t>
      </w:r>
      <w:r w:rsidRPr="00EA7619">
        <w:rPr>
          <w:rFonts w:ascii="Times New Roman" w:hAnsi="Times New Roman"/>
          <w:color w:val="auto"/>
          <w:lang w:val="en-US"/>
        </w:rPr>
        <w:t xml:space="preserve">, range 6-24) revealed normal scores on Developmental Quotient (DQ) in 7 cases (44%), borderline score in 5 (31%) and delayed score in 4 (25%). </w:t>
      </w:r>
      <w:r w:rsidRPr="00EA7619">
        <w:rPr>
          <w:rStyle w:val="Nessuno"/>
          <w:rFonts w:ascii="Times New Roman" w:hAnsi="Times New Roman"/>
          <w:color w:val="auto"/>
        </w:rPr>
        <w:t xml:space="preserve">The remaining two children referred to the Center in older ages and, therefore, did not undergo the GMDS-R assessment. </w:t>
      </w:r>
      <w:r w:rsidRPr="00EA7619">
        <w:rPr>
          <w:rFonts w:ascii="Times New Roman" w:hAnsi="Times New Roman"/>
          <w:color w:val="auto"/>
          <w:lang w:val="en-US"/>
        </w:rPr>
        <w:t>The analysis of each domain revealed borderline/delay scores as follow: Locomotor (3 borderline, 4 delay), Personal</w:t>
      </w:r>
      <w:r>
        <w:rPr>
          <w:rFonts w:ascii="Times New Roman" w:hAnsi="Times New Roman"/>
          <w:lang w:val="en-US"/>
        </w:rPr>
        <w:t xml:space="preserve">-Social (2 borderline, 6 delay), Hearing-Speech (2 borderline, 5 delay), Eye-Hand Coordination (2 borderline, 7 delay), Performance (3 borderline, 5 delay). </w:t>
      </w:r>
    </w:p>
    <w:p w14:paraId="1F4122B7" w14:textId="77777777" w:rsidR="006170EB" w:rsidRDefault="00D15C98">
      <w:pPr>
        <w:spacing w:after="0" w:line="480" w:lineRule="auto"/>
        <w:ind w:left="1134"/>
        <w:jc w:val="both"/>
        <w:rPr>
          <w:lang w:val="en-US"/>
        </w:rPr>
      </w:pPr>
      <w:r>
        <w:rPr>
          <w:rFonts w:ascii="Times New Roman" w:hAnsi="Times New Roman"/>
          <w:i/>
          <w:iCs/>
          <w:u w:val="single"/>
          <w:lang w:val="en-US"/>
        </w:rPr>
        <w:lastRenderedPageBreak/>
        <w:t xml:space="preserve">3.2 Direct assessment </w:t>
      </w:r>
    </w:p>
    <w:p w14:paraId="20DD8233"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 xml:space="preserve">Direct assessment was carried out at mean age of </w:t>
      </w:r>
      <w:bookmarkStart w:id="7" w:name="_Hlk120531190"/>
      <w:r>
        <w:rPr>
          <w:rFonts w:ascii="Times New Roman" w:hAnsi="Times New Roman"/>
          <w:lang w:val="en-US"/>
        </w:rPr>
        <w:t>84</w:t>
      </w:r>
      <w:r w:rsidRPr="00EA7619">
        <w:rPr>
          <w:rFonts w:ascii="Times New Roman" w:hAnsi="Times New Roman"/>
          <w:strike/>
          <w:color w:val="FF0000"/>
          <w:lang w:val="en-US"/>
        </w:rPr>
        <w:t>.5</w:t>
      </w:r>
      <w:r>
        <w:rPr>
          <w:rFonts w:ascii="Times New Roman" w:hAnsi="Times New Roman"/>
          <w:lang w:val="en-US"/>
        </w:rPr>
        <w:t xml:space="preserve"> months (SD 41</w:t>
      </w:r>
      <w:r w:rsidRPr="00EA7619">
        <w:rPr>
          <w:rFonts w:ascii="Times New Roman" w:hAnsi="Times New Roman"/>
          <w:strike/>
          <w:color w:val="FF0000"/>
          <w:lang w:val="en-US"/>
        </w:rPr>
        <w:t>.2</w:t>
      </w:r>
      <w:r>
        <w:rPr>
          <w:rFonts w:ascii="Times New Roman" w:hAnsi="Times New Roman"/>
          <w:lang w:val="en-US"/>
        </w:rPr>
        <w:t xml:space="preserve">; range 18-181 months). </w:t>
      </w:r>
      <w:bookmarkEnd w:id="7"/>
      <w:r>
        <w:rPr>
          <w:rFonts w:ascii="Times New Roman" w:hAnsi="Times New Roman"/>
          <w:lang w:val="en-US"/>
        </w:rPr>
        <w:t xml:space="preserve">No abnormalities concerning cranial </w:t>
      </w:r>
      <w:r w:rsidRPr="00EA7619">
        <w:rPr>
          <w:rFonts w:ascii="Times New Roman" w:hAnsi="Times New Roman"/>
          <w:color w:val="auto"/>
          <w:lang w:val="en-US"/>
        </w:rPr>
        <w:t>nerve, head circumference, muscle</w:t>
      </w:r>
      <w:r>
        <w:rPr>
          <w:rFonts w:ascii="Times New Roman" w:hAnsi="Times New Roman"/>
          <w:lang w:val="en-US"/>
        </w:rPr>
        <w:t xml:space="preserve"> strength, tone and bulk, reflexes and gait were detected. </w:t>
      </w:r>
    </w:p>
    <w:p w14:paraId="6CD8AF73"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 xml:space="preserve">From an ophthalmological perspective, all the 18 (100%) children presented refractive errors. Iris translucency and ocular fundus abnormalities characterized by hypopigmentation of retina and/or foveal hypoplasia were detected in 17 (94%) and 18 (100%) children, respectively. Eight children (44%) had photophobia and 16 (89%) an abnormal head position. As regards oculomotor functions, strabismus was observed in 14 (78%), nystagmus in 18 (100%), and alterations in fixation, smooth pursuit, and saccadic movements in 18 (100%), 17 (94%) and 13 (72%) children, respectively. The visual acuity was reduced in all the sample (100%), contrast sensitivity in 6 (33%) and visual field in 6 (33%). See Table 1. </w:t>
      </w:r>
    </w:p>
    <w:p w14:paraId="4FCFAF36" w14:textId="77777777" w:rsidR="006170EB" w:rsidRDefault="00D15C98">
      <w:pPr>
        <w:spacing w:after="0" w:line="480" w:lineRule="auto"/>
        <w:ind w:firstLine="1134"/>
        <w:jc w:val="both"/>
        <w:rPr>
          <w:rFonts w:ascii="Times New Roman" w:hAnsi="Times New Roman"/>
          <w:lang w:val="en-US"/>
        </w:rPr>
      </w:pPr>
      <w:r>
        <w:rPr>
          <w:rFonts w:ascii="Times New Roman" w:hAnsi="Times New Roman"/>
          <w:b/>
          <w:lang w:val="en-US"/>
        </w:rPr>
        <w:t>Table 1 - Neurovisual findings of the sample.</w:t>
      </w:r>
    </w:p>
    <w:tbl>
      <w:tblPr>
        <w:tblW w:w="847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firstRow="1" w:lastRow="0" w:firstColumn="1" w:lastColumn="0" w:noHBand="0" w:noVBand="1"/>
      </w:tblPr>
      <w:tblGrid>
        <w:gridCol w:w="567"/>
        <w:gridCol w:w="853"/>
        <w:gridCol w:w="710"/>
        <w:gridCol w:w="1120"/>
        <w:gridCol w:w="866"/>
        <w:gridCol w:w="932"/>
        <w:gridCol w:w="929"/>
        <w:gridCol w:w="976"/>
        <w:gridCol w:w="804"/>
        <w:gridCol w:w="715"/>
      </w:tblGrid>
      <w:tr w:rsidR="006170EB" w:rsidRPr="00A71AEC" w14:paraId="0AB31AA6" w14:textId="77777777" w:rsidTr="00A71AEC">
        <w:trPr>
          <w:trHeight w:val="557"/>
        </w:trPr>
        <w:tc>
          <w:tcPr>
            <w:tcW w:w="566" w:type="dxa"/>
            <w:shd w:val="clear" w:color="auto" w:fill="E7E6E6"/>
          </w:tcPr>
          <w:p w14:paraId="6D817BC3"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Sbj</w:t>
            </w:r>
          </w:p>
        </w:tc>
        <w:tc>
          <w:tcPr>
            <w:tcW w:w="853" w:type="dxa"/>
            <w:shd w:val="clear" w:color="auto" w:fill="E7E6E6"/>
          </w:tcPr>
          <w:p w14:paraId="1B75DD2E"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Refr.</w:t>
            </w:r>
          </w:p>
          <w:p w14:paraId="13B2F293"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Errors</w:t>
            </w:r>
          </w:p>
        </w:tc>
        <w:tc>
          <w:tcPr>
            <w:tcW w:w="710" w:type="dxa"/>
            <w:shd w:val="clear" w:color="auto" w:fill="E7E6E6"/>
          </w:tcPr>
          <w:p w14:paraId="5310A21B"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Ny</w:t>
            </w:r>
          </w:p>
        </w:tc>
        <w:tc>
          <w:tcPr>
            <w:tcW w:w="1120" w:type="dxa"/>
            <w:shd w:val="clear" w:color="auto" w:fill="E7E6E6"/>
          </w:tcPr>
          <w:p w14:paraId="4027C232"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Strabismus</w:t>
            </w:r>
          </w:p>
        </w:tc>
        <w:tc>
          <w:tcPr>
            <w:tcW w:w="866" w:type="dxa"/>
            <w:shd w:val="clear" w:color="auto" w:fill="E7E6E6"/>
          </w:tcPr>
          <w:p w14:paraId="5051D094"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Fixation</w:t>
            </w:r>
          </w:p>
        </w:tc>
        <w:tc>
          <w:tcPr>
            <w:tcW w:w="932" w:type="dxa"/>
            <w:shd w:val="clear" w:color="auto" w:fill="E7E6E6"/>
          </w:tcPr>
          <w:p w14:paraId="6DBBA47D"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Smooth</w:t>
            </w:r>
          </w:p>
          <w:p w14:paraId="52A250BC"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pursuit</w:t>
            </w:r>
          </w:p>
        </w:tc>
        <w:tc>
          <w:tcPr>
            <w:tcW w:w="929" w:type="dxa"/>
            <w:shd w:val="clear" w:color="auto" w:fill="E7E6E6"/>
          </w:tcPr>
          <w:p w14:paraId="380029EB"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Saccades</w:t>
            </w:r>
          </w:p>
        </w:tc>
        <w:tc>
          <w:tcPr>
            <w:tcW w:w="976" w:type="dxa"/>
            <w:shd w:val="clear" w:color="auto" w:fill="E7E6E6"/>
          </w:tcPr>
          <w:p w14:paraId="7954EC3E"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lang w:val="en-GB"/>
              </w:rPr>
              <w:t>Visual acuity</w:t>
            </w:r>
          </w:p>
        </w:tc>
        <w:tc>
          <w:tcPr>
            <w:tcW w:w="804" w:type="dxa"/>
            <w:shd w:val="clear" w:color="auto" w:fill="E7E6E6"/>
          </w:tcPr>
          <w:p w14:paraId="49F7F87D" w14:textId="77777777" w:rsidR="006170EB" w:rsidRPr="00A71AEC" w:rsidRDefault="00D15C98" w:rsidP="00A71AEC">
            <w:pPr>
              <w:spacing w:after="0" w:line="240" w:lineRule="auto"/>
              <w:jc w:val="center"/>
              <w:rPr>
                <w:rFonts w:ascii="Times New Roman" w:hAnsi="Times New Roman"/>
                <w:b/>
                <w:bCs/>
                <w:spacing w:val="-16"/>
                <w:lang w:val="en-GB"/>
              </w:rPr>
            </w:pPr>
            <w:r w:rsidRPr="00A71AEC">
              <w:rPr>
                <w:rFonts w:ascii="Times New Roman" w:hAnsi="Times New Roman"/>
                <w:b/>
                <w:bCs/>
                <w:spacing w:val="-16"/>
                <w:lang w:val="en-GB"/>
              </w:rPr>
              <w:t>Contr</w:t>
            </w:r>
          </w:p>
          <w:p w14:paraId="4904B7E4" w14:textId="77777777" w:rsidR="006170EB" w:rsidRPr="00A71AEC" w:rsidRDefault="00D15C98" w:rsidP="00A71AEC">
            <w:pPr>
              <w:spacing w:after="0" w:line="240" w:lineRule="auto"/>
              <w:jc w:val="center"/>
              <w:rPr>
                <w:rFonts w:ascii="Times New Roman" w:hAnsi="Times New Roman"/>
                <w:b/>
                <w:bCs/>
                <w:spacing w:val="-16"/>
                <w:lang w:val="en-GB"/>
              </w:rPr>
            </w:pPr>
            <w:r w:rsidRPr="00A71AEC">
              <w:rPr>
                <w:rFonts w:ascii="Times New Roman" w:hAnsi="Times New Roman"/>
                <w:b/>
                <w:bCs/>
                <w:spacing w:val="-16"/>
                <w:lang w:val="en-GB"/>
              </w:rPr>
              <w:t>Sens.</w:t>
            </w:r>
          </w:p>
        </w:tc>
        <w:tc>
          <w:tcPr>
            <w:tcW w:w="715" w:type="dxa"/>
            <w:shd w:val="clear" w:color="auto" w:fill="E7E6E6"/>
          </w:tcPr>
          <w:p w14:paraId="550F6F8E" w14:textId="77777777" w:rsidR="006170EB" w:rsidRPr="00A71AEC" w:rsidRDefault="00D15C98" w:rsidP="00A71AEC">
            <w:pPr>
              <w:spacing w:after="0" w:line="240" w:lineRule="auto"/>
              <w:jc w:val="center"/>
              <w:rPr>
                <w:rFonts w:ascii="Times New Roman" w:hAnsi="Times New Roman"/>
                <w:b/>
                <w:bCs/>
                <w:spacing w:val="-16"/>
                <w:lang w:val="en-GB"/>
              </w:rPr>
            </w:pPr>
            <w:r w:rsidRPr="00A71AEC">
              <w:rPr>
                <w:rFonts w:ascii="Times New Roman" w:hAnsi="Times New Roman"/>
                <w:b/>
                <w:bCs/>
                <w:spacing w:val="-16"/>
                <w:lang w:val="en-GB"/>
              </w:rPr>
              <w:t>Visual</w:t>
            </w:r>
          </w:p>
          <w:p w14:paraId="4C379099" w14:textId="77777777" w:rsidR="006170EB" w:rsidRPr="00A71AEC" w:rsidRDefault="00D15C98" w:rsidP="00A71AEC">
            <w:pPr>
              <w:spacing w:after="0" w:line="240" w:lineRule="auto"/>
              <w:jc w:val="center"/>
              <w:rPr>
                <w:rFonts w:ascii="Times New Roman" w:hAnsi="Times New Roman"/>
                <w:b/>
                <w:bCs/>
                <w:spacing w:val="-16"/>
                <w:lang w:val="en-GB"/>
              </w:rPr>
            </w:pPr>
            <w:r w:rsidRPr="00A71AEC">
              <w:rPr>
                <w:rFonts w:ascii="Times New Roman" w:hAnsi="Times New Roman"/>
                <w:b/>
                <w:bCs/>
                <w:spacing w:val="-16"/>
                <w:lang w:val="en-GB"/>
              </w:rPr>
              <w:t>Field</w:t>
            </w:r>
          </w:p>
        </w:tc>
      </w:tr>
      <w:tr w:rsidR="006170EB" w:rsidRPr="00A71AEC" w14:paraId="0EF2E29B" w14:textId="77777777" w:rsidTr="00A71AEC">
        <w:trPr>
          <w:trHeight w:val="271"/>
        </w:trPr>
        <w:tc>
          <w:tcPr>
            <w:tcW w:w="566" w:type="dxa"/>
            <w:shd w:val="clear" w:color="auto" w:fill="auto"/>
            <w:vAlign w:val="center"/>
          </w:tcPr>
          <w:p w14:paraId="1411F659" w14:textId="77777777" w:rsidR="006170EB" w:rsidRPr="00A71AEC" w:rsidRDefault="00D15C98" w:rsidP="00A71AEC">
            <w:pPr>
              <w:spacing w:after="0" w:line="240" w:lineRule="auto"/>
              <w:rPr>
                <w:rFonts w:ascii="Times New Roman" w:hAnsi="Times New Roman"/>
                <w:spacing w:val="-16"/>
                <w:lang w:val="en-GB"/>
              </w:rPr>
            </w:pPr>
            <w:r w:rsidRPr="00A71AEC">
              <w:rPr>
                <w:rFonts w:ascii="Times New Roman" w:hAnsi="Times New Roman"/>
                <w:spacing w:val="-16"/>
                <w:lang w:val="en-GB"/>
              </w:rPr>
              <w:t>1</w:t>
            </w:r>
          </w:p>
        </w:tc>
        <w:tc>
          <w:tcPr>
            <w:tcW w:w="853" w:type="dxa"/>
            <w:shd w:val="clear" w:color="auto" w:fill="auto"/>
            <w:vAlign w:val="center"/>
          </w:tcPr>
          <w:p w14:paraId="102475F9"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spacing w:val="-16"/>
                <w:lang w:val="en-GB"/>
              </w:rPr>
              <w:t>As, H</w:t>
            </w:r>
          </w:p>
        </w:tc>
        <w:tc>
          <w:tcPr>
            <w:tcW w:w="710" w:type="dxa"/>
            <w:shd w:val="clear" w:color="auto" w:fill="auto"/>
            <w:vAlign w:val="center"/>
          </w:tcPr>
          <w:p w14:paraId="61CE896D"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Pend</w:t>
            </w:r>
          </w:p>
        </w:tc>
        <w:tc>
          <w:tcPr>
            <w:tcW w:w="1120" w:type="dxa"/>
            <w:shd w:val="clear" w:color="auto" w:fill="auto"/>
            <w:vAlign w:val="center"/>
          </w:tcPr>
          <w:p w14:paraId="4B7B0EBC" w14:textId="77777777" w:rsidR="006170EB" w:rsidRPr="00A71AEC" w:rsidRDefault="00D15C98" w:rsidP="00A71AEC">
            <w:pPr>
              <w:spacing w:after="0" w:line="240" w:lineRule="auto"/>
              <w:jc w:val="center"/>
              <w:rPr>
                <w:rFonts w:ascii="Times New Roman" w:hAnsi="Times New Roman"/>
                <w:spacing w:val="-16"/>
                <w:lang w:val="en-GB"/>
              </w:rPr>
            </w:pPr>
            <w:r w:rsidRPr="00A71AEC">
              <w:rPr>
                <w:rFonts w:ascii="Times New Roman" w:hAnsi="Times New Roman"/>
                <w:bCs/>
                <w:iCs/>
                <w:spacing w:val="-16"/>
                <w:lang w:val="en-GB"/>
              </w:rPr>
              <w:t>Exo</w:t>
            </w:r>
          </w:p>
        </w:tc>
        <w:tc>
          <w:tcPr>
            <w:tcW w:w="866" w:type="dxa"/>
            <w:shd w:val="clear" w:color="auto" w:fill="auto"/>
            <w:vAlign w:val="center"/>
          </w:tcPr>
          <w:p w14:paraId="4AF130F7"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A</w:t>
            </w:r>
          </w:p>
        </w:tc>
        <w:tc>
          <w:tcPr>
            <w:tcW w:w="932" w:type="dxa"/>
            <w:shd w:val="clear" w:color="auto" w:fill="auto"/>
            <w:vAlign w:val="center"/>
          </w:tcPr>
          <w:p w14:paraId="21F05870"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A</w:t>
            </w:r>
          </w:p>
        </w:tc>
        <w:tc>
          <w:tcPr>
            <w:tcW w:w="929" w:type="dxa"/>
            <w:shd w:val="clear" w:color="auto" w:fill="auto"/>
            <w:vAlign w:val="center"/>
          </w:tcPr>
          <w:p w14:paraId="1C7D78F6"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A</w:t>
            </w:r>
          </w:p>
        </w:tc>
        <w:tc>
          <w:tcPr>
            <w:tcW w:w="976" w:type="dxa"/>
            <w:shd w:val="clear" w:color="auto" w:fill="auto"/>
            <w:vAlign w:val="center"/>
          </w:tcPr>
          <w:p w14:paraId="149638A8"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0.2</w:t>
            </w:r>
          </w:p>
        </w:tc>
        <w:tc>
          <w:tcPr>
            <w:tcW w:w="804" w:type="dxa"/>
            <w:shd w:val="clear" w:color="auto" w:fill="auto"/>
            <w:vAlign w:val="center"/>
          </w:tcPr>
          <w:p w14:paraId="62083CDA"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1.25</w:t>
            </w:r>
          </w:p>
        </w:tc>
        <w:tc>
          <w:tcPr>
            <w:tcW w:w="715" w:type="dxa"/>
            <w:shd w:val="clear" w:color="auto" w:fill="auto"/>
            <w:vAlign w:val="center"/>
          </w:tcPr>
          <w:p w14:paraId="71135D65"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N</w:t>
            </w:r>
          </w:p>
        </w:tc>
      </w:tr>
      <w:tr w:rsidR="006170EB" w:rsidRPr="00A71AEC" w14:paraId="3B853D09" w14:textId="77777777" w:rsidTr="00A71AEC">
        <w:trPr>
          <w:trHeight w:val="271"/>
        </w:trPr>
        <w:tc>
          <w:tcPr>
            <w:tcW w:w="566" w:type="dxa"/>
            <w:shd w:val="clear" w:color="auto" w:fill="auto"/>
            <w:vAlign w:val="center"/>
          </w:tcPr>
          <w:p w14:paraId="16EC11FA" w14:textId="77777777" w:rsidR="006170EB" w:rsidRPr="00A71AEC" w:rsidRDefault="00D15C98" w:rsidP="00A71AEC">
            <w:pPr>
              <w:spacing w:after="0" w:line="240" w:lineRule="auto"/>
              <w:rPr>
                <w:rFonts w:ascii="Times New Roman" w:hAnsi="Times New Roman"/>
                <w:spacing w:val="-16"/>
                <w:lang w:val="en-GB"/>
              </w:rPr>
            </w:pPr>
            <w:r w:rsidRPr="00A71AEC">
              <w:rPr>
                <w:rFonts w:ascii="Times New Roman" w:hAnsi="Times New Roman"/>
                <w:spacing w:val="-16"/>
                <w:lang w:val="en-GB"/>
              </w:rPr>
              <w:t>2</w:t>
            </w:r>
          </w:p>
        </w:tc>
        <w:tc>
          <w:tcPr>
            <w:tcW w:w="853" w:type="dxa"/>
            <w:shd w:val="clear" w:color="auto" w:fill="auto"/>
            <w:vAlign w:val="center"/>
          </w:tcPr>
          <w:p w14:paraId="797A6A1A"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spacing w:val="-16"/>
                <w:lang w:val="en-GB"/>
              </w:rPr>
              <w:t>As, M</w:t>
            </w:r>
          </w:p>
        </w:tc>
        <w:tc>
          <w:tcPr>
            <w:tcW w:w="710" w:type="dxa"/>
            <w:shd w:val="clear" w:color="auto" w:fill="auto"/>
            <w:vAlign w:val="center"/>
          </w:tcPr>
          <w:p w14:paraId="68454FD1"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Jerky</w:t>
            </w:r>
          </w:p>
        </w:tc>
        <w:tc>
          <w:tcPr>
            <w:tcW w:w="1120" w:type="dxa"/>
            <w:shd w:val="clear" w:color="auto" w:fill="auto"/>
            <w:vAlign w:val="center"/>
          </w:tcPr>
          <w:p w14:paraId="4614062D" w14:textId="77777777" w:rsidR="006170EB" w:rsidRPr="00A71AEC" w:rsidRDefault="00D15C98" w:rsidP="00A71AEC">
            <w:pPr>
              <w:spacing w:after="0" w:line="240" w:lineRule="auto"/>
              <w:jc w:val="center"/>
              <w:rPr>
                <w:rFonts w:ascii="Times New Roman" w:hAnsi="Times New Roman"/>
                <w:spacing w:val="-16"/>
                <w:lang w:val="en-GB"/>
              </w:rPr>
            </w:pPr>
            <w:r w:rsidRPr="00A71AEC">
              <w:rPr>
                <w:rFonts w:ascii="Times New Roman" w:hAnsi="Times New Roman"/>
                <w:bCs/>
                <w:iCs/>
                <w:spacing w:val="-16"/>
                <w:lang w:val="en-GB"/>
              </w:rPr>
              <w:t>No</w:t>
            </w:r>
          </w:p>
        </w:tc>
        <w:tc>
          <w:tcPr>
            <w:tcW w:w="866" w:type="dxa"/>
            <w:shd w:val="clear" w:color="auto" w:fill="auto"/>
            <w:vAlign w:val="center"/>
          </w:tcPr>
          <w:p w14:paraId="093DD2DA"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A</w:t>
            </w:r>
          </w:p>
        </w:tc>
        <w:tc>
          <w:tcPr>
            <w:tcW w:w="932" w:type="dxa"/>
            <w:shd w:val="clear" w:color="auto" w:fill="auto"/>
            <w:vAlign w:val="center"/>
          </w:tcPr>
          <w:p w14:paraId="23CEBB41"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A</w:t>
            </w:r>
          </w:p>
        </w:tc>
        <w:tc>
          <w:tcPr>
            <w:tcW w:w="929" w:type="dxa"/>
            <w:shd w:val="clear" w:color="auto" w:fill="auto"/>
            <w:vAlign w:val="center"/>
          </w:tcPr>
          <w:p w14:paraId="4CF28015"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A</w:t>
            </w:r>
          </w:p>
        </w:tc>
        <w:tc>
          <w:tcPr>
            <w:tcW w:w="976" w:type="dxa"/>
            <w:shd w:val="clear" w:color="auto" w:fill="auto"/>
            <w:vAlign w:val="center"/>
          </w:tcPr>
          <w:p w14:paraId="0E288CCF"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iCs/>
                <w:spacing w:val="-16"/>
                <w:lang w:val="en-GB"/>
              </w:rPr>
              <w:t>0.06</w:t>
            </w:r>
          </w:p>
        </w:tc>
        <w:tc>
          <w:tcPr>
            <w:tcW w:w="804" w:type="dxa"/>
            <w:shd w:val="clear" w:color="auto" w:fill="auto"/>
            <w:vAlign w:val="center"/>
          </w:tcPr>
          <w:p w14:paraId="44AE993F"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iCs/>
                <w:spacing w:val="-16"/>
                <w:lang w:val="en-GB"/>
              </w:rPr>
              <w:t>2.5</w:t>
            </w:r>
          </w:p>
        </w:tc>
        <w:tc>
          <w:tcPr>
            <w:tcW w:w="715" w:type="dxa"/>
            <w:shd w:val="clear" w:color="auto" w:fill="auto"/>
            <w:vAlign w:val="center"/>
          </w:tcPr>
          <w:p w14:paraId="7939DAA1" w14:textId="77777777" w:rsidR="006170EB" w:rsidRPr="00A71AEC" w:rsidRDefault="00D15C98" w:rsidP="00A71AEC">
            <w:pPr>
              <w:spacing w:after="0" w:line="240" w:lineRule="auto"/>
              <w:jc w:val="center"/>
              <w:rPr>
                <w:rFonts w:ascii="Times New Roman" w:hAnsi="Times New Roman"/>
                <w:bCs/>
                <w:iCs/>
                <w:spacing w:val="-16"/>
                <w:lang w:val="en-GB"/>
              </w:rPr>
            </w:pPr>
            <w:r w:rsidRPr="00A71AEC">
              <w:rPr>
                <w:rFonts w:ascii="Times New Roman" w:hAnsi="Times New Roman"/>
                <w:bCs/>
                <w:iCs/>
                <w:spacing w:val="-16"/>
                <w:lang w:val="en-GB"/>
              </w:rPr>
              <w:t>N</w:t>
            </w:r>
          </w:p>
        </w:tc>
      </w:tr>
      <w:tr w:rsidR="006170EB" w:rsidRPr="00A71AEC" w14:paraId="2B6B4EF3" w14:textId="77777777" w:rsidTr="00A71AEC">
        <w:trPr>
          <w:trHeight w:val="286"/>
        </w:trPr>
        <w:tc>
          <w:tcPr>
            <w:tcW w:w="566" w:type="dxa"/>
            <w:shd w:val="clear" w:color="auto" w:fill="auto"/>
            <w:vAlign w:val="center"/>
          </w:tcPr>
          <w:p w14:paraId="01836780" w14:textId="77777777" w:rsidR="006170EB" w:rsidRPr="00A71AEC" w:rsidRDefault="00D15C98" w:rsidP="00A71AEC">
            <w:pPr>
              <w:spacing w:after="0" w:line="240" w:lineRule="auto"/>
              <w:rPr>
                <w:rFonts w:ascii="Times New Roman" w:hAnsi="Times New Roman"/>
                <w:spacing w:val="-16"/>
                <w:lang w:val="en-GB"/>
              </w:rPr>
            </w:pPr>
            <w:r w:rsidRPr="00A71AEC">
              <w:rPr>
                <w:rFonts w:ascii="Times New Roman" w:hAnsi="Times New Roman"/>
                <w:spacing w:val="-16"/>
                <w:lang w:val="en-GB"/>
              </w:rPr>
              <w:t>3</w:t>
            </w:r>
          </w:p>
        </w:tc>
        <w:tc>
          <w:tcPr>
            <w:tcW w:w="853" w:type="dxa"/>
            <w:shd w:val="clear" w:color="auto" w:fill="auto"/>
            <w:vAlign w:val="center"/>
          </w:tcPr>
          <w:p w14:paraId="29265C3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lang w:val="en-GB"/>
              </w:rPr>
              <w:t xml:space="preserve">As, </w:t>
            </w:r>
            <w:r w:rsidRPr="00A71AEC">
              <w:rPr>
                <w:rFonts w:ascii="Times New Roman" w:hAnsi="Times New Roman"/>
                <w:bCs/>
                <w:iCs/>
                <w:spacing w:val="-16"/>
              </w:rPr>
              <w:t>M</w:t>
            </w:r>
          </w:p>
        </w:tc>
        <w:tc>
          <w:tcPr>
            <w:tcW w:w="710" w:type="dxa"/>
            <w:shd w:val="clear" w:color="auto" w:fill="auto"/>
            <w:vAlign w:val="center"/>
          </w:tcPr>
          <w:p w14:paraId="3FAB6A3E"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Pend</w:t>
            </w:r>
          </w:p>
        </w:tc>
        <w:tc>
          <w:tcPr>
            <w:tcW w:w="1120" w:type="dxa"/>
            <w:shd w:val="clear" w:color="auto" w:fill="auto"/>
            <w:vAlign w:val="center"/>
          </w:tcPr>
          <w:p w14:paraId="2E17927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spacing w:val="-16"/>
              </w:rPr>
              <w:t>Eso</w:t>
            </w:r>
          </w:p>
        </w:tc>
        <w:tc>
          <w:tcPr>
            <w:tcW w:w="866" w:type="dxa"/>
            <w:shd w:val="clear" w:color="auto" w:fill="auto"/>
            <w:vAlign w:val="center"/>
          </w:tcPr>
          <w:p w14:paraId="595AE1C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0E9392FE"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4E7AC0A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76" w:type="dxa"/>
            <w:shd w:val="clear" w:color="auto" w:fill="auto"/>
            <w:vAlign w:val="center"/>
          </w:tcPr>
          <w:p w14:paraId="563D070E"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0.05</w:t>
            </w:r>
          </w:p>
        </w:tc>
        <w:tc>
          <w:tcPr>
            <w:tcW w:w="804" w:type="dxa"/>
            <w:shd w:val="clear" w:color="auto" w:fill="auto"/>
            <w:vAlign w:val="center"/>
          </w:tcPr>
          <w:p w14:paraId="7E4475C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1.25</w:t>
            </w:r>
          </w:p>
        </w:tc>
        <w:tc>
          <w:tcPr>
            <w:tcW w:w="715" w:type="dxa"/>
            <w:shd w:val="clear" w:color="auto" w:fill="auto"/>
            <w:vAlign w:val="center"/>
          </w:tcPr>
          <w:p w14:paraId="23666CDE"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r>
      <w:tr w:rsidR="006170EB" w:rsidRPr="00A71AEC" w14:paraId="36540FB5" w14:textId="77777777" w:rsidTr="00A71AEC">
        <w:trPr>
          <w:trHeight w:val="271"/>
        </w:trPr>
        <w:tc>
          <w:tcPr>
            <w:tcW w:w="566" w:type="dxa"/>
            <w:shd w:val="clear" w:color="auto" w:fill="auto"/>
            <w:vAlign w:val="center"/>
          </w:tcPr>
          <w:p w14:paraId="4EC092F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w:t>
            </w:r>
          </w:p>
        </w:tc>
        <w:tc>
          <w:tcPr>
            <w:tcW w:w="853" w:type="dxa"/>
            <w:shd w:val="clear" w:color="auto" w:fill="auto"/>
            <w:vAlign w:val="center"/>
          </w:tcPr>
          <w:p w14:paraId="4CD42EDB"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As, M</w:t>
            </w:r>
          </w:p>
        </w:tc>
        <w:tc>
          <w:tcPr>
            <w:tcW w:w="710" w:type="dxa"/>
            <w:shd w:val="clear" w:color="auto" w:fill="auto"/>
            <w:vAlign w:val="center"/>
          </w:tcPr>
          <w:p w14:paraId="031668D2"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Pend</w:t>
            </w:r>
          </w:p>
        </w:tc>
        <w:tc>
          <w:tcPr>
            <w:tcW w:w="1120" w:type="dxa"/>
            <w:shd w:val="clear" w:color="auto" w:fill="auto"/>
            <w:vAlign w:val="center"/>
          </w:tcPr>
          <w:p w14:paraId="0DBFEAE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Eso</w:t>
            </w:r>
          </w:p>
        </w:tc>
        <w:tc>
          <w:tcPr>
            <w:tcW w:w="866" w:type="dxa"/>
            <w:shd w:val="clear" w:color="auto" w:fill="auto"/>
            <w:vAlign w:val="center"/>
          </w:tcPr>
          <w:p w14:paraId="16A44724"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32" w:type="dxa"/>
            <w:shd w:val="clear" w:color="auto" w:fill="auto"/>
            <w:vAlign w:val="center"/>
          </w:tcPr>
          <w:p w14:paraId="3749EDAC"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29" w:type="dxa"/>
            <w:shd w:val="clear" w:color="auto" w:fill="auto"/>
            <w:vAlign w:val="center"/>
          </w:tcPr>
          <w:p w14:paraId="2A2F9EC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76" w:type="dxa"/>
            <w:shd w:val="clear" w:color="auto" w:fill="auto"/>
            <w:vAlign w:val="center"/>
          </w:tcPr>
          <w:p w14:paraId="7FEBE49A"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0.1</w:t>
            </w:r>
          </w:p>
        </w:tc>
        <w:tc>
          <w:tcPr>
            <w:tcW w:w="804" w:type="dxa"/>
            <w:shd w:val="clear" w:color="auto" w:fill="auto"/>
            <w:vAlign w:val="center"/>
          </w:tcPr>
          <w:p w14:paraId="17ADE8C0" w14:textId="77777777" w:rsidR="006170EB" w:rsidRPr="00A71AEC" w:rsidRDefault="00D15C98" w:rsidP="00A71AEC">
            <w:pPr>
              <w:spacing w:after="0" w:line="240" w:lineRule="auto"/>
              <w:jc w:val="center"/>
              <w:rPr>
                <w:rFonts w:ascii="Times New Roman" w:hAnsi="Times New Roman"/>
                <w:i/>
                <w:spacing w:val="-16"/>
              </w:rPr>
            </w:pPr>
            <w:r w:rsidRPr="00A71AEC">
              <w:rPr>
                <w:rFonts w:ascii="Times New Roman" w:hAnsi="Times New Roman"/>
                <w:bCs/>
                <w:iCs/>
                <w:spacing w:val="-16"/>
              </w:rPr>
              <w:t>1.25</w:t>
            </w:r>
          </w:p>
        </w:tc>
        <w:tc>
          <w:tcPr>
            <w:tcW w:w="715" w:type="dxa"/>
            <w:shd w:val="clear" w:color="auto" w:fill="auto"/>
            <w:vAlign w:val="center"/>
          </w:tcPr>
          <w:p w14:paraId="05C6CA85" w14:textId="77777777" w:rsidR="006170EB" w:rsidRPr="00A71AEC" w:rsidRDefault="00D15C98" w:rsidP="00A71AEC">
            <w:pPr>
              <w:spacing w:after="0" w:line="240" w:lineRule="auto"/>
              <w:jc w:val="center"/>
              <w:rPr>
                <w:rFonts w:ascii="Times New Roman" w:hAnsi="Times New Roman"/>
                <w:i/>
                <w:spacing w:val="-16"/>
              </w:rPr>
            </w:pPr>
            <w:r w:rsidRPr="00A71AEC">
              <w:rPr>
                <w:rFonts w:ascii="Times New Roman" w:hAnsi="Times New Roman"/>
                <w:iCs/>
                <w:spacing w:val="-16"/>
              </w:rPr>
              <w:t>A</w:t>
            </w:r>
          </w:p>
        </w:tc>
      </w:tr>
      <w:tr w:rsidR="006170EB" w:rsidRPr="00A71AEC" w14:paraId="0BBA5258" w14:textId="77777777" w:rsidTr="00A71AEC">
        <w:trPr>
          <w:trHeight w:val="286"/>
        </w:trPr>
        <w:tc>
          <w:tcPr>
            <w:tcW w:w="566" w:type="dxa"/>
            <w:shd w:val="clear" w:color="auto" w:fill="auto"/>
            <w:vAlign w:val="center"/>
          </w:tcPr>
          <w:p w14:paraId="51EB5FD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w:t>
            </w:r>
          </w:p>
        </w:tc>
        <w:tc>
          <w:tcPr>
            <w:tcW w:w="853" w:type="dxa"/>
            <w:shd w:val="clear" w:color="auto" w:fill="auto"/>
            <w:vAlign w:val="center"/>
          </w:tcPr>
          <w:p w14:paraId="4DC92AE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As, H</w:t>
            </w:r>
          </w:p>
        </w:tc>
        <w:tc>
          <w:tcPr>
            <w:tcW w:w="710" w:type="dxa"/>
            <w:shd w:val="clear" w:color="auto" w:fill="auto"/>
            <w:vAlign w:val="center"/>
          </w:tcPr>
          <w:p w14:paraId="397EB6CE"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Pend</w:t>
            </w:r>
          </w:p>
        </w:tc>
        <w:tc>
          <w:tcPr>
            <w:tcW w:w="1120" w:type="dxa"/>
            <w:shd w:val="clear" w:color="auto" w:fill="auto"/>
            <w:vAlign w:val="center"/>
          </w:tcPr>
          <w:p w14:paraId="4D37D819"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Exo</w:t>
            </w:r>
          </w:p>
        </w:tc>
        <w:tc>
          <w:tcPr>
            <w:tcW w:w="866" w:type="dxa"/>
            <w:shd w:val="clear" w:color="auto" w:fill="auto"/>
            <w:vAlign w:val="center"/>
          </w:tcPr>
          <w:p w14:paraId="726A1A0F"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32" w:type="dxa"/>
            <w:shd w:val="clear" w:color="auto" w:fill="auto"/>
            <w:vAlign w:val="center"/>
          </w:tcPr>
          <w:p w14:paraId="6B76AFA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29" w:type="dxa"/>
            <w:shd w:val="clear" w:color="auto" w:fill="auto"/>
            <w:vAlign w:val="center"/>
          </w:tcPr>
          <w:p w14:paraId="433C88D5"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N</w:t>
            </w:r>
          </w:p>
        </w:tc>
        <w:tc>
          <w:tcPr>
            <w:tcW w:w="976" w:type="dxa"/>
            <w:shd w:val="clear" w:color="auto" w:fill="auto"/>
            <w:vAlign w:val="center"/>
          </w:tcPr>
          <w:p w14:paraId="045A2907"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0.1</w:t>
            </w:r>
          </w:p>
        </w:tc>
        <w:tc>
          <w:tcPr>
            <w:tcW w:w="804" w:type="dxa"/>
            <w:shd w:val="clear" w:color="auto" w:fill="auto"/>
            <w:vAlign w:val="center"/>
          </w:tcPr>
          <w:p w14:paraId="11E4964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1.25</w:t>
            </w:r>
          </w:p>
        </w:tc>
        <w:tc>
          <w:tcPr>
            <w:tcW w:w="715" w:type="dxa"/>
            <w:shd w:val="clear" w:color="auto" w:fill="auto"/>
            <w:vAlign w:val="center"/>
          </w:tcPr>
          <w:p w14:paraId="09653BF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iCs/>
                <w:spacing w:val="-16"/>
              </w:rPr>
              <w:t>A</w:t>
            </w:r>
          </w:p>
        </w:tc>
      </w:tr>
      <w:tr w:rsidR="006170EB" w:rsidRPr="00A71AEC" w14:paraId="45B7FE9F" w14:textId="77777777" w:rsidTr="00A71AEC">
        <w:trPr>
          <w:trHeight w:val="271"/>
        </w:trPr>
        <w:tc>
          <w:tcPr>
            <w:tcW w:w="566" w:type="dxa"/>
            <w:shd w:val="clear" w:color="auto" w:fill="auto"/>
            <w:vAlign w:val="center"/>
          </w:tcPr>
          <w:p w14:paraId="05F5A4C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w:t>
            </w:r>
          </w:p>
        </w:tc>
        <w:tc>
          <w:tcPr>
            <w:tcW w:w="853" w:type="dxa"/>
            <w:shd w:val="clear" w:color="auto" w:fill="auto"/>
            <w:vAlign w:val="center"/>
          </w:tcPr>
          <w:p w14:paraId="3BBE4F17"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As, M</w:t>
            </w:r>
          </w:p>
        </w:tc>
        <w:tc>
          <w:tcPr>
            <w:tcW w:w="710" w:type="dxa"/>
            <w:shd w:val="clear" w:color="auto" w:fill="auto"/>
            <w:vAlign w:val="center"/>
          </w:tcPr>
          <w:p w14:paraId="0EECEA1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spacing w:val="-16"/>
              </w:rPr>
              <w:t>Pend</w:t>
            </w:r>
          </w:p>
        </w:tc>
        <w:tc>
          <w:tcPr>
            <w:tcW w:w="1120" w:type="dxa"/>
            <w:shd w:val="clear" w:color="auto" w:fill="auto"/>
            <w:vAlign w:val="center"/>
          </w:tcPr>
          <w:p w14:paraId="31DC574F"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spacing w:val="-16"/>
              </w:rPr>
              <w:t>Eso</w:t>
            </w:r>
          </w:p>
        </w:tc>
        <w:tc>
          <w:tcPr>
            <w:tcW w:w="866" w:type="dxa"/>
            <w:shd w:val="clear" w:color="auto" w:fill="auto"/>
            <w:vAlign w:val="center"/>
          </w:tcPr>
          <w:p w14:paraId="6D0E2FF6"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5452EE6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0C90869D"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76" w:type="dxa"/>
            <w:shd w:val="clear" w:color="auto" w:fill="auto"/>
            <w:vAlign w:val="center"/>
          </w:tcPr>
          <w:p w14:paraId="1F88FA6C"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iCs/>
                <w:spacing w:val="-16"/>
              </w:rPr>
              <w:t>0.1</w:t>
            </w:r>
          </w:p>
        </w:tc>
        <w:tc>
          <w:tcPr>
            <w:tcW w:w="804" w:type="dxa"/>
            <w:shd w:val="clear" w:color="auto" w:fill="auto"/>
            <w:vAlign w:val="center"/>
          </w:tcPr>
          <w:p w14:paraId="64FBBC5A"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5</w:t>
            </w:r>
          </w:p>
        </w:tc>
        <w:tc>
          <w:tcPr>
            <w:tcW w:w="715" w:type="dxa"/>
            <w:shd w:val="clear" w:color="auto" w:fill="auto"/>
            <w:vAlign w:val="center"/>
          </w:tcPr>
          <w:p w14:paraId="2875AE99"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iCs/>
                <w:spacing w:val="-16"/>
              </w:rPr>
              <w:t>A</w:t>
            </w:r>
          </w:p>
        </w:tc>
      </w:tr>
      <w:tr w:rsidR="006170EB" w:rsidRPr="00A71AEC" w14:paraId="7C54EA31" w14:textId="77777777" w:rsidTr="00A71AEC">
        <w:trPr>
          <w:trHeight w:val="271"/>
        </w:trPr>
        <w:tc>
          <w:tcPr>
            <w:tcW w:w="566" w:type="dxa"/>
            <w:shd w:val="clear" w:color="auto" w:fill="auto"/>
            <w:vAlign w:val="center"/>
          </w:tcPr>
          <w:p w14:paraId="3EAFE7D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w:t>
            </w:r>
          </w:p>
        </w:tc>
        <w:tc>
          <w:tcPr>
            <w:tcW w:w="853" w:type="dxa"/>
            <w:shd w:val="clear" w:color="auto" w:fill="auto"/>
            <w:vAlign w:val="center"/>
          </w:tcPr>
          <w:p w14:paraId="7D5DE0EB"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As, H</w:t>
            </w:r>
          </w:p>
        </w:tc>
        <w:tc>
          <w:tcPr>
            <w:tcW w:w="710" w:type="dxa"/>
            <w:shd w:val="clear" w:color="auto" w:fill="auto"/>
            <w:vAlign w:val="center"/>
          </w:tcPr>
          <w:p w14:paraId="158A91F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spacing w:val="-16"/>
              </w:rPr>
              <w:t>Pend</w:t>
            </w:r>
          </w:p>
        </w:tc>
        <w:tc>
          <w:tcPr>
            <w:tcW w:w="1120" w:type="dxa"/>
            <w:shd w:val="clear" w:color="auto" w:fill="auto"/>
            <w:vAlign w:val="center"/>
          </w:tcPr>
          <w:p w14:paraId="000E1DC7"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Exo</w:t>
            </w:r>
          </w:p>
        </w:tc>
        <w:tc>
          <w:tcPr>
            <w:tcW w:w="866" w:type="dxa"/>
            <w:shd w:val="clear" w:color="auto" w:fill="auto"/>
            <w:vAlign w:val="center"/>
          </w:tcPr>
          <w:p w14:paraId="3899107E"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631A8A4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0C3727AD"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76" w:type="dxa"/>
            <w:shd w:val="clear" w:color="auto" w:fill="auto"/>
            <w:vAlign w:val="center"/>
          </w:tcPr>
          <w:p w14:paraId="3AF9CA9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0.15</w:t>
            </w:r>
          </w:p>
        </w:tc>
        <w:tc>
          <w:tcPr>
            <w:tcW w:w="804" w:type="dxa"/>
            <w:shd w:val="clear" w:color="auto" w:fill="auto"/>
            <w:vAlign w:val="center"/>
          </w:tcPr>
          <w:p w14:paraId="1BDD421F"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1.25</w:t>
            </w:r>
          </w:p>
        </w:tc>
        <w:tc>
          <w:tcPr>
            <w:tcW w:w="715" w:type="dxa"/>
            <w:shd w:val="clear" w:color="auto" w:fill="auto"/>
            <w:vAlign w:val="center"/>
          </w:tcPr>
          <w:p w14:paraId="123E552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r>
      <w:tr w:rsidR="006170EB" w:rsidRPr="00A71AEC" w14:paraId="4420675A" w14:textId="77777777" w:rsidTr="00A71AEC">
        <w:trPr>
          <w:trHeight w:val="286"/>
        </w:trPr>
        <w:tc>
          <w:tcPr>
            <w:tcW w:w="566" w:type="dxa"/>
            <w:shd w:val="clear" w:color="auto" w:fill="auto"/>
            <w:vAlign w:val="center"/>
          </w:tcPr>
          <w:p w14:paraId="60A948C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8</w:t>
            </w:r>
          </w:p>
        </w:tc>
        <w:tc>
          <w:tcPr>
            <w:tcW w:w="853" w:type="dxa"/>
            <w:shd w:val="clear" w:color="auto" w:fill="auto"/>
            <w:vAlign w:val="center"/>
          </w:tcPr>
          <w:p w14:paraId="595987DB"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As, H</w:t>
            </w:r>
          </w:p>
        </w:tc>
        <w:tc>
          <w:tcPr>
            <w:tcW w:w="710" w:type="dxa"/>
            <w:shd w:val="clear" w:color="auto" w:fill="auto"/>
            <w:vAlign w:val="center"/>
          </w:tcPr>
          <w:p w14:paraId="5ABDB1A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Pend</w:t>
            </w:r>
          </w:p>
        </w:tc>
        <w:tc>
          <w:tcPr>
            <w:tcW w:w="1120" w:type="dxa"/>
            <w:shd w:val="clear" w:color="auto" w:fill="auto"/>
            <w:vAlign w:val="center"/>
          </w:tcPr>
          <w:p w14:paraId="3A5620E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Eso</w:t>
            </w:r>
          </w:p>
        </w:tc>
        <w:tc>
          <w:tcPr>
            <w:tcW w:w="866" w:type="dxa"/>
            <w:shd w:val="clear" w:color="auto" w:fill="auto"/>
            <w:vAlign w:val="center"/>
          </w:tcPr>
          <w:p w14:paraId="153801DA"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32" w:type="dxa"/>
            <w:shd w:val="clear" w:color="auto" w:fill="auto"/>
            <w:vAlign w:val="center"/>
          </w:tcPr>
          <w:p w14:paraId="20ABBED2"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29" w:type="dxa"/>
            <w:shd w:val="clear" w:color="auto" w:fill="auto"/>
            <w:vAlign w:val="center"/>
          </w:tcPr>
          <w:p w14:paraId="77C441B9"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76" w:type="dxa"/>
            <w:shd w:val="clear" w:color="auto" w:fill="auto"/>
            <w:vAlign w:val="center"/>
          </w:tcPr>
          <w:p w14:paraId="3F1A4254"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0.1</w:t>
            </w:r>
          </w:p>
        </w:tc>
        <w:tc>
          <w:tcPr>
            <w:tcW w:w="804" w:type="dxa"/>
            <w:shd w:val="clear" w:color="auto" w:fill="auto"/>
            <w:vAlign w:val="center"/>
          </w:tcPr>
          <w:p w14:paraId="6D6F6E8C"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1.25</w:t>
            </w:r>
          </w:p>
        </w:tc>
        <w:tc>
          <w:tcPr>
            <w:tcW w:w="715" w:type="dxa"/>
            <w:shd w:val="clear" w:color="auto" w:fill="auto"/>
            <w:vAlign w:val="center"/>
          </w:tcPr>
          <w:p w14:paraId="66F0EF7C"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A</w:t>
            </w:r>
          </w:p>
        </w:tc>
      </w:tr>
      <w:tr w:rsidR="006170EB" w:rsidRPr="00A71AEC" w14:paraId="62238C08" w14:textId="77777777" w:rsidTr="00A71AEC">
        <w:trPr>
          <w:trHeight w:val="286"/>
        </w:trPr>
        <w:tc>
          <w:tcPr>
            <w:tcW w:w="566" w:type="dxa"/>
            <w:shd w:val="clear" w:color="auto" w:fill="auto"/>
            <w:vAlign w:val="center"/>
          </w:tcPr>
          <w:p w14:paraId="2A29B27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w:t>
            </w:r>
          </w:p>
        </w:tc>
        <w:tc>
          <w:tcPr>
            <w:tcW w:w="853" w:type="dxa"/>
            <w:shd w:val="clear" w:color="auto" w:fill="auto"/>
            <w:vAlign w:val="center"/>
          </w:tcPr>
          <w:p w14:paraId="1CB0B07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As, M</w:t>
            </w:r>
          </w:p>
        </w:tc>
        <w:tc>
          <w:tcPr>
            <w:tcW w:w="710" w:type="dxa"/>
            <w:shd w:val="clear" w:color="auto" w:fill="auto"/>
            <w:vAlign w:val="center"/>
          </w:tcPr>
          <w:p w14:paraId="416D826B"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Mix</w:t>
            </w:r>
          </w:p>
        </w:tc>
        <w:tc>
          <w:tcPr>
            <w:tcW w:w="1120" w:type="dxa"/>
            <w:shd w:val="clear" w:color="auto" w:fill="auto"/>
            <w:vAlign w:val="center"/>
          </w:tcPr>
          <w:p w14:paraId="21311286"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Eso</w:t>
            </w:r>
          </w:p>
        </w:tc>
        <w:tc>
          <w:tcPr>
            <w:tcW w:w="866" w:type="dxa"/>
            <w:shd w:val="clear" w:color="auto" w:fill="auto"/>
            <w:vAlign w:val="center"/>
          </w:tcPr>
          <w:p w14:paraId="72A0556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32" w:type="dxa"/>
            <w:shd w:val="clear" w:color="auto" w:fill="auto"/>
            <w:vAlign w:val="center"/>
          </w:tcPr>
          <w:p w14:paraId="0BF834A5"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29" w:type="dxa"/>
            <w:shd w:val="clear" w:color="auto" w:fill="auto"/>
            <w:vAlign w:val="center"/>
          </w:tcPr>
          <w:p w14:paraId="4C085FA7"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76" w:type="dxa"/>
            <w:shd w:val="clear" w:color="auto" w:fill="auto"/>
            <w:vAlign w:val="center"/>
          </w:tcPr>
          <w:p w14:paraId="784A6EF8"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0.1</w:t>
            </w:r>
          </w:p>
        </w:tc>
        <w:tc>
          <w:tcPr>
            <w:tcW w:w="804" w:type="dxa"/>
            <w:shd w:val="clear" w:color="auto" w:fill="auto"/>
            <w:vAlign w:val="center"/>
          </w:tcPr>
          <w:p w14:paraId="5A90101C"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1.25</w:t>
            </w:r>
          </w:p>
        </w:tc>
        <w:tc>
          <w:tcPr>
            <w:tcW w:w="715" w:type="dxa"/>
            <w:shd w:val="clear" w:color="auto" w:fill="auto"/>
            <w:vAlign w:val="center"/>
          </w:tcPr>
          <w:p w14:paraId="63C6F14A"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N</w:t>
            </w:r>
          </w:p>
        </w:tc>
      </w:tr>
      <w:tr w:rsidR="006170EB" w:rsidRPr="00A71AEC" w14:paraId="030695B1" w14:textId="77777777" w:rsidTr="00A71AEC">
        <w:trPr>
          <w:trHeight w:val="271"/>
        </w:trPr>
        <w:tc>
          <w:tcPr>
            <w:tcW w:w="566" w:type="dxa"/>
            <w:shd w:val="clear" w:color="auto" w:fill="auto"/>
            <w:vAlign w:val="center"/>
          </w:tcPr>
          <w:p w14:paraId="08BFFB2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10</w:t>
            </w:r>
          </w:p>
        </w:tc>
        <w:tc>
          <w:tcPr>
            <w:tcW w:w="853" w:type="dxa"/>
            <w:shd w:val="clear" w:color="auto" w:fill="auto"/>
            <w:vAlign w:val="center"/>
          </w:tcPr>
          <w:p w14:paraId="4813D93F"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As, M</w:t>
            </w:r>
          </w:p>
        </w:tc>
        <w:tc>
          <w:tcPr>
            <w:tcW w:w="710" w:type="dxa"/>
            <w:shd w:val="clear" w:color="auto" w:fill="auto"/>
            <w:vAlign w:val="center"/>
          </w:tcPr>
          <w:p w14:paraId="3C820EF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Jerky</w:t>
            </w:r>
          </w:p>
        </w:tc>
        <w:tc>
          <w:tcPr>
            <w:tcW w:w="1120" w:type="dxa"/>
            <w:shd w:val="clear" w:color="auto" w:fill="auto"/>
            <w:vAlign w:val="center"/>
          </w:tcPr>
          <w:p w14:paraId="64841136"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Exo</w:t>
            </w:r>
          </w:p>
        </w:tc>
        <w:tc>
          <w:tcPr>
            <w:tcW w:w="866" w:type="dxa"/>
            <w:shd w:val="clear" w:color="auto" w:fill="auto"/>
            <w:vAlign w:val="center"/>
          </w:tcPr>
          <w:p w14:paraId="3995206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2908FCD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58D798E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76" w:type="dxa"/>
            <w:shd w:val="clear" w:color="auto" w:fill="auto"/>
            <w:vAlign w:val="center"/>
          </w:tcPr>
          <w:p w14:paraId="6211612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0.05</w:t>
            </w:r>
          </w:p>
        </w:tc>
        <w:tc>
          <w:tcPr>
            <w:tcW w:w="804" w:type="dxa"/>
            <w:shd w:val="clear" w:color="auto" w:fill="auto"/>
            <w:vAlign w:val="center"/>
          </w:tcPr>
          <w:p w14:paraId="4FC91ED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1.25</w:t>
            </w:r>
          </w:p>
        </w:tc>
        <w:tc>
          <w:tcPr>
            <w:tcW w:w="715" w:type="dxa"/>
            <w:shd w:val="clear" w:color="auto" w:fill="auto"/>
            <w:vAlign w:val="center"/>
          </w:tcPr>
          <w:p w14:paraId="71AFDEE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r>
      <w:tr w:rsidR="006170EB" w:rsidRPr="00A71AEC" w14:paraId="1CA13AEA" w14:textId="77777777" w:rsidTr="00A71AEC">
        <w:trPr>
          <w:trHeight w:val="286"/>
        </w:trPr>
        <w:tc>
          <w:tcPr>
            <w:tcW w:w="566" w:type="dxa"/>
            <w:shd w:val="clear" w:color="auto" w:fill="auto"/>
            <w:vAlign w:val="center"/>
          </w:tcPr>
          <w:p w14:paraId="2EA9581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w:t>
            </w:r>
          </w:p>
        </w:tc>
        <w:tc>
          <w:tcPr>
            <w:tcW w:w="853" w:type="dxa"/>
            <w:shd w:val="clear" w:color="auto" w:fill="auto"/>
            <w:vAlign w:val="center"/>
          </w:tcPr>
          <w:p w14:paraId="31A4DAA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As, M</w:t>
            </w:r>
          </w:p>
        </w:tc>
        <w:tc>
          <w:tcPr>
            <w:tcW w:w="710" w:type="dxa"/>
            <w:shd w:val="clear" w:color="auto" w:fill="auto"/>
            <w:vAlign w:val="center"/>
          </w:tcPr>
          <w:p w14:paraId="1C63F11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Mix</w:t>
            </w:r>
          </w:p>
        </w:tc>
        <w:tc>
          <w:tcPr>
            <w:tcW w:w="1120" w:type="dxa"/>
            <w:shd w:val="clear" w:color="auto" w:fill="auto"/>
            <w:vAlign w:val="center"/>
          </w:tcPr>
          <w:p w14:paraId="4123AA7C"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Exo</w:t>
            </w:r>
          </w:p>
        </w:tc>
        <w:tc>
          <w:tcPr>
            <w:tcW w:w="866" w:type="dxa"/>
            <w:shd w:val="clear" w:color="auto" w:fill="auto"/>
            <w:vAlign w:val="center"/>
          </w:tcPr>
          <w:p w14:paraId="10502F5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6F33E8DA"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3578D667"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c>
          <w:tcPr>
            <w:tcW w:w="976" w:type="dxa"/>
            <w:shd w:val="clear" w:color="auto" w:fill="auto"/>
            <w:vAlign w:val="center"/>
          </w:tcPr>
          <w:p w14:paraId="77C5F3C6"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spacing w:val="-16"/>
              </w:rPr>
              <w:t>0.15</w:t>
            </w:r>
          </w:p>
        </w:tc>
        <w:tc>
          <w:tcPr>
            <w:tcW w:w="804" w:type="dxa"/>
            <w:shd w:val="clear" w:color="auto" w:fill="auto"/>
            <w:vAlign w:val="center"/>
          </w:tcPr>
          <w:p w14:paraId="0025E247" w14:textId="77777777" w:rsidR="006170EB" w:rsidRPr="00A71AEC" w:rsidRDefault="00D15C98" w:rsidP="00A71AEC">
            <w:pPr>
              <w:spacing w:after="0" w:line="240" w:lineRule="auto"/>
              <w:jc w:val="center"/>
              <w:rPr>
                <w:rFonts w:ascii="Times New Roman" w:hAnsi="Times New Roman"/>
                <w:bCs/>
                <w:i/>
                <w:iCs/>
                <w:spacing w:val="-16"/>
              </w:rPr>
            </w:pPr>
            <w:r w:rsidRPr="00A71AEC">
              <w:rPr>
                <w:rFonts w:ascii="Times New Roman" w:hAnsi="Times New Roman"/>
                <w:bCs/>
                <w:iCs/>
                <w:spacing w:val="-16"/>
              </w:rPr>
              <w:t>1.25</w:t>
            </w:r>
          </w:p>
        </w:tc>
        <w:tc>
          <w:tcPr>
            <w:tcW w:w="715" w:type="dxa"/>
            <w:shd w:val="clear" w:color="auto" w:fill="auto"/>
            <w:vAlign w:val="center"/>
          </w:tcPr>
          <w:p w14:paraId="48666E4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r>
      <w:tr w:rsidR="006170EB" w:rsidRPr="00A71AEC" w14:paraId="45237BC6" w14:textId="77777777" w:rsidTr="00A71AEC">
        <w:trPr>
          <w:trHeight w:val="271"/>
        </w:trPr>
        <w:tc>
          <w:tcPr>
            <w:tcW w:w="566" w:type="dxa"/>
            <w:shd w:val="clear" w:color="auto" w:fill="auto"/>
            <w:vAlign w:val="center"/>
          </w:tcPr>
          <w:p w14:paraId="705DEFC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853" w:type="dxa"/>
            <w:shd w:val="clear" w:color="auto" w:fill="auto"/>
            <w:vAlign w:val="center"/>
          </w:tcPr>
          <w:p w14:paraId="5EC5B901"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As, H</w:t>
            </w:r>
          </w:p>
        </w:tc>
        <w:tc>
          <w:tcPr>
            <w:tcW w:w="710" w:type="dxa"/>
            <w:shd w:val="clear" w:color="auto" w:fill="auto"/>
            <w:vAlign w:val="center"/>
          </w:tcPr>
          <w:p w14:paraId="62574F47"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Pend</w:t>
            </w:r>
          </w:p>
        </w:tc>
        <w:tc>
          <w:tcPr>
            <w:tcW w:w="1120" w:type="dxa"/>
            <w:shd w:val="clear" w:color="auto" w:fill="auto"/>
            <w:vAlign w:val="center"/>
          </w:tcPr>
          <w:p w14:paraId="4A89308F"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Exo</w:t>
            </w:r>
          </w:p>
        </w:tc>
        <w:tc>
          <w:tcPr>
            <w:tcW w:w="866" w:type="dxa"/>
            <w:shd w:val="clear" w:color="auto" w:fill="auto"/>
            <w:vAlign w:val="center"/>
          </w:tcPr>
          <w:p w14:paraId="0C18A8A8"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32" w:type="dxa"/>
            <w:shd w:val="clear" w:color="auto" w:fill="auto"/>
            <w:vAlign w:val="center"/>
          </w:tcPr>
          <w:p w14:paraId="290AEC2E"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29" w:type="dxa"/>
            <w:shd w:val="clear" w:color="auto" w:fill="auto"/>
            <w:vAlign w:val="center"/>
          </w:tcPr>
          <w:p w14:paraId="23136E9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76" w:type="dxa"/>
            <w:shd w:val="clear" w:color="auto" w:fill="auto"/>
            <w:vAlign w:val="center"/>
          </w:tcPr>
          <w:p w14:paraId="3B855996"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0.3</w:t>
            </w:r>
          </w:p>
        </w:tc>
        <w:tc>
          <w:tcPr>
            <w:tcW w:w="804" w:type="dxa"/>
            <w:shd w:val="clear" w:color="auto" w:fill="auto"/>
            <w:vAlign w:val="center"/>
          </w:tcPr>
          <w:p w14:paraId="05CAB014"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1.25</w:t>
            </w:r>
          </w:p>
        </w:tc>
        <w:tc>
          <w:tcPr>
            <w:tcW w:w="715" w:type="dxa"/>
            <w:shd w:val="clear" w:color="auto" w:fill="auto"/>
            <w:vAlign w:val="center"/>
          </w:tcPr>
          <w:p w14:paraId="4BD1A7E9"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N</w:t>
            </w:r>
          </w:p>
        </w:tc>
      </w:tr>
      <w:tr w:rsidR="006170EB" w:rsidRPr="00A71AEC" w14:paraId="77B2F0B5" w14:textId="77777777" w:rsidTr="00A71AEC">
        <w:trPr>
          <w:trHeight w:val="271"/>
        </w:trPr>
        <w:tc>
          <w:tcPr>
            <w:tcW w:w="566" w:type="dxa"/>
            <w:shd w:val="clear" w:color="auto" w:fill="auto"/>
            <w:vAlign w:val="center"/>
          </w:tcPr>
          <w:p w14:paraId="7D50248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w:t>
            </w:r>
          </w:p>
        </w:tc>
        <w:tc>
          <w:tcPr>
            <w:tcW w:w="853" w:type="dxa"/>
            <w:shd w:val="clear" w:color="auto" w:fill="auto"/>
            <w:vAlign w:val="center"/>
          </w:tcPr>
          <w:p w14:paraId="0695774E"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As, H</w:t>
            </w:r>
          </w:p>
        </w:tc>
        <w:tc>
          <w:tcPr>
            <w:tcW w:w="710" w:type="dxa"/>
            <w:shd w:val="clear" w:color="auto" w:fill="auto"/>
            <w:vAlign w:val="center"/>
          </w:tcPr>
          <w:p w14:paraId="2F0EAA5A"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iCs/>
                <w:spacing w:val="-16"/>
              </w:rPr>
              <w:t>Jerky</w:t>
            </w:r>
          </w:p>
        </w:tc>
        <w:tc>
          <w:tcPr>
            <w:tcW w:w="1120" w:type="dxa"/>
            <w:shd w:val="clear" w:color="auto" w:fill="auto"/>
            <w:vAlign w:val="center"/>
          </w:tcPr>
          <w:p w14:paraId="60AA0F51"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Eso</w:t>
            </w:r>
          </w:p>
        </w:tc>
        <w:tc>
          <w:tcPr>
            <w:tcW w:w="866" w:type="dxa"/>
            <w:shd w:val="clear" w:color="auto" w:fill="auto"/>
            <w:vAlign w:val="center"/>
          </w:tcPr>
          <w:p w14:paraId="771A8158"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32" w:type="dxa"/>
            <w:shd w:val="clear" w:color="auto" w:fill="auto"/>
            <w:vAlign w:val="center"/>
          </w:tcPr>
          <w:p w14:paraId="4EE114E3"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N</w:t>
            </w:r>
          </w:p>
        </w:tc>
        <w:tc>
          <w:tcPr>
            <w:tcW w:w="929" w:type="dxa"/>
            <w:shd w:val="clear" w:color="auto" w:fill="auto"/>
            <w:vAlign w:val="center"/>
          </w:tcPr>
          <w:p w14:paraId="2BEB357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w:t>
            </w:r>
          </w:p>
        </w:tc>
        <w:tc>
          <w:tcPr>
            <w:tcW w:w="976" w:type="dxa"/>
            <w:shd w:val="clear" w:color="auto" w:fill="auto"/>
            <w:vAlign w:val="center"/>
          </w:tcPr>
          <w:p w14:paraId="796FBAE6"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0.2</w:t>
            </w:r>
          </w:p>
        </w:tc>
        <w:tc>
          <w:tcPr>
            <w:tcW w:w="804" w:type="dxa"/>
            <w:shd w:val="clear" w:color="auto" w:fill="auto"/>
            <w:vAlign w:val="center"/>
          </w:tcPr>
          <w:p w14:paraId="4E61F62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1.25</w:t>
            </w:r>
          </w:p>
        </w:tc>
        <w:tc>
          <w:tcPr>
            <w:tcW w:w="715" w:type="dxa"/>
            <w:shd w:val="clear" w:color="auto" w:fill="auto"/>
            <w:vAlign w:val="center"/>
          </w:tcPr>
          <w:p w14:paraId="1F2C0B1C"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N</w:t>
            </w:r>
          </w:p>
        </w:tc>
      </w:tr>
      <w:tr w:rsidR="006170EB" w:rsidRPr="00A71AEC" w14:paraId="0FA401FA" w14:textId="77777777" w:rsidTr="00A71AEC">
        <w:trPr>
          <w:trHeight w:val="271"/>
        </w:trPr>
        <w:tc>
          <w:tcPr>
            <w:tcW w:w="566" w:type="dxa"/>
            <w:shd w:val="clear" w:color="auto" w:fill="auto"/>
            <w:vAlign w:val="center"/>
          </w:tcPr>
          <w:p w14:paraId="26C9512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853" w:type="dxa"/>
            <w:shd w:val="clear" w:color="auto" w:fill="auto"/>
            <w:vAlign w:val="center"/>
          </w:tcPr>
          <w:p w14:paraId="143B39AF"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As</w:t>
            </w:r>
          </w:p>
        </w:tc>
        <w:tc>
          <w:tcPr>
            <w:tcW w:w="710" w:type="dxa"/>
            <w:shd w:val="clear" w:color="auto" w:fill="auto"/>
            <w:vAlign w:val="center"/>
          </w:tcPr>
          <w:p w14:paraId="3F20B35C" w14:textId="77777777" w:rsidR="006170EB" w:rsidRPr="00A71AEC" w:rsidRDefault="00D15C98" w:rsidP="00A71AEC">
            <w:pPr>
              <w:spacing w:after="0" w:line="240" w:lineRule="auto"/>
              <w:jc w:val="center"/>
              <w:rPr>
                <w:rFonts w:ascii="Times New Roman" w:hAnsi="Times New Roman"/>
                <w:iCs/>
                <w:spacing w:val="-16"/>
              </w:rPr>
            </w:pPr>
            <w:r w:rsidRPr="00A71AEC">
              <w:rPr>
                <w:rFonts w:ascii="Times New Roman" w:hAnsi="Times New Roman"/>
                <w:spacing w:val="-16"/>
              </w:rPr>
              <w:t>Pend</w:t>
            </w:r>
          </w:p>
        </w:tc>
        <w:tc>
          <w:tcPr>
            <w:tcW w:w="1120" w:type="dxa"/>
            <w:shd w:val="clear" w:color="auto" w:fill="auto"/>
            <w:vAlign w:val="center"/>
          </w:tcPr>
          <w:p w14:paraId="648DA085"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No</w:t>
            </w:r>
          </w:p>
        </w:tc>
        <w:tc>
          <w:tcPr>
            <w:tcW w:w="866" w:type="dxa"/>
            <w:shd w:val="clear" w:color="auto" w:fill="auto"/>
            <w:vAlign w:val="center"/>
          </w:tcPr>
          <w:p w14:paraId="2853EED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36FDECB2"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466E2C8D"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c>
          <w:tcPr>
            <w:tcW w:w="976" w:type="dxa"/>
            <w:shd w:val="clear" w:color="auto" w:fill="auto"/>
            <w:vAlign w:val="center"/>
          </w:tcPr>
          <w:p w14:paraId="0BAFE66E"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3.1*</w:t>
            </w:r>
          </w:p>
        </w:tc>
        <w:tc>
          <w:tcPr>
            <w:tcW w:w="804" w:type="dxa"/>
            <w:shd w:val="clear" w:color="auto" w:fill="auto"/>
            <w:vAlign w:val="center"/>
          </w:tcPr>
          <w:p w14:paraId="7627CF3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1.25</w:t>
            </w:r>
          </w:p>
        </w:tc>
        <w:tc>
          <w:tcPr>
            <w:tcW w:w="715" w:type="dxa"/>
            <w:shd w:val="clear" w:color="auto" w:fill="auto"/>
            <w:vAlign w:val="center"/>
          </w:tcPr>
          <w:p w14:paraId="704484B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r>
      <w:tr w:rsidR="006170EB" w:rsidRPr="00A71AEC" w14:paraId="02B3AE0F" w14:textId="77777777" w:rsidTr="00A71AEC">
        <w:trPr>
          <w:trHeight w:val="271"/>
        </w:trPr>
        <w:tc>
          <w:tcPr>
            <w:tcW w:w="566" w:type="dxa"/>
            <w:shd w:val="clear" w:color="auto" w:fill="auto"/>
            <w:vAlign w:val="center"/>
          </w:tcPr>
          <w:p w14:paraId="21EC8EC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15</w:t>
            </w:r>
          </w:p>
        </w:tc>
        <w:tc>
          <w:tcPr>
            <w:tcW w:w="853" w:type="dxa"/>
            <w:shd w:val="clear" w:color="auto" w:fill="auto"/>
            <w:vAlign w:val="center"/>
          </w:tcPr>
          <w:p w14:paraId="0B2EB35A"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As</w:t>
            </w:r>
          </w:p>
        </w:tc>
        <w:tc>
          <w:tcPr>
            <w:tcW w:w="710" w:type="dxa"/>
            <w:shd w:val="clear" w:color="auto" w:fill="auto"/>
            <w:vAlign w:val="center"/>
          </w:tcPr>
          <w:p w14:paraId="19A3409D" w14:textId="77777777" w:rsidR="006170EB" w:rsidRPr="00A71AEC" w:rsidRDefault="00D15C98" w:rsidP="00A71AEC">
            <w:pPr>
              <w:spacing w:after="0" w:line="240" w:lineRule="auto"/>
              <w:jc w:val="center"/>
              <w:rPr>
                <w:rFonts w:ascii="Times New Roman" w:hAnsi="Times New Roman"/>
                <w:iCs/>
                <w:spacing w:val="-16"/>
              </w:rPr>
            </w:pPr>
            <w:r w:rsidRPr="00A71AEC">
              <w:rPr>
                <w:rFonts w:ascii="Times New Roman" w:hAnsi="Times New Roman"/>
                <w:iCs/>
                <w:spacing w:val="-16"/>
              </w:rPr>
              <w:t>Mix</w:t>
            </w:r>
          </w:p>
        </w:tc>
        <w:tc>
          <w:tcPr>
            <w:tcW w:w="1120" w:type="dxa"/>
            <w:shd w:val="clear" w:color="auto" w:fill="auto"/>
            <w:vAlign w:val="center"/>
          </w:tcPr>
          <w:p w14:paraId="26F2945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No</w:t>
            </w:r>
          </w:p>
        </w:tc>
        <w:tc>
          <w:tcPr>
            <w:tcW w:w="866" w:type="dxa"/>
            <w:shd w:val="clear" w:color="auto" w:fill="auto"/>
            <w:vAlign w:val="center"/>
          </w:tcPr>
          <w:p w14:paraId="433278A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024B290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18710E1E"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76" w:type="dxa"/>
            <w:shd w:val="clear" w:color="auto" w:fill="auto"/>
            <w:vAlign w:val="center"/>
          </w:tcPr>
          <w:p w14:paraId="443746F4"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4.7*</w:t>
            </w:r>
          </w:p>
        </w:tc>
        <w:tc>
          <w:tcPr>
            <w:tcW w:w="804" w:type="dxa"/>
            <w:shd w:val="clear" w:color="auto" w:fill="auto"/>
            <w:vAlign w:val="center"/>
          </w:tcPr>
          <w:p w14:paraId="17A9D60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5</w:t>
            </w:r>
          </w:p>
        </w:tc>
        <w:tc>
          <w:tcPr>
            <w:tcW w:w="715" w:type="dxa"/>
            <w:shd w:val="clear" w:color="auto" w:fill="auto"/>
            <w:vAlign w:val="center"/>
          </w:tcPr>
          <w:p w14:paraId="6983DC9F"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r>
      <w:tr w:rsidR="006170EB" w:rsidRPr="00A71AEC" w14:paraId="5546CA0C" w14:textId="77777777" w:rsidTr="00A71AEC">
        <w:trPr>
          <w:trHeight w:val="271"/>
        </w:trPr>
        <w:tc>
          <w:tcPr>
            <w:tcW w:w="566" w:type="dxa"/>
            <w:shd w:val="clear" w:color="auto" w:fill="auto"/>
            <w:vAlign w:val="center"/>
          </w:tcPr>
          <w:p w14:paraId="4229375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16</w:t>
            </w:r>
          </w:p>
        </w:tc>
        <w:tc>
          <w:tcPr>
            <w:tcW w:w="853" w:type="dxa"/>
            <w:shd w:val="clear" w:color="auto" w:fill="auto"/>
            <w:vAlign w:val="center"/>
          </w:tcPr>
          <w:p w14:paraId="423BC4F1"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As, M</w:t>
            </w:r>
          </w:p>
        </w:tc>
        <w:tc>
          <w:tcPr>
            <w:tcW w:w="710" w:type="dxa"/>
            <w:shd w:val="clear" w:color="auto" w:fill="auto"/>
            <w:vAlign w:val="center"/>
          </w:tcPr>
          <w:p w14:paraId="09FF29F8" w14:textId="77777777" w:rsidR="006170EB" w:rsidRPr="00A71AEC" w:rsidRDefault="00D15C98" w:rsidP="00A71AEC">
            <w:pPr>
              <w:spacing w:after="0" w:line="240" w:lineRule="auto"/>
              <w:jc w:val="center"/>
              <w:rPr>
                <w:rFonts w:ascii="Times New Roman" w:hAnsi="Times New Roman"/>
                <w:iCs/>
                <w:spacing w:val="-16"/>
              </w:rPr>
            </w:pPr>
            <w:r w:rsidRPr="00A71AEC">
              <w:rPr>
                <w:rFonts w:ascii="Times New Roman" w:hAnsi="Times New Roman"/>
                <w:iCs/>
                <w:spacing w:val="-16"/>
              </w:rPr>
              <w:t>Mix</w:t>
            </w:r>
          </w:p>
        </w:tc>
        <w:tc>
          <w:tcPr>
            <w:tcW w:w="1120" w:type="dxa"/>
            <w:shd w:val="clear" w:color="auto" w:fill="auto"/>
            <w:vAlign w:val="center"/>
          </w:tcPr>
          <w:p w14:paraId="1CF9CF76"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No</w:t>
            </w:r>
          </w:p>
        </w:tc>
        <w:tc>
          <w:tcPr>
            <w:tcW w:w="866" w:type="dxa"/>
            <w:shd w:val="clear" w:color="auto" w:fill="auto"/>
            <w:vAlign w:val="center"/>
          </w:tcPr>
          <w:p w14:paraId="3698967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16D140B4"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74ABFB5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76" w:type="dxa"/>
            <w:shd w:val="clear" w:color="auto" w:fill="auto"/>
            <w:vAlign w:val="center"/>
          </w:tcPr>
          <w:p w14:paraId="04D5995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4.7*</w:t>
            </w:r>
          </w:p>
        </w:tc>
        <w:tc>
          <w:tcPr>
            <w:tcW w:w="804" w:type="dxa"/>
            <w:shd w:val="clear" w:color="auto" w:fill="auto"/>
            <w:vAlign w:val="center"/>
          </w:tcPr>
          <w:p w14:paraId="1169422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5</w:t>
            </w:r>
          </w:p>
        </w:tc>
        <w:tc>
          <w:tcPr>
            <w:tcW w:w="715" w:type="dxa"/>
            <w:shd w:val="clear" w:color="auto" w:fill="auto"/>
            <w:vAlign w:val="center"/>
          </w:tcPr>
          <w:p w14:paraId="0E1BA2F2"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r>
      <w:tr w:rsidR="006170EB" w:rsidRPr="00A71AEC" w14:paraId="09E1A1CA" w14:textId="77777777" w:rsidTr="00A71AEC">
        <w:trPr>
          <w:trHeight w:val="271"/>
        </w:trPr>
        <w:tc>
          <w:tcPr>
            <w:tcW w:w="566" w:type="dxa"/>
            <w:shd w:val="clear" w:color="auto" w:fill="auto"/>
            <w:vAlign w:val="center"/>
          </w:tcPr>
          <w:p w14:paraId="17C207A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lang w:val="en-GB"/>
              </w:rPr>
              <w:t>17</w:t>
            </w:r>
          </w:p>
        </w:tc>
        <w:tc>
          <w:tcPr>
            <w:tcW w:w="853" w:type="dxa"/>
            <w:shd w:val="clear" w:color="auto" w:fill="auto"/>
            <w:vAlign w:val="center"/>
          </w:tcPr>
          <w:p w14:paraId="09AD3F1C"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lang w:val="en-GB"/>
              </w:rPr>
              <w:t>As, M</w:t>
            </w:r>
          </w:p>
        </w:tc>
        <w:tc>
          <w:tcPr>
            <w:tcW w:w="710" w:type="dxa"/>
            <w:shd w:val="clear" w:color="auto" w:fill="auto"/>
            <w:vAlign w:val="center"/>
          </w:tcPr>
          <w:p w14:paraId="565ABEAE" w14:textId="77777777" w:rsidR="006170EB" w:rsidRPr="00A71AEC" w:rsidRDefault="00D15C98" w:rsidP="00A71AEC">
            <w:pPr>
              <w:spacing w:after="0" w:line="240" w:lineRule="auto"/>
              <w:jc w:val="center"/>
              <w:rPr>
                <w:rFonts w:ascii="Times New Roman" w:hAnsi="Times New Roman"/>
                <w:iCs/>
                <w:spacing w:val="-16"/>
              </w:rPr>
            </w:pPr>
            <w:r w:rsidRPr="00A71AEC">
              <w:rPr>
                <w:rFonts w:ascii="Times New Roman" w:hAnsi="Times New Roman"/>
                <w:bCs/>
                <w:iCs/>
                <w:spacing w:val="-16"/>
                <w:lang w:val="en-GB"/>
              </w:rPr>
              <w:t>Pend</w:t>
            </w:r>
          </w:p>
        </w:tc>
        <w:tc>
          <w:tcPr>
            <w:tcW w:w="1120" w:type="dxa"/>
            <w:shd w:val="clear" w:color="auto" w:fill="auto"/>
            <w:vAlign w:val="center"/>
          </w:tcPr>
          <w:p w14:paraId="72520B2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lang w:val="en-GB"/>
              </w:rPr>
              <w:t>Eso</w:t>
            </w:r>
          </w:p>
        </w:tc>
        <w:tc>
          <w:tcPr>
            <w:tcW w:w="866" w:type="dxa"/>
            <w:shd w:val="clear" w:color="auto" w:fill="auto"/>
            <w:vAlign w:val="center"/>
          </w:tcPr>
          <w:p w14:paraId="5083A1C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lang w:val="en-GB"/>
              </w:rPr>
              <w:t>A</w:t>
            </w:r>
          </w:p>
        </w:tc>
        <w:tc>
          <w:tcPr>
            <w:tcW w:w="932" w:type="dxa"/>
            <w:shd w:val="clear" w:color="auto" w:fill="auto"/>
            <w:vAlign w:val="center"/>
          </w:tcPr>
          <w:p w14:paraId="64E12BDF"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lang w:val="en-GB"/>
              </w:rPr>
              <w:t>A</w:t>
            </w:r>
          </w:p>
        </w:tc>
        <w:tc>
          <w:tcPr>
            <w:tcW w:w="929" w:type="dxa"/>
            <w:shd w:val="clear" w:color="auto" w:fill="auto"/>
            <w:vAlign w:val="center"/>
          </w:tcPr>
          <w:p w14:paraId="2D5D042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lang w:val="en-GB"/>
              </w:rPr>
              <w:t>N</w:t>
            </w:r>
          </w:p>
        </w:tc>
        <w:tc>
          <w:tcPr>
            <w:tcW w:w="976" w:type="dxa"/>
            <w:shd w:val="clear" w:color="auto" w:fill="auto"/>
            <w:vAlign w:val="center"/>
          </w:tcPr>
          <w:p w14:paraId="6474DC2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lang w:val="en-GB"/>
              </w:rPr>
              <w:t>3.1*</w:t>
            </w:r>
          </w:p>
        </w:tc>
        <w:tc>
          <w:tcPr>
            <w:tcW w:w="804" w:type="dxa"/>
            <w:shd w:val="clear" w:color="auto" w:fill="auto"/>
            <w:vAlign w:val="center"/>
          </w:tcPr>
          <w:p w14:paraId="722DABE9"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lang w:val="en-GB"/>
              </w:rPr>
              <w:t>5</w:t>
            </w:r>
          </w:p>
        </w:tc>
        <w:tc>
          <w:tcPr>
            <w:tcW w:w="715" w:type="dxa"/>
            <w:shd w:val="clear" w:color="auto" w:fill="auto"/>
            <w:vAlign w:val="center"/>
          </w:tcPr>
          <w:p w14:paraId="5D29064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lang w:val="en-GB"/>
              </w:rPr>
              <w:t>A</w:t>
            </w:r>
          </w:p>
        </w:tc>
      </w:tr>
      <w:tr w:rsidR="006170EB" w:rsidRPr="00A71AEC" w14:paraId="2E50353E" w14:textId="77777777" w:rsidTr="00A71AEC">
        <w:trPr>
          <w:trHeight w:val="271"/>
        </w:trPr>
        <w:tc>
          <w:tcPr>
            <w:tcW w:w="566" w:type="dxa"/>
            <w:shd w:val="clear" w:color="auto" w:fill="auto"/>
            <w:vAlign w:val="center"/>
          </w:tcPr>
          <w:p w14:paraId="3008825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18</w:t>
            </w:r>
          </w:p>
        </w:tc>
        <w:tc>
          <w:tcPr>
            <w:tcW w:w="853" w:type="dxa"/>
            <w:shd w:val="clear" w:color="auto" w:fill="auto"/>
            <w:vAlign w:val="center"/>
          </w:tcPr>
          <w:p w14:paraId="517E54FF"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As, M</w:t>
            </w:r>
          </w:p>
        </w:tc>
        <w:tc>
          <w:tcPr>
            <w:tcW w:w="710" w:type="dxa"/>
            <w:shd w:val="clear" w:color="auto" w:fill="auto"/>
            <w:vAlign w:val="center"/>
          </w:tcPr>
          <w:p w14:paraId="768F9659" w14:textId="77777777" w:rsidR="006170EB" w:rsidRPr="00A71AEC" w:rsidRDefault="00D15C98" w:rsidP="00A71AEC">
            <w:pPr>
              <w:spacing w:after="0" w:line="240" w:lineRule="auto"/>
              <w:jc w:val="center"/>
              <w:rPr>
                <w:rFonts w:ascii="Times New Roman" w:hAnsi="Times New Roman"/>
                <w:iCs/>
                <w:spacing w:val="-16"/>
              </w:rPr>
            </w:pPr>
            <w:r w:rsidRPr="00A71AEC">
              <w:rPr>
                <w:rFonts w:ascii="Times New Roman" w:hAnsi="Times New Roman"/>
                <w:bCs/>
                <w:spacing w:val="-16"/>
              </w:rPr>
              <w:t>Pend</w:t>
            </w:r>
          </w:p>
        </w:tc>
        <w:tc>
          <w:tcPr>
            <w:tcW w:w="1120" w:type="dxa"/>
            <w:shd w:val="clear" w:color="auto" w:fill="auto"/>
            <w:vAlign w:val="center"/>
          </w:tcPr>
          <w:p w14:paraId="7D87BAC1"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spacing w:val="-16"/>
              </w:rPr>
              <w:t>No</w:t>
            </w:r>
          </w:p>
        </w:tc>
        <w:tc>
          <w:tcPr>
            <w:tcW w:w="866" w:type="dxa"/>
            <w:shd w:val="clear" w:color="auto" w:fill="auto"/>
            <w:vAlign w:val="center"/>
          </w:tcPr>
          <w:p w14:paraId="5B148A0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32" w:type="dxa"/>
            <w:shd w:val="clear" w:color="auto" w:fill="auto"/>
            <w:vAlign w:val="center"/>
          </w:tcPr>
          <w:p w14:paraId="3DFF270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A</w:t>
            </w:r>
          </w:p>
        </w:tc>
        <w:tc>
          <w:tcPr>
            <w:tcW w:w="929" w:type="dxa"/>
            <w:shd w:val="clear" w:color="auto" w:fill="auto"/>
            <w:vAlign w:val="center"/>
          </w:tcPr>
          <w:p w14:paraId="0087EE4A"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c>
          <w:tcPr>
            <w:tcW w:w="976" w:type="dxa"/>
            <w:shd w:val="clear" w:color="auto" w:fill="auto"/>
            <w:vAlign w:val="center"/>
          </w:tcPr>
          <w:p w14:paraId="79CD44B4"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0.9*</w:t>
            </w:r>
          </w:p>
        </w:tc>
        <w:tc>
          <w:tcPr>
            <w:tcW w:w="804" w:type="dxa"/>
            <w:shd w:val="clear" w:color="auto" w:fill="auto"/>
            <w:vAlign w:val="center"/>
          </w:tcPr>
          <w:p w14:paraId="52D1939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100</w:t>
            </w:r>
          </w:p>
        </w:tc>
        <w:tc>
          <w:tcPr>
            <w:tcW w:w="715" w:type="dxa"/>
            <w:shd w:val="clear" w:color="auto" w:fill="auto"/>
            <w:vAlign w:val="center"/>
          </w:tcPr>
          <w:p w14:paraId="4D180A4E"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N</w:t>
            </w:r>
          </w:p>
        </w:tc>
      </w:tr>
    </w:tbl>
    <w:p w14:paraId="593F81FA" w14:textId="77777777" w:rsidR="006170EB" w:rsidRPr="00EA7619" w:rsidRDefault="00D15C98">
      <w:pPr>
        <w:spacing w:after="0" w:line="480" w:lineRule="auto"/>
        <w:ind w:left="1134"/>
        <w:jc w:val="both"/>
        <w:rPr>
          <w:rFonts w:ascii="Times New Roman" w:hAnsi="Times New Roman"/>
          <w:color w:val="auto"/>
          <w:sz w:val="20"/>
          <w:szCs w:val="20"/>
          <w:lang w:val="en-US"/>
        </w:rPr>
      </w:pPr>
      <w:r w:rsidRPr="00EA7619">
        <w:rPr>
          <w:rFonts w:ascii="Times New Roman" w:hAnsi="Times New Roman"/>
          <w:color w:val="auto"/>
          <w:sz w:val="20"/>
          <w:szCs w:val="20"/>
          <w:lang w:val="en-US"/>
        </w:rPr>
        <w:t>Legend: A, altered; As, astigmatism; Contr. Sens., contra</w:t>
      </w:r>
      <w:r w:rsidR="00572F66" w:rsidRPr="00EA7619">
        <w:rPr>
          <w:rFonts w:ascii="Times New Roman" w:hAnsi="Times New Roman"/>
          <w:color w:val="auto"/>
          <w:sz w:val="20"/>
          <w:szCs w:val="20"/>
          <w:lang w:val="en-US"/>
        </w:rPr>
        <w:t>st sensitivity; Eso, esotropia;</w:t>
      </w:r>
      <w:r w:rsidRPr="00EA7619">
        <w:rPr>
          <w:rFonts w:ascii="Times New Roman" w:hAnsi="Times New Roman"/>
          <w:color w:val="auto"/>
          <w:sz w:val="20"/>
          <w:szCs w:val="20"/>
          <w:lang w:val="en-US"/>
        </w:rPr>
        <w:t xml:space="preserve"> Exo, exotropia; H, hypermetropia; M, myopia; N, normal; Ny, nystagmus; Pend, pendular; Refr. Errors, refractive errors. </w:t>
      </w:r>
    </w:p>
    <w:p w14:paraId="746A2903" w14:textId="77777777" w:rsidR="006170EB" w:rsidRPr="00EA7619" w:rsidRDefault="00D15C98">
      <w:pPr>
        <w:spacing w:after="0" w:line="480" w:lineRule="auto"/>
        <w:ind w:left="1134"/>
        <w:jc w:val="both"/>
        <w:rPr>
          <w:rFonts w:ascii="Times New Roman" w:hAnsi="Times New Roman"/>
          <w:color w:val="auto"/>
          <w:sz w:val="20"/>
          <w:szCs w:val="20"/>
          <w:lang w:val="en-US"/>
        </w:rPr>
      </w:pPr>
      <w:r w:rsidRPr="00EA7619">
        <w:rPr>
          <w:rFonts w:ascii="Times New Roman" w:hAnsi="Times New Roman"/>
          <w:color w:val="auto"/>
          <w:sz w:val="20"/>
          <w:szCs w:val="20"/>
          <w:lang w:val="en-US"/>
        </w:rPr>
        <w:t>*values are reported in cyc/deg.</w:t>
      </w:r>
    </w:p>
    <w:p w14:paraId="27B44616" w14:textId="77777777" w:rsidR="006170EB" w:rsidRDefault="006170EB">
      <w:pPr>
        <w:spacing w:after="0" w:line="480" w:lineRule="auto"/>
        <w:ind w:left="1134"/>
        <w:jc w:val="both"/>
        <w:rPr>
          <w:rFonts w:ascii="Times New Roman" w:hAnsi="Times New Roman"/>
          <w:lang w:val="en-US"/>
        </w:rPr>
      </w:pPr>
    </w:p>
    <w:p w14:paraId="49F18658" w14:textId="785EC4CD" w:rsidR="006170EB" w:rsidRDefault="00D15C98">
      <w:pPr>
        <w:spacing w:after="0" w:line="480" w:lineRule="auto"/>
        <w:ind w:left="1134"/>
        <w:jc w:val="both"/>
        <w:rPr>
          <w:rFonts w:ascii="Times New Roman" w:hAnsi="Times New Roman"/>
          <w:lang w:val="en-US"/>
        </w:rPr>
      </w:pPr>
      <w:r>
        <w:rPr>
          <w:rFonts w:ascii="Times New Roman" w:hAnsi="Times New Roman"/>
          <w:lang w:val="en-US"/>
        </w:rPr>
        <w:lastRenderedPageBreak/>
        <w:t xml:space="preserve">The cognitive </w:t>
      </w:r>
      <w:r w:rsidRPr="00EA7619">
        <w:rPr>
          <w:rFonts w:ascii="Times New Roman" w:hAnsi="Times New Roman"/>
          <w:color w:val="auto"/>
          <w:lang w:val="en-US"/>
        </w:rPr>
        <w:t xml:space="preserve">evaluation </w:t>
      </w:r>
      <w:r w:rsidRPr="00EA7619">
        <w:rPr>
          <w:rStyle w:val="Nessuno"/>
          <w:rFonts w:ascii="Times New Roman" w:hAnsi="Times New Roman"/>
          <w:color w:val="auto"/>
        </w:rPr>
        <w:t>was</w:t>
      </w:r>
      <w:r w:rsidRPr="00EA7619">
        <w:rPr>
          <w:rFonts w:ascii="Times New Roman" w:hAnsi="Times New Roman"/>
          <w:color w:val="auto"/>
          <w:lang w:val="en-US"/>
        </w:rPr>
        <w:t xml:space="preserve"> performed in 14 children </w:t>
      </w:r>
      <w:r w:rsidRPr="00EA7619">
        <w:rPr>
          <w:rStyle w:val="Nessuno"/>
          <w:rFonts w:ascii="Times New Roman" w:hAnsi="Times New Roman"/>
          <w:color w:val="auto"/>
        </w:rPr>
        <w:t>(the remaining four subjects were too young for the WPPSI/WISC-IV assessment) and</w:t>
      </w:r>
      <w:r w:rsidRPr="00EA7619">
        <w:rPr>
          <w:rFonts w:ascii="Times New Roman" w:hAnsi="Times New Roman"/>
          <w:color w:val="auto"/>
          <w:lang w:val="en-US"/>
        </w:rPr>
        <w:t xml:space="preserve"> showed normal</w:t>
      </w:r>
      <w:r>
        <w:rPr>
          <w:rFonts w:ascii="Times New Roman" w:hAnsi="Times New Roman"/>
          <w:lang w:val="en-US"/>
        </w:rPr>
        <w:t xml:space="preserve"> FSIQ in 11 children (79%), borderline score in 2 cases (14%) and deficient in 1 (7%). VIQ was normal in 11 (79%), borderline in 2 (14%) and delayed in 1 (7%) while PIQ was normal in 13 cases (93%) and borderline in one (7%). WMI and PSI evaluated in 11 children were impaired in 2 (18%, 1 borderline score and 1 delayed) and 7 (64%, 3 borderline score and 4 delayed) cases respectively. See Table 2. </w:t>
      </w:r>
    </w:p>
    <w:p w14:paraId="51BBBB54" w14:textId="77777777" w:rsidR="006170EB" w:rsidRDefault="00D15C98">
      <w:pPr>
        <w:spacing w:after="0" w:line="480" w:lineRule="auto"/>
        <w:ind w:left="1134"/>
        <w:jc w:val="both"/>
        <w:rPr>
          <w:rFonts w:ascii="Times New Roman" w:hAnsi="Times New Roman"/>
          <w:b/>
          <w:lang w:val="en-US"/>
        </w:rPr>
      </w:pPr>
      <w:r>
        <w:rPr>
          <w:rFonts w:ascii="Times New Roman" w:hAnsi="Times New Roman"/>
          <w:b/>
          <w:bCs/>
          <w:lang w:val="en-US"/>
        </w:rPr>
        <w:t>Table 2</w:t>
      </w:r>
      <w:r>
        <w:rPr>
          <w:rFonts w:ascii="Times New Roman" w:hAnsi="Times New Roman"/>
          <w:b/>
          <w:lang w:val="en-US"/>
        </w:rPr>
        <w:t xml:space="preserve"> - Cognitive profile. </w:t>
      </w:r>
    </w:p>
    <w:tbl>
      <w:tblPr>
        <w:tblW w:w="4395" w:type="dxa"/>
        <w:tblInd w:w="1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firstRow="1" w:lastRow="0" w:firstColumn="1" w:lastColumn="0" w:noHBand="0" w:noVBand="1"/>
      </w:tblPr>
      <w:tblGrid>
        <w:gridCol w:w="836"/>
        <w:gridCol w:w="724"/>
        <w:gridCol w:w="707"/>
        <w:gridCol w:w="705"/>
        <w:gridCol w:w="723"/>
        <w:gridCol w:w="700"/>
      </w:tblGrid>
      <w:tr w:rsidR="006170EB" w:rsidRPr="00A71AEC" w14:paraId="6511442C" w14:textId="77777777" w:rsidTr="00A71AEC">
        <w:tc>
          <w:tcPr>
            <w:tcW w:w="835" w:type="dxa"/>
            <w:vMerge w:val="restart"/>
            <w:shd w:val="clear" w:color="auto" w:fill="E7E6E6"/>
          </w:tcPr>
          <w:p w14:paraId="2A0E6BCB"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Sbj</w:t>
            </w:r>
          </w:p>
        </w:tc>
        <w:tc>
          <w:tcPr>
            <w:tcW w:w="3559" w:type="dxa"/>
            <w:gridSpan w:val="5"/>
            <w:shd w:val="clear" w:color="auto" w:fill="E7E6E6"/>
          </w:tcPr>
          <w:p w14:paraId="064A2244" w14:textId="77777777" w:rsidR="006170EB" w:rsidRPr="00A71AEC" w:rsidRDefault="00D15C98" w:rsidP="00A71AEC">
            <w:pPr>
              <w:spacing w:after="0" w:line="240" w:lineRule="auto"/>
              <w:jc w:val="center"/>
              <w:rPr>
                <w:rFonts w:ascii="Times New Roman" w:hAnsi="Times New Roman"/>
                <w:b/>
                <w:bCs/>
                <w:spacing w:val="-16"/>
              </w:rPr>
            </w:pPr>
            <w:r w:rsidRPr="00A71AEC">
              <w:rPr>
                <w:rFonts w:ascii="Times New Roman" w:hAnsi="Times New Roman"/>
                <w:b/>
                <w:bCs/>
                <w:spacing w:val="-16"/>
              </w:rPr>
              <w:t>Intelligence quotient</w:t>
            </w:r>
          </w:p>
        </w:tc>
      </w:tr>
      <w:tr w:rsidR="006170EB" w:rsidRPr="00A71AEC" w14:paraId="60708307" w14:textId="77777777" w:rsidTr="00A71AEC">
        <w:tc>
          <w:tcPr>
            <w:tcW w:w="835" w:type="dxa"/>
            <w:vMerge/>
            <w:shd w:val="clear" w:color="auto" w:fill="E7E6E6"/>
          </w:tcPr>
          <w:p w14:paraId="62713209" w14:textId="77777777" w:rsidR="006170EB" w:rsidRPr="00A71AEC" w:rsidRDefault="006170EB" w:rsidP="00A71AEC">
            <w:pPr>
              <w:spacing w:after="0" w:line="240" w:lineRule="auto"/>
              <w:rPr>
                <w:rFonts w:ascii="Times New Roman" w:hAnsi="Times New Roman"/>
                <w:b/>
                <w:bCs/>
                <w:spacing w:val="-16"/>
              </w:rPr>
            </w:pPr>
          </w:p>
        </w:tc>
        <w:tc>
          <w:tcPr>
            <w:tcW w:w="724" w:type="dxa"/>
            <w:shd w:val="clear" w:color="auto" w:fill="E7E6E6"/>
          </w:tcPr>
          <w:p w14:paraId="2B996C3F"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FSIQ</w:t>
            </w:r>
          </w:p>
        </w:tc>
        <w:tc>
          <w:tcPr>
            <w:tcW w:w="707" w:type="dxa"/>
            <w:shd w:val="clear" w:color="auto" w:fill="E7E6E6"/>
          </w:tcPr>
          <w:p w14:paraId="37DA72B9"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VIQ</w:t>
            </w:r>
          </w:p>
        </w:tc>
        <w:tc>
          <w:tcPr>
            <w:tcW w:w="705" w:type="dxa"/>
            <w:shd w:val="clear" w:color="auto" w:fill="E7E6E6"/>
          </w:tcPr>
          <w:p w14:paraId="526FE1C5"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PIQ</w:t>
            </w:r>
          </w:p>
        </w:tc>
        <w:tc>
          <w:tcPr>
            <w:tcW w:w="723" w:type="dxa"/>
            <w:shd w:val="clear" w:color="auto" w:fill="E7E6E6"/>
          </w:tcPr>
          <w:p w14:paraId="2935361C"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WMI</w:t>
            </w:r>
          </w:p>
        </w:tc>
        <w:tc>
          <w:tcPr>
            <w:tcW w:w="700" w:type="dxa"/>
            <w:shd w:val="clear" w:color="auto" w:fill="E7E6E6"/>
          </w:tcPr>
          <w:p w14:paraId="79698717"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PSI</w:t>
            </w:r>
          </w:p>
        </w:tc>
      </w:tr>
      <w:tr w:rsidR="006170EB" w:rsidRPr="00A71AEC" w14:paraId="0FE1EA87" w14:textId="77777777" w:rsidTr="00A71AEC">
        <w:tc>
          <w:tcPr>
            <w:tcW w:w="835" w:type="dxa"/>
            <w:shd w:val="clear" w:color="auto" w:fill="auto"/>
            <w:vAlign w:val="center"/>
          </w:tcPr>
          <w:p w14:paraId="575F7F2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w:t>
            </w:r>
          </w:p>
        </w:tc>
        <w:tc>
          <w:tcPr>
            <w:tcW w:w="724" w:type="dxa"/>
            <w:shd w:val="clear" w:color="auto" w:fill="auto"/>
            <w:vAlign w:val="center"/>
          </w:tcPr>
          <w:p w14:paraId="059EE72C"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93</w:t>
            </w:r>
          </w:p>
        </w:tc>
        <w:tc>
          <w:tcPr>
            <w:tcW w:w="707" w:type="dxa"/>
            <w:shd w:val="clear" w:color="auto" w:fill="auto"/>
            <w:vAlign w:val="center"/>
          </w:tcPr>
          <w:p w14:paraId="3C174632"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96</w:t>
            </w:r>
          </w:p>
        </w:tc>
        <w:tc>
          <w:tcPr>
            <w:tcW w:w="705" w:type="dxa"/>
            <w:shd w:val="clear" w:color="auto" w:fill="auto"/>
            <w:vAlign w:val="center"/>
          </w:tcPr>
          <w:p w14:paraId="63ECC36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102</w:t>
            </w:r>
          </w:p>
        </w:tc>
        <w:tc>
          <w:tcPr>
            <w:tcW w:w="723" w:type="dxa"/>
            <w:shd w:val="clear" w:color="auto" w:fill="auto"/>
            <w:vAlign w:val="center"/>
          </w:tcPr>
          <w:p w14:paraId="0D104A91"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82</w:t>
            </w:r>
          </w:p>
        </w:tc>
        <w:tc>
          <w:tcPr>
            <w:tcW w:w="700" w:type="dxa"/>
            <w:shd w:val="clear" w:color="auto" w:fill="auto"/>
            <w:vAlign w:val="center"/>
          </w:tcPr>
          <w:p w14:paraId="4509467C"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97</w:t>
            </w:r>
          </w:p>
        </w:tc>
      </w:tr>
      <w:tr w:rsidR="006170EB" w:rsidRPr="00A71AEC" w14:paraId="04464909" w14:textId="77777777" w:rsidTr="00A71AEC">
        <w:tc>
          <w:tcPr>
            <w:tcW w:w="835" w:type="dxa"/>
            <w:shd w:val="clear" w:color="auto" w:fill="auto"/>
            <w:vAlign w:val="center"/>
          </w:tcPr>
          <w:p w14:paraId="68EEEA9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w:t>
            </w:r>
          </w:p>
        </w:tc>
        <w:tc>
          <w:tcPr>
            <w:tcW w:w="724" w:type="dxa"/>
            <w:shd w:val="clear" w:color="auto" w:fill="auto"/>
            <w:vAlign w:val="center"/>
          </w:tcPr>
          <w:p w14:paraId="30AADA3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spacing w:val="-16"/>
              </w:rPr>
              <w:t>94</w:t>
            </w:r>
          </w:p>
        </w:tc>
        <w:tc>
          <w:tcPr>
            <w:tcW w:w="707" w:type="dxa"/>
            <w:shd w:val="clear" w:color="auto" w:fill="auto"/>
            <w:vAlign w:val="center"/>
          </w:tcPr>
          <w:p w14:paraId="2581E8F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spacing w:val="-16"/>
              </w:rPr>
              <w:t>104</w:t>
            </w:r>
          </w:p>
        </w:tc>
        <w:tc>
          <w:tcPr>
            <w:tcW w:w="705" w:type="dxa"/>
            <w:shd w:val="clear" w:color="auto" w:fill="auto"/>
            <w:vAlign w:val="center"/>
          </w:tcPr>
          <w:p w14:paraId="03D2162F"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spacing w:val="-16"/>
              </w:rPr>
              <w:t>100</w:t>
            </w:r>
          </w:p>
        </w:tc>
        <w:tc>
          <w:tcPr>
            <w:tcW w:w="723" w:type="dxa"/>
            <w:shd w:val="clear" w:color="auto" w:fill="auto"/>
            <w:vAlign w:val="center"/>
          </w:tcPr>
          <w:p w14:paraId="2DA9B821"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spacing w:val="-16"/>
              </w:rPr>
              <w:t>100</w:t>
            </w:r>
          </w:p>
        </w:tc>
        <w:tc>
          <w:tcPr>
            <w:tcW w:w="700" w:type="dxa"/>
            <w:shd w:val="clear" w:color="auto" w:fill="auto"/>
            <w:vAlign w:val="center"/>
          </w:tcPr>
          <w:p w14:paraId="6309A686"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
                <w:i/>
                <w:spacing w:val="-16"/>
              </w:rPr>
              <w:t>74</w:t>
            </w:r>
          </w:p>
        </w:tc>
      </w:tr>
      <w:tr w:rsidR="006170EB" w:rsidRPr="00A71AEC" w14:paraId="671CDD58" w14:textId="77777777" w:rsidTr="00A71AEC">
        <w:tc>
          <w:tcPr>
            <w:tcW w:w="835" w:type="dxa"/>
            <w:shd w:val="clear" w:color="auto" w:fill="auto"/>
            <w:vAlign w:val="center"/>
          </w:tcPr>
          <w:p w14:paraId="176C966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w:t>
            </w:r>
          </w:p>
        </w:tc>
        <w:tc>
          <w:tcPr>
            <w:tcW w:w="724" w:type="dxa"/>
            <w:shd w:val="clear" w:color="auto" w:fill="auto"/>
            <w:vAlign w:val="center"/>
          </w:tcPr>
          <w:p w14:paraId="3BD2560A"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93</w:t>
            </w:r>
          </w:p>
        </w:tc>
        <w:tc>
          <w:tcPr>
            <w:tcW w:w="707" w:type="dxa"/>
            <w:shd w:val="clear" w:color="auto" w:fill="auto"/>
            <w:vAlign w:val="center"/>
          </w:tcPr>
          <w:p w14:paraId="0F3BA41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96</w:t>
            </w:r>
          </w:p>
        </w:tc>
        <w:tc>
          <w:tcPr>
            <w:tcW w:w="705" w:type="dxa"/>
            <w:shd w:val="clear" w:color="auto" w:fill="auto"/>
            <w:vAlign w:val="center"/>
          </w:tcPr>
          <w:p w14:paraId="7E11B8E6"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102</w:t>
            </w:r>
          </w:p>
        </w:tc>
        <w:tc>
          <w:tcPr>
            <w:tcW w:w="723" w:type="dxa"/>
            <w:shd w:val="clear" w:color="auto" w:fill="auto"/>
            <w:vAlign w:val="center"/>
          </w:tcPr>
          <w:p w14:paraId="08EF4D83"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w:t>
            </w:r>
          </w:p>
        </w:tc>
        <w:tc>
          <w:tcPr>
            <w:tcW w:w="700" w:type="dxa"/>
            <w:shd w:val="clear" w:color="auto" w:fill="auto"/>
            <w:vAlign w:val="center"/>
          </w:tcPr>
          <w:p w14:paraId="5F7D5B1A"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w:t>
            </w:r>
          </w:p>
        </w:tc>
      </w:tr>
      <w:tr w:rsidR="006170EB" w:rsidRPr="00A71AEC" w14:paraId="7B10B623" w14:textId="77777777" w:rsidTr="00A71AEC">
        <w:tc>
          <w:tcPr>
            <w:tcW w:w="835" w:type="dxa"/>
            <w:shd w:val="clear" w:color="auto" w:fill="auto"/>
            <w:vAlign w:val="center"/>
          </w:tcPr>
          <w:p w14:paraId="59645E3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w:t>
            </w:r>
          </w:p>
        </w:tc>
        <w:tc>
          <w:tcPr>
            <w:tcW w:w="724" w:type="dxa"/>
            <w:shd w:val="clear" w:color="auto" w:fill="auto"/>
            <w:vAlign w:val="center"/>
          </w:tcPr>
          <w:p w14:paraId="7A7E8D36"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86</w:t>
            </w:r>
          </w:p>
        </w:tc>
        <w:tc>
          <w:tcPr>
            <w:tcW w:w="707" w:type="dxa"/>
            <w:shd w:val="clear" w:color="auto" w:fill="auto"/>
            <w:vAlign w:val="center"/>
          </w:tcPr>
          <w:p w14:paraId="63FC43C8"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spacing w:val="-16"/>
              </w:rPr>
              <w:t>112</w:t>
            </w:r>
          </w:p>
        </w:tc>
        <w:tc>
          <w:tcPr>
            <w:tcW w:w="705" w:type="dxa"/>
            <w:shd w:val="clear" w:color="auto" w:fill="auto"/>
            <w:vAlign w:val="center"/>
          </w:tcPr>
          <w:p w14:paraId="5FC13089"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82</w:t>
            </w:r>
          </w:p>
        </w:tc>
        <w:tc>
          <w:tcPr>
            <w:tcW w:w="723" w:type="dxa"/>
            <w:shd w:val="clear" w:color="auto" w:fill="auto"/>
            <w:vAlign w:val="center"/>
          </w:tcPr>
          <w:p w14:paraId="116FF2A8"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100</w:t>
            </w:r>
          </w:p>
        </w:tc>
        <w:tc>
          <w:tcPr>
            <w:tcW w:w="700" w:type="dxa"/>
            <w:shd w:val="clear" w:color="auto" w:fill="auto"/>
            <w:vAlign w:val="center"/>
          </w:tcPr>
          <w:p w14:paraId="0EBCC650"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65</w:t>
            </w:r>
          </w:p>
        </w:tc>
      </w:tr>
      <w:tr w:rsidR="006170EB" w:rsidRPr="00A71AEC" w14:paraId="0530384E" w14:textId="77777777" w:rsidTr="00A71AEC">
        <w:tc>
          <w:tcPr>
            <w:tcW w:w="835" w:type="dxa"/>
            <w:shd w:val="clear" w:color="auto" w:fill="auto"/>
            <w:vAlign w:val="center"/>
          </w:tcPr>
          <w:p w14:paraId="4B285D1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w:t>
            </w:r>
          </w:p>
        </w:tc>
        <w:tc>
          <w:tcPr>
            <w:tcW w:w="724" w:type="dxa"/>
            <w:shd w:val="clear" w:color="auto" w:fill="auto"/>
            <w:vAlign w:val="center"/>
          </w:tcPr>
          <w:p w14:paraId="668734DB"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82</w:t>
            </w:r>
          </w:p>
        </w:tc>
        <w:tc>
          <w:tcPr>
            <w:tcW w:w="707" w:type="dxa"/>
            <w:shd w:val="clear" w:color="auto" w:fill="auto"/>
            <w:vAlign w:val="center"/>
          </w:tcPr>
          <w:p w14:paraId="6C03B409"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80</w:t>
            </w:r>
          </w:p>
        </w:tc>
        <w:tc>
          <w:tcPr>
            <w:tcW w:w="705" w:type="dxa"/>
            <w:shd w:val="clear" w:color="auto" w:fill="auto"/>
            <w:vAlign w:val="center"/>
          </w:tcPr>
          <w:p w14:paraId="651EAE7C"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98</w:t>
            </w:r>
          </w:p>
        </w:tc>
        <w:tc>
          <w:tcPr>
            <w:tcW w:w="723" w:type="dxa"/>
            <w:shd w:val="clear" w:color="auto" w:fill="auto"/>
            <w:vAlign w:val="center"/>
          </w:tcPr>
          <w:p w14:paraId="6518B691"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73</w:t>
            </w:r>
          </w:p>
        </w:tc>
        <w:tc>
          <w:tcPr>
            <w:tcW w:w="700" w:type="dxa"/>
            <w:shd w:val="clear" w:color="auto" w:fill="auto"/>
            <w:vAlign w:val="center"/>
          </w:tcPr>
          <w:p w14:paraId="0020CB9F"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51</w:t>
            </w:r>
          </w:p>
        </w:tc>
      </w:tr>
      <w:tr w:rsidR="006170EB" w:rsidRPr="00A71AEC" w14:paraId="256583AE" w14:textId="77777777" w:rsidTr="00A71AEC">
        <w:tc>
          <w:tcPr>
            <w:tcW w:w="835" w:type="dxa"/>
            <w:shd w:val="clear" w:color="auto" w:fill="auto"/>
            <w:vAlign w:val="center"/>
          </w:tcPr>
          <w:p w14:paraId="25ECBBE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w:t>
            </w:r>
          </w:p>
        </w:tc>
        <w:tc>
          <w:tcPr>
            <w:tcW w:w="724" w:type="dxa"/>
            <w:shd w:val="clear" w:color="auto" w:fill="auto"/>
            <w:vAlign w:val="center"/>
          </w:tcPr>
          <w:p w14:paraId="05F0DA7B"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
                <w:bCs/>
                <w:i/>
                <w:iCs/>
                <w:spacing w:val="-16"/>
              </w:rPr>
              <w:t>66</w:t>
            </w:r>
          </w:p>
        </w:tc>
        <w:tc>
          <w:tcPr>
            <w:tcW w:w="707" w:type="dxa"/>
            <w:shd w:val="clear" w:color="auto" w:fill="auto"/>
            <w:vAlign w:val="center"/>
          </w:tcPr>
          <w:p w14:paraId="03FA5A45"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
                <w:bCs/>
                <w:i/>
                <w:iCs/>
                <w:spacing w:val="-16"/>
              </w:rPr>
              <w:t>47</w:t>
            </w:r>
          </w:p>
        </w:tc>
        <w:tc>
          <w:tcPr>
            <w:tcW w:w="705" w:type="dxa"/>
            <w:shd w:val="clear" w:color="auto" w:fill="auto"/>
            <w:vAlign w:val="center"/>
          </w:tcPr>
          <w:p w14:paraId="3665C007"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91</w:t>
            </w:r>
          </w:p>
        </w:tc>
        <w:tc>
          <w:tcPr>
            <w:tcW w:w="723" w:type="dxa"/>
            <w:shd w:val="clear" w:color="auto" w:fill="auto"/>
            <w:vAlign w:val="center"/>
          </w:tcPr>
          <w:p w14:paraId="78849C27"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w:t>
            </w:r>
          </w:p>
        </w:tc>
        <w:tc>
          <w:tcPr>
            <w:tcW w:w="700" w:type="dxa"/>
            <w:shd w:val="clear" w:color="auto" w:fill="auto"/>
            <w:vAlign w:val="center"/>
          </w:tcPr>
          <w:p w14:paraId="126770F8"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w:t>
            </w:r>
          </w:p>
        </w:tc>
      </w:tr>
      <w:tr w:rsidR="006170EB" w:rsidRPr="00A71AEC" w14:paraId="38DFAE89" w14:textId="77777777" w:rsidTr="00A71AEC">
        <w:tc>
          <w:tcPr>
            <w:tcW w:w="835" w:type="dxa"/>
            <w:shd w:val="clear" w:color="auto" w:fill="auto"/>
            <w:vAlign w:val="center"/>
          </w:tcPr>
          <w:p w14:paraId="42797CC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w:t>
            </w:r>
          </w:p>
        </w:tc>
        <w:tc>
          <w:tcPr>
            <w:tcW w:w="724" w:type="dxa"/>
            <w:shd w:val="clear" w:color="auto" w:fill="auto"/>
            <w:vAlign w:val="center"/>
          </w:tcPr>
          <w:p w14:paraId="49B4E4F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
                <w:bCs/>
                <w:i/>
                <w:iCs/>
                <w:spacing w:val="-16"/>
              </w:rPr>
              <w:t>84</w:t>
            </w:r>
          </w:p>
        </w:tc>
        <w:tc>
          <w:tcPr>
            <w:tcW w:w="707" w:type="dxa"/>
            <w:shd w:val="clear" w:color="auto" w:fill="auto"/>
            <w:vAlign w:val="center"/>
          </w:tcPr>
          <w:p w14:paraId="3BBFB4B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
                <w:bCs/>
                <w:i/>
                <w:iCs/>
                <w:spacing w:val="-16"/>
              </w:rPr>
              <w:t>74</w:t>
            </w:r>
          </w:p>
        </w:tc>
        <w:tc>
          <w:tcPr>
            <w:tcW w:w="705" w:type="dxa"/>
            <w:shd w:val="clear" w:color="auto" w:fill="auto"/>
            <w:vAlign w:val="center"/>
          </w:tcPr>
          <w:p w14:paraId="44839430"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100</w:t>
            </w:r>
          </w:p>
        </w:tc>
        <w:tc>
          <w:tcPr>
            <w:tcW w:w="723" w:type="dxa"/>
            <w:shd w:val="clear" w:color="auto" w:fill="auto"/>
            <w:vAlign w:val="center"/>
          </w:tcPr>
          <w:p w14:paraId="06D8BD86"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91</w:t>
            </w:r>
          </w:p>
        </w:tc>
        <w:tc>
          <w:tcPr>
            <w:tcW w:w="700" w:type="dxa"/>
            <w:shd w:val="clear" w:color="auto" w:fill="auto"/>
            <w:vAlign w:val="center"/>
          </w:tcPr>
          <w:p w14:paraId="43EB671D" w14:textId="77777777" w:rsidR="006170EB" w:rsidRPr="00A71AEC" w:rsidRDefault="00D15C98" w:rsidP="00A71AEC">
            <w:pPr>
              <w:spacing w:after="0" w:line="240" w:lineRule="auto"/>
              <w:jc w:val="center"/>
              <w:rPr>
                <w:rFonts w:ascii="Times New Roman" w:hAnsi="Times New Roman"/>
                <w:bCs/>
                <w:iCs/>
                <w:spacing w:val="-16"/>
              </w:rPr>
            </w:pPr>
            <w:r w:rsidRPr="00A71AEC">
              <w:rPr>
                <w:rFonts w:ascii="Times New Roman" w:hAnsi="Times New Roman"/>
                <w:bCs/>
                <w:iCs/>
                <w:spacing w:val="-16"/>
              </w:rPr>
              <w:t>88</w:t>
            </w:r>
          </w:p>
        </w:tc>
      </w:tr>
      <w:tr w:rsidR="006170EB" w:rsidRPr="00A71AEC" w14:paraId="48201469" w14:textId="77777777" w:rsidTr="00A71AEC">
        <w:tc>
          <w:tcPr>
            <w:tcW w:w="835" w:type="dxa"/>
            <w:shd w:val="clear" w:color="auto" w:fill="auto"/>
            <w:vAlign w:val="center"/>
          </w:tcPr>
          <w:p w14:paraId="78377FE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8</w:t>
            </w:r>
          </w:p>
        </w:tc>
        <w:tc>
          <w:tcPr>
            <w:tcW w:w="724" w:type="dxa"/>
            <w:shd w:val="clear" w:color="auto" w:fill="auto"/>
            <w:vAlign w:val="center"/>
          </w:tcPr>
          <w:p w14:paraId="0433B637"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94</w:t>
            </w:r>
          </w:p>
        </w:tc>
        <w:tc>
          <w:tcPr>
            <w:tcW w:w="707" w:type="dxa"/>
            <w:shd w:val="clear" w:color="auto" w:fill="auto"/>
            <w:vAlign w:val="center"/>
          </w:tcPr>
          <w:p w14:paraId="4EE20D0F"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108</w:t>
            </w:r>
          </w:p>
        </w:tc>
        <w:tc>
          <w:tcPr>
            <w:tcW w:w="705" w:type="dxa"/>
            <w:shd w:val="clear" w:color="auto" w:fill="auto"/>
            <w:vAlign w:val="center"/>
          </w:tcPr>
          <w:p w14:paraId="511BD15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93</w:t>
            </w:r>
          </w:p>
        </w:tc>
        <w:tc>
          <w:tcPr>
            <w:tcW w:w="723" w:type="dxa"/>
            <w:shd w:val="clear" w:color="auto" w:fill="auto"/>
            <w:vAlign w:val="center"/>
          </w:tcPr>
          <w:p w14:paraId="3339D43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97</w:t>
            </w:r>
          </w:p>
        </w:tc>
        <w:tc>
          <w:tcPr>
            <w:tcW w:w="700" w:type="dxa"/>
            <w:shd w:val="clear" w:color="auto" w:fill="auto"/>
            <w:vAlign w:val="center"/>
          </w:tcPr>
          <w:p w14:paraId="4C8FEA65"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79</w:t>
            </w:r>
          </w:p>
        </w:tc>
      </w:tr>
      <w:tr w:rsidR="006170EB" w:rsidRPr="00A71AEC" w14:paraId="4DFD441C" w14:textId="77777777" w:rsidTr="00A71AEC">
        <w:tc>
          <w:tcPr>
            <w:tcW w:w="835" w:type="dxa"/>
            <w:shd w:val="clear" w:color="auto" w:fill="auto"/>
            <w:vAlign w:val="center"/>
          </w:tcPr>
          <w:p w14:paraId="11BBD351" w14:textId="77777777" w:rsidR="006170EB" w:rsidRPr="00A71AEC" w:rsidRDefault="00D15C98" w:rsidP="00A71AEC">
            <w:pPr>
              <w:spacing w:after="0" w:line="240" w:lineRule="auto"/>
              <w:rPr>
                <w:rFonts w:ascii="Times New Roman" w:hAnsi="Times New Roman"/>
                <w:color w:val="auto"/>
                <w:spacing w:val="-16"/>
              </w:rPr>
            </w:pPr>
            <w:r w:rsidRPr="00A71AEC">
              <w:rPr>
                <w:rFonts w:ascii="Times New Roman" w:hAnsi="Times New Roman"/>
                <w:color w:val="auto"/>
                <w:spacing w:val="-16"/>
              </w:rPr>
              <w:t>9</w:t>
            </w:r>
          </w:p>
        </w:tc>
        <w:tc>
          <w:tcPr>
            <w:tcW w:w="724" w:type="dxa"/>
            <w:shd w:val="clear" w:color="auto" w:fill="auto"/>
            <w:vAlign w:val="center"/>
          </w:tcPr>
          <w:p w14:paraId="6DA695BA"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112</w:t>
            </w:r>
          </w:p>
        </w:tc>
        <w:tc>
          <w:tcPr>
            <w:tcW w:w="707" w:type="dxa"/>
            <w:shd w:val="clear" w:color="auto" w:fill="auto"/>
            <w:vAlign w:val="center"/>
          </w:tcPr>
          <w:p w14:paraId="2ACAEF77"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130</w:t>
            </w:r>
          </w:p>
        </w:tc>
        <w:tc>
          <w:tcPr>
            <w:tcW w:w="705" w:type="dxa"/>
            <w:shd w:val="clear" w:color="auto" w:fill="auto"/>
            <w:vAlign w:val="center"/>
          </w:tcPr>
          <w:p w14:paraId="46517B7A"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95</w:t>
            </w:r>
          </w:p>
        </w:tc>
        <w:tc>
          <w:tcPr>
            <w:tcW w:w="723" w:type="dxa"/>
            <w:shd w:val="clear" w:color="auto" w:fill="auto"/>
            <w:vAlign w:val="center"/>
          </w:tcPr>
          <w:p w14:paraId="3EFAC998"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124</w:t>
            </w:r>
          </w:p>
        </w:tc>
        <w:tc>
          <w:tcPr>
            <w:tcW w:w="700" w:type="dxa"/>
            <w:shd w:val="clear" w:color="auto" w:fill="auto"/>
            <w:vAlign w:val="center"/>
          </w:tcPr>
          <w:p w14:paraId="361490A1" w14:textId="77777777" w:rsidR="006170EB" w:rsidRPr="00A71AEC" w:rsidRDefault="00D15C98" w:rsidP="00A71AEC">
            <w:pPr>
              <w:spacing w:after="0" w:line="240" w:lineRule="auto"/>
              <w:jc w:val="center"/>
              <w:rPr>
                <w:rFonts w:ascii="Times New Roman" w:hAnsi="Times New Roman"/>
                <w:b/>
                <w:i/>
                <w:spacing w:val="-16"/>
              </w:rPr>
            </w:pPr>
            <w:r w:rsidRPr="00A71AEC">
              <w:rPr>
                <w:rFonts w:ascii="Times New Roman" w:hAnsi="Times New Roman"/>
                <w:b/>
                <w:i/>
                <w:spacing w:val="-16"/>
              </w:rPr>
              <w:t>82</w:t>
            </w:r>
          </w:p>
        </w:tc>
      </w:tr>
      <w:tr w:rsidR="006170EB" w:rsidRPr="00A71AEC" w14:paraId="319221D4" w14:textId="77777777" w:rsidTr="00A71AEC">
        <w:tc>
          <w:tcPr>
            <w:tcW w:w="835" w:type="dxa"/>
            <w:shd w:val="clear" w:color="auto" w:fill="auto"/>
            <w:vAlign w:val="center"/>
          </w:tcPr>
          <w:p w14:paraId="082AB4ED" w14:textId="77777777" w:rsidR="006170EB" w:rsidRPr="00A71AEC" w:rsidRDefault="00D15C98" w:rsidP="00A71AEC">
            <w:pPr>
              <w:spacing w:after="0" w:line="240" w:lineRule="auto"/>
              <w:rPr>
                <w:rFonts w:ascii="Times New Roman" w:hAnsi="Times New Roman"/>
                <w:color w:val="auto"/>
                <w:spacing w:val="-16"/>
              </w:rPr>
            </w:pPr>
            <w:r w:rsidRPr="00A71AEC">
              <w:rPr>
                <w:rFonts w:ascii="Times New Roman" w:hAnsi="Times New Roman"/>
                <w:color w:val="auto"/>
                <w:spacing w:val="-16"/>
              </w:rPr>
              <w:t>10</w:t>
            </w:r>
          </w:p>
        </w:tc>
        <w:tc>
          <w:tcPr>
            <w:tcW w:w="724" w:type="dxa"/>
            <w:shd w:val="clear" w:color="auto" w:fill="auto"/>
            <w:vAlign w:val="center"/>
          </w:tcPr>
          <w:p w14:paraId="696B97E6"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bCs/>
                <w:iCs/>
                <w:spacing w:val="-16"/>
              </w:rPr>
              <w:t>94</w:t>
            </w:r>
          </w:p>
        </w:tc>
        <w:tc>
          <w:tcPr>
            <w:tcW w:w="707" w:type="dxa"/>
            <w:shd w:val="clear" w:color="auto" w:fill="auto"/>
            <w:vAlign w:val="center"/>
          </w:tcPr>
          <w:p w14:paraId="5FAF4E69"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bCs/>
                <w:iCs/>
                <w:spacing w:val="-16"/>
              </w:rPr>
              <w:t>126</w:t>
            </w:r>
          </w:p>
        </w:tc>
        <w:tc>
          <w:tcPr>
            <w:tcW w:w="705" w:type="dxa"/>
            <w:shd w:val="clear" w:color="auto" w:fill="auto"/>
            <w:vAlign w:val="center"/>
          </w:tcPr>
          <w:p w14:paraId="635FF5A6"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bCs/>
                <w:iCs/>
                <w:spacing w:val="-16"/>
              </w:rPr>
              <w:t>100</w:t>
            </w:r>
          </w:p>
        </w:tc>
        <w:tc>
          <w:tcPr>
            <w:tcW w:w="723" w:type="dxa"/>
            <w:shd w:val="clear" w:color="auto" w:fill="auto"/>
            <w:vAlign w:val="center"/>
          </w:tcPr>
          <w:p w14:paraId="735FC388"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bCs/>
                <w:iCs/>
                <w:spacing w:val="-16"/>
              </w:rPr>
              <w:t>91</w:t>
            </w:r>
          </w:p>
        </w:tc>
        <w:tc>
          <w:tcPr>
            <w:tcW w:w="700" w:type="dxa"/>
            <w:shd w:val="clear" w:color="auto" w:fill="auto"/>
            <w:vAlign w:val="center"/>
          </w:tcPr>
          <w:p w14:paraId="3BDD3DA1"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b/>
                <w:bCs/>
                <w:i/>
                <w:iCs/>
                <w:spacing w:val="-16"/>
              </w:rPr>
              <w:t>53</w:t>
            </w:r>
          </w:p>
        </w:tc>
      </w:tr>
      <w:tr w:rsidR="006170EB" w:rsidRPr="00A71AEC" w14:paraId="449A7CD6" w14:textId="77777777" w:rsidTr="00A71AEC">
        <w:tc>
          <w:tcPr>
            <w:tcW w:w="835" w:type="dxa"/>
            <w:shd w:val="clear" w:color="auto" w:fill="auto"/>
            <w:vAlign w:val="center"/>
          </w:tcPr>
          <w:p w14:paraId="4E28A1C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w:t>
            </w:r>
          </w:p>
        </w:tc>
        <w:tc>
          <w:tcPr>
            <w:tcW w:w="724" w:type="dxa"/>
            <w:shd w:val="clear" w:color="auto" w:fill="auto"/>
            <w:vAlign w:val="center"/>
          </w:tcPr>
          <w:p w14:paraId="07D30804"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spacing w:val="-16"/>
              </w:rPr>
              <w:t>106</w:t>
            </w:r>
          </w:p>
        </w:tc>
        <w:tc>
          <w:tcPr>
            <w:tcW w:w="707" w:type="dxa"/>
            <w:shd w:val="clear" w:color="auto" w:fill="auto"/>
            <w:vAlign w:val="center"/>
          </w:tcPr>
          <w:p w14:paraId="45E7482F"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spacing w:val="-16"/>
              </w:rPr>
              <w:t>118</w:t>
            </w:r>
          </w:p>
        </w:tc>
        <w:tc>
          <w:tcPr>
            <w:tcW w:w="705" w:type="dxa"/>
            <w:shd w:val="clear" w:color="auto" w:fill="auto"/>
            <w:vAlign w:val="center"/>
          </w:tcPr>
          <w:p w14:paraId="54C91EE5"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spacing w:val="-16"/>
              </w:rPr>
              <w:t>108</w:t>
            </w:r>
          </w:p>
        </w:tc>
        <w:tc>
          <w:tcPr>
            <w:tcW w:w="723" w:type="dxa"/>
            <w:shd w:val="clear" w:color="auto" w:fill="auto"/>
            <w:vAlign w:val="center"/>
          </w:tcPr>
          <w:p w14:paraId="42B31FA4"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spacing w:val="-16"/>
              </w:rPr>
              <w:t>115</w:t>
            </w:r>
          </w:p>
        </w:tc>
        <w:tc>
          <w:tcPr>
            <w:tcW w:w="700" w:type="dxa"/>
            <w:shd w:val="clear" w:color="auto" w:fill="auto"/>
            <w:vAlign w:val="center"/>
          </w:tcPr>
          <w:p w14:paraId="6CD1B85B" w14:textId="77777777" w:rsidR="006170EB" w:rsidRPr="00A71AEC" w:rsidRDefault="00D15C98" w:rsidP="00A71AEC">
            <w:pPr>
              <w:spacing w:after="0" w:line="240" w:lineRule="auto"/>
              <w:jc w:val="center"/>
              <w:rPr>
                <w:rFonts w:ascii="Times New Roman" w:hAnsi="Times New Roman"/>
                <w:b/>
                <w:bCs/>
                <w:i/>
                <w:iCs/>
                <w:spacing w:val="-16"/>
              </w:rPr>
            </w:pPr>
            <w:r w:rsidRPr="00A71AEC">
              <w:rPr>
                <w:rFonts w:ascii="Times New Roman" w:hAnsi="Times New Roman"/>
                <w:b/>
                <w:bCs/>
                <w:i/>
                <w:iCs/>
                <w:spacing w:val="-16"/>
              </w:rPr>
              <w:t>82</w:t>
            </w:r>
          </w:p>
        </w:tc>
      </w:tr>
      <w:tr w:rsidR="006170EB" w:rsidRPr="00A71AEC" w14:paraId="38B0D507" w14:textId="77777777" w:rsidTr="00A71AEC">
        <w:tc>
          <w:tcPr>
            <w:tcW w:w="835" w:type="dxa"/>
            <w:shd w:val="clear" w:color="auto" w:fill="auto"/>
            <w:vAlign w:val="center"/>
          </w:tcPr>
          <w:p w14:paraId="75B3E84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724" w:type="dxa"/>
            <w:shd w:val="clear" w:color="auto" w:fill="auto"/>
            <w:vAlign w:val="center"/>
          </w:tcPr>
          <w:p w14:paraId="11E37B3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121</w:t>
            </w:r>
          </w:p>
        </w:tc>
        <w:tc>
          <w:tcPr>
            <w:tcW w:w="707" w:type="dxa"/>
            <w:shd w:val="clear" w:color="auto" w:fill="auto"/>
            <w:vAlign w:val="center"/>
          </w:tcPr>
          <w:p w14:paraId="5EF99051"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126</w:t>
            </w:r>
          </w:p>
        </w:tc>
        <w:tc>
          <w:tcPr>
            <w:tcW w:w="705" w:type="dxa"/>
            <w:shd w:val="clear" w:color="auto" w:fill="auto"/>
            <w:vAlign w:val="center"/>
          </w:tcPr>
          <w:p w14:paraId="27224FE4"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130</w:t>
            </w:r>
          </w:p>
        </w:tc>
        <w:tc>
          <w:tcPr>
            <w:tcW w:w="723" w:type="dxa"/>
            <w:shd w:val="clear" w:color="auto" w:fill="auto"/>
            <w:vAlign w:val="center"/>
          </w:tcPr>
          <w:p w14:paraId="6A5F96D9"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109</w:t>
            </w:r>
          </w:p>
        </w:tc>
        <w:tc>
          <w:tcPr>
            <w:tcW w:w="700" w:type="dxa"/>
            <w:shd w:val="clear" w:color="auto" w:fill="auto"/>
            <w:vAlign w:val="center"/>
          </w:tcPr>
          <w:p w14:paraId="702AE56F"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88</w:t>
            </w:r>
          </w:p>
        </w:tc>
      </w:tr>
      <w:tr w:rsidR="006170EB" w:rsidRPr="00A71AEC" w14:paraId="4B5DBBCC" w14:textId="77777777" w:rsidTr="00A71AEC">
        <w:tc>
          <w:tcPr>
            <w:tcW w:w="835" w:type="dxa"/>
            <w:shd w:val="clear" w:color="auto" w:fill="auto"/>
            <w:vAlign w:val="center"/>
          </w:tcPr>
          <w:p w14:paraId="72E9313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w:t>
            </w:r>
          </w:p>
        </w:tc>
        <w:tc>
          <w:tcPr>
            <w:tcW w:w="724" w:type="dxa"/>
            <w:shd w:val="clear" w:color="auto" w:fill="auto"/>
            <w:vAlign w:val="center"/>
          </w:tcPr>
          <w:p w14:paraId="7711728D"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91</w:t>
            </w:r>
          </w:p>
        </w:tc>
        <w:tc>
          <w:tcPr>
            <w:tcW w:w="707" w:type="dxa"/>
            <w:shd w:val="clear" w:color="auto" w:fill="auto"/>
            <w:vAlign w:val="center"/>
          </w:tcPr>
          <w:p w14:paraId="73648354"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108</w:t>
            </w:r>
          </w:p>
        </w:tc>
        <w:tc>
          <w:tcPr>
            <w:tcW w:w="705" w:type="dxa"/>
            <w:shd w:val="clear" w:color="auto" w:fill="auto"/>
            <w:vAlign w:val="center"/>
          </w:tcPr>
          <w:p w14:paraId="720F344F"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111</w:t>
            </w:r>
          </w:p>
        </w:tc>
        <w:tc>
          <w:tcPr>
            <w:tcW w:w="723" w:type="dxa"/>
            <w:shd w:val="clear" w:color="auto" w:fill="auto"/>
            <w:vAlign w:val="center"/>
          </w:tcPr>
          <w:p w14:paraId="4C56B236"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88</w:t>
            </w:r>
          </w:p>
        </w:tc>
        <w:tc>
          <w:tcPr>
            <w:tcW w:w="700" w:type="dxa"/>
            <w:shd w:val="clear" w:color="auto" w:fill="auto"/>
            <w:vAlign w:val="center"/>
          </w:tcPr>
          <w:p w14:paraId="34FF90AB"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107</w:t>
            </w:r>
          </w:p>
        </w:tc>
      </w:tr>
      <w:tr w:rsidR="006170EB" w:rsidRPr="00A71AEC" w14:paraId="7061FE1E" w14:textId="77777777" w:rsidTr="00A71AEC">
        <w:tc>
          <w:tcPr>
            <w:tcW w:w="835" w:type="dxa"/>
            <w:shd w:val="clear" w:color="auto" w:fill="auto"/>
            <w:vAlign w:val="center"/>
          </w:tcPr>
          <w:p w14:paraId="65FA6C7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724" w:type="dxa"/>
            <w:shd w:val="clear" w:color="auto" w:fill="auto"/>
            <w:vAlign w:val="center"/>
          </w:tcPr>
          <w:p w14:paraId="53208FB0"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95</w:t>
            </w:r>
          </w:p>
        </w:tc>
        <w:tc>
          <w:tcPr>
            <w:tcW w:w="707" w:type="dxa"/>
            <w:shd w:val="clear" w:color="auto" w:fill="auto"/>
            <w:vAlign w:val="center"/>
          </w:tcPr>
          <w:p w14:paraId="23352716"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100</w:t>
            </w:r>
          </w:p>
        </w:tc>
        <w:tc>
          <w:tcPr>
            <w:tcW w:w="705" w:type="dxa"/>
            <w:shd w:val="clear" w:color="auto" w:fill="auto"/>
            <w:vAlign w:val="center"/>
          </w:tcPr>
          <w:p w14:paraId="492929CB"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90</w:t>
            </w:r>
          </w:p>
        </w:tc>
        <w:tc>
          <w:tcPr>
            <w:tcW w:w="723" w:type="dxa"/>
            <w:shd w:val="clear" w:color="auto" w:fill="auto"/>
            <w:vAlign w:val="center"/>
          </w:tcPr>
          <w:p w14:paraId="4B35306E"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spacing w:val="-16"/>
              </w:rPr>
              <w:t>-</w:t>
            </w:r>
          </w:p>
        </w:tc>
        <w:tc>
          <w:tcPr>
            <w:tcW w:w="700" w:type="dxa"/>
            <w:shd w:val="clear" w:color="auto" w:fill="auto"/>
            <w:vAlign w:val="center"/>
          </w:tcPr>
          <w:p w14:paraId="528FC413" w14:textId="77777777" w:rsidR="006170EB" w:rsidRPr="00A71AEC" w:rsidRDefault="00D15C98" w:rsidP="00A71AEC">
            <w:pPr>
              <w:spacing w:after="0" w:line="240" w:lineRule="auto"/>
              <w:jc w:val="center"/>
              <w:rPr>
                <w:rFonts w:ascii="Times New Roman" w:hAnsi="Times New Roman"/>
                <w:spacing w:val="-16"/>
              </w:rPr>
            </w:pPr>
            <w:r w:rsidRPr="00A71AEC">
              <w:rPr>
                <w:rFonts w:ascii="Times New Roman" w:hAnsi="Times New Roman"/>
                <w:bCs/>
                <w:iCs/>
                <w:spacing w:val="-16"/>
              </w:rPr>
              <w:t>-</w:t>
            </w:r>
          </w:p>
        </w:tc>
      </w:tr>
    </w:tbl>
    <w:p w14:paraId="1DA00C18" w14:textId="77777777" w:rsidR="006170EB" w:rsidRPr="00EA7619" w:rsidRDefault="00D15C98">
      <w:pPr>
        <w:spacing w:after="0" w:line="480" w:lineRule="auto"/>
        <w:ind w:left="1134"/>
        <w:jc w:val="both"/>
        <w:rPr>
          <w:rFonts w:ascii="Times New Roman" w:hAnsi="Times New Roman"/>
          <w:color w:val="auto"/>
          <w:sz w:val="20"/>
          <w:szCs w:val="20"/>
          <w:lang w:val="en-US"/>
        </w:rPr>
      </w:pPr>
      <w:r w:rsidRPr="00EA7619">
        <w:rPr>
          <w:rFonts w:ascii="Times New Roman" w:hAnsi="Times New Roman"/>
          <w:color w:val="auto"/>
          <w:sz w:val="20"/>
          <w:szCs w:val="20"/>
          <w:lang w:val="en-US"/>
        </w:rPr>
        <w:t>Legend:</w:t>
      </w:r>
      <w:r w:rsidRPr="00EA7619">
        <w:rPr>
          <w:color w:val="auto"/>
          <w:sz w:val="20"/>
          <w:szCs w:val="20"/>
          <w:lang w:val="en-US"/>
        </w:rPr>
        <w:t xml:space="preserve"> </w:t>
      </w:r>
      <w:r w:rsidRPr="00EA7619">
        <w:rPr>
          <w:rFonts w:ascii="Times New Roman" w:hAnsi="Times New Roman"/>
          <w:color w:val="auto"/>
          <w:sz w:val="20"/>
          <w:szCs w:val="20"/>
          <w:lang w:val="en-US"/>
        </w:rPr>
        <w:t>FSIQ, full-scale intelligence quotient; PIQ, performance intelligence quotient; PSI, processing speed index; Sbj, subject; VIQ, verbal intelligence quotient; WMI, working memory index.</w:t>
      </w:r>
    </w:p>
    <w:p w14:paraId="1FFCAC65" w14:textId="77777777" w:rsidR="006170EB" w:rsidRDefault="00D15C98">
      <w:pPr>
        <w:spacing w:after="0" w:line="480" w:lineRule="auto"/>
        <w:ind w:left="1134"/>
        <w:jc w:val="both"/>
        <w:rPr>
          <w:rFonts w:ascii="Times New Roman" w:hAnsi="Times New Roman"/>
          <w:sz w:val="20"/>
          <w:szCs w:val="20"/>
          <w:lang w:val="en-US"/>
        </w:rPr>
      </w:pPr>
      <w:r w:rsidRPr="00EA7619">
        <w:rPr>
          <w:rFonts w:ascii="Times New Roman" w:hAnsi="Times New Roman"/>
          <w:color w:val="auto"/>
          <w:sz w:val="20"/>
          <w:szCs w:val="20"/>
          <w:lang w:val="en-US"/>
        </w:rPr>
        <w:t>Values are reported in</w:t>
      </w:r>
      <w:r>
        <w:rPr>
          <w:rFonts w:ascii="Times New Roman" w:hAnsi="Times New Roman"/>
          <w:sz w:val="20"/>
          <w:szCs w:val="20"/>
          <w:lang w:val="en-US"/>
        </w:rPr>
        <w:t xml:space="preserve"> standard scores (mean 100, SD 15) and categorized as follow: more than -1DS, normal; between -1DS and -2DS, borderline; less than -2DS, delay.</w:t>
      </w:r>
    </w:p>
    <w:p w14:paraId="3B6E5098" w14:textId="77777777" w:rsidR="006170EB" w:rsidRDefault="006170EB">
      <w:pPr>
        <w:spacing w:after="0" w:line="480" w:lineRule="auto"/>
        <w:ind w:left="1134"/>
        <w:jc w:val="both"/>
        <w:rPr>
          <w:rFonts w:ascii="Times New Roman" w:hAnsi="Times New Roman"/>
          <w:sz w:val="20"/>
          <w:szCs w:val="20"/>
          <w:lang w:val="en-US"/>
        </w:rPr>
      </w:pPr>
    </w:p>
    <w:p w14:paraId="1216B003" w14:textId="77777777" w:rsidR="006170EB" w:rsidRDefault="00D15C98">
      <w:pPr>
        <w:spacing w:after="0" w:line="480" w:lineRule="auto"/>
        <w:ind w:left="1134"/>
        <w:jc w:val="both"/>
        <w:rPr>
          <w:rFonts w:ascii="Times New Roman" w:hAnsi="Times New Roman"/>
          <w:sz w:val="20"/>
          <w:szCs w:val="20"/>
          <w:lang w:val="en-US"/>
        </w:rPr>
      </w:pPr>
      <w:r>
        <w:rPr>
          <w:rFonts w:ascii="Times New Roman" w:hAnsi="Times New Roman"/>
          <w:lang w:val="en-US"/>
        </w:rPr>
        <w:t>Adaptive functioning was impaired in 3 children (17%), one of whom had difficulties in all the four VABS-II domains (communication, socialization, daily living skills and motor skills) while the remaining 2 showed delay scores only in communication and daily living skills. See Table 3.</w:t>
      </w:r>
    </w:p>
    <w:p w14:paraId="0B6B1FEF" w14:textId="77777777" w:rsidR="006170EB" w:rsidRDefault="00D15C98">
      <w:pPr>
        <w:spacing w:after="0" w:line="480" w:lineRule="auto"/>
        <w:ind w:left="1134"/>
        <w:jc w:val="both"/>
        <w:rPr>
          <w:rFonts w:ascii="Times New Roman" w:hAnsi="Times New Roman"/>
          <w:lang w:val="en-US"/>
        </w:rPr>
      </w:pPr>
      <w:bookmarkStart w:id="8" w:name="_Hlk120529227"/>
      <w:bookmarkEnd w:id="8"/>
      <w:r>
        <w:rPr>
          <w:rFonts w:ascii="Times New Roman" w:hAnsi="Times New Roman"/>
          <w:lang w:val="en-US"/>
        </w:rPr>
        <w:t xml:space="preserve">At CBCL composite scales, 5 (28%) children had risk score in total problems, 6 (33%) in internalizing problems and 2 (11%) in externalizing problems. See Table 4. At CASD, 12 children (67%) showed one or more autistic-like features, even if none were in autism spectrum </w:t>
      </w:r>
      <w:r w:rsidRPr="00EA7619">
        <w:rPr>
          <w:rFonts w:ascii="Times New Roman" w:hAnsi="Times New Roman"/>
          <w:color w:val="auto"/>
          <w:lang w:val="en-US"/>
        </w:rPr>
        <w:t>range (see Table</w:t>
      </w:r>
      <w:r>
        <w:rPr>
          <w:rFonts w:ascii="Times New Roman" w:hAnsi="Times New Roman"/>
          <w:lang w:val="en-US"/>
        </w:rPr>
        <w:t xml:space="preserve"> 3).</w:t>
      </w:r>
    </w:p>
    <w:p w14:paraId="27B4DA2F" w14:textId="77777777" w:rsidR="006170EB" w:rsidRDefault="00D15C98">
      <w:pPr>
        <w:spacing w:after="0" w:line="480" w:lineRule="auto"/>
        <w:ind w:left="1134"/>
        <w:jc w:val="both"/>
        <w:rPr>
          <w:rFonts w:ascii="Times New Roman" w:hAnsi="Times New Roman"/>
          <w:lang w:val="en-US"/>
        </w:rPr>
      </w:pPr>
      <w:r>
        <w:rPr>
          <w:rFonts w:ascii="Times New Roman" w:hAnsi="Times New Roman"/>
          <w:b/>
          <w:bCs/>
          <w:lang w:val="en-US"/>
        </w:rPr>
        <w:lastRenderedPageBreak/>
        <w:t>Table 3 - Adaptive functioning and behavioral aspects.</w:t>
      </w:r>
    </w:p>
    <w:tbl>
      <w:tblPr>
        <w:tblpPr w:leftFromText="141" w:rightFromText="141" w:vertAnchor="text" w:horzAnchor="margin" w:tblpXSpec="center" w:tblpY="41"/>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firstRow="1" w:lastRow="0" w:firstColumn="1" w:lastColumn="0" w:noHBand="0" w:noVBand="1"/>
      </w:tblPr>
      <w:tblGrid>
        <w:gridCol w:w="519"/>
        <w:gridCol w:w="633"/>
        <w:gridCol w:w="702"/>
        <w:gridCol w:w="695"/>
        <w:gridCol w:w="707"/>
        <w:gridCol w:w="567"/>
        <w:gridCol w:w="568"/>
        <w:gridCol w:w="568"/>
        <w:gridCol w:w="558"/>
        <w:gridCol w:w="574"/>
        <w:gridCol w:w="568"/>
        <w:gridCol w:w="568"/>
        <w:gridCol w:w="706"/>
      </w:tblGrid>
      <w:tr w:rsidR="006170EB" w:rsidRPr="00A71AEC" w14:paraId="158F008D" w14:textId="77777777" w:rsidTr="00A71AEC">
        <w:trPr>
          <w:jc w:val="center"/>
        </w:trPr>
        <w:tc>
          <w:tcPr>
            <w:tcW w:w="518" w:type="dxa"/>
            <w:vMerge w:val="restart"/>
            <w:shd w:val="clear" w:color="auto" w:fill="E7E6E6"/>
          </w:tcPr>
          <w:p w14:paraId="6023060E" w14:textId="77777777" w:rsidR="006170EB" w:rsidRPr="00A71AEC" w:rsidRDefault="00D15C98" w:rsidP="00A71AEC">
            <w:pPr>
              <w:spacing w:after="0" w:line="240" w:lineRule="auto"/>
              <w:rPr>
                <w:rFonts w:ascii="Times New Roman" w:hAnsi="Times New Roman"/>
                <w:b/>
                <w:bCs/>
                <w:spacing w:val="-16"/>
                <w:lang w:val="en-GB"/>
              </w:rPr>
            </w:pPr>
            <w:r w:rsidRPr="00A71AEC">
              <w:rPr>
                <w:rFonts w:ascii="Times New Roman" w:hAnsi="Times New Roman"/>
                <w:b/>
                <w:bCs/>
                <w:spacing w:val="-16"/>
                <w:lang w:val="en-GB"/>
              </w:rPr>
              <w:t>Sbj</w:t>
            </w:r>
          </w:p>
        </w:tc>
        <w:tc>
          <w:tcPr>
            <w:tcW w:w="3304" w:type="dxa"/>
            <w:gridSpan w:val="5"/>
            <w:shd w:val="clear" w:color="auto" w:fill="E7E6E6"/>
          </w:tcPr>
          <w:p w14:paraId="3AAC1DC7" w14:textId="77777777" w:rsidR="006170EB" w:rsidRPr="00A71AEC" w:rsidRDefault="00D15C98" w:rsidP="00A71AEC">
            <w:pPr>
              <w:spacing w:after="0" w:line="240" w:lineRule="auto"/>
              <w:rPr>
                <w:rFonts w:ascii="Times New Roman" w:hAnsi="Times New Roman"/>
                <w:b/>
                <w:bCs/>
                <w:spacing w:val="-16"/>
                <w:lang w:val="en-GB"/>
              </w:rPr>
            </w:pPr>
            <w:r w:rsidRPr="00A71AEC">
              <w:rPr>
                <w:rFonts w:ascii="Times New Roman" w:hAnsi="Times New Roman"/>
                <w:b/>
                <w:bCs/>
                <w:spacing w:val="-16"/>
                <w:lang w:val="en-GB"/>
              </w:rPr>
              <w:t>Adaptive functioning (VABS</w:t>
            </w:r>
            <w:r w:rsidRPr="00A71AEC">
              <w:rPr>
                <w:rFonts w:ascii="Times New Roman" w:hAnsi="Times New Roman"/>
                <w:b/>
                <w:bCs/>
                <w:color w:val="FF0000"/>
                <w:spacing w:val="-16"/>
                <w:lang w:val="en-GB"/>
              </w:rPr>
              <w:t xml:space="preserve"> </w:t>
            </w:r>
            <w:r w:rsidRPr="00EA7619">
              <w:rPr>
                <w:rFonts w:ascii="Times New Roman" w:hAnsi="Times New Roman"/>
                <w:b/>
                <w:bCs/>
                <w:color w:val="auto"/>
                <w:spacing w:val="-16"/>
                <w:lang w:val="en-GB"/>
              </w:rPr>
              <w:t>II</w:t>
            </w:r>
            <w:r w:rsidRPr="00A71AEC">
              <w:rPr>
                <w:rFonts w:ascii="Times New Roman" w:hAnsi="Times New Roman"/>
                <w:b/>
                <w:bCs/>
                <w:spacing w:val="-16"/>
                <w:lang w:val="en-GB"/>
              </w:rPr>
              <w:t>), °p</w:t>
            </w:r>
          </w:p>
        </w:tc>
        <w:tc>
          <w:tcPr>
            <w:tcW w:w="4110" w:type="dxa"/>
            <w:gridSpan w:val="7"/>
            <w:shd w:val="clear" w:color="auto" w:fill="E7E6E6"/>
          </w:tcPr>
          <w:p w14:paraId="77FF3B33"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lang w:val="en-GB"/>
              </w:rPr>
              <w:t xml:space="preserve">Behavioral profile </w:t>
            </w:r>
            <w:r w:rsidRPr="00A71AEC">
              <w:rPr>
                <w:rFonts w:ascii="Times New Roman" w:hAnsi="Times New Roman"/>
                <w:b/>
                <w:bCs/>
                <w:spacing w:val="-16"/>
              </w:rPr>
              <w:t>(CASD)</w:t>
            </w:r>
          </w:p>
        </w:tc>
      </w:tr>
      <w:tr w:rsidR="006170EB" w:rsidRPr="00A71AEC" w14:paraId="61C11CA8" w14:textId="77777777" w:rsidTr="00A71AEC">
        <w:trPr>
          <w:jc w:val="center"/>
        </w:trPr>
        <w:tc>
          <w:tcPr>
            <w:tcW w:w="518" w:type="dxa"/>
            <w:vMerge/>
            <w:shd w:val="clear" w:color="auto" w:fill="E7E6E6"/>
          </w:tcPr>
          <w:p w14:paraId="2A14DFCA" w14:textId="77777777" w:rsidR="006170EB" w:rsidRPr="00A71AEC" w:rsidRDefault="006170EB" w:rsidP="00A71AEC">
            <w:pPr>
              <w:spacing w:after="0" w:line="240" w:lineRule="auto"/>
              <w:rPr>
                <w:rFonts w:ascii="Times New Roman" w:hAnsi="Times New Roman"/>
                <w:b/>
                <w:bCs/>
                <w:spacing w:val="-16"/>
              </w:rPr>
            </w:pPr>
          </w:p>
        </w:tc>
        <w:tc>
          <w:tcPr>
            <w:tcW w:w="633" w:type="dxa"/>
            <w:shd w:val="clear" w:color="auto" w:fill="E7E6E6"/>
          </w:tcPr>
          <w:p w14:paraId="7DDA158E"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Total</w:t>
            </w:r>
          </w:p>
        </w:tc>
        <w:tc>
          <w:tcPr>
            <w:tcW w:w="702" w:type="dxa"/>
            <w:shd w:val="clear" w:color="auto" w:fill="E7E6E6"/>
          </w:tcPr>
          <w:p w14:paraId="3279EC3C"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COM</w:t>
            </w:r>
          </w:p>
        </w:tc>
        <w:tc>
          <w:tcPr>
            <w:tcW w:w="695" w:type="dxa"/>
            <w:shd w:val="clear" w:color="auto" w:fill="E7E6E6"/>
          </w:tcPr>
          <w:p w14:paraId="0A68992F"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DLS</w:t>
            </w:r>
          </w:p>
        </w:tc>
        <w:tc>
          <w:tcPr>
            <w:tcW w:w="707" w:type="dxa"/>
            <w:shd w:val="clear" w:color="auto" w:fill="E7E6E6"/>
          </w:tcPr>
          <w:p w14:paraId="69C95C50"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SOC</w:t>
            </w:r>
          </w:p>
        </w:tc>
        <w:tc>
          <w:tcPr>
            <w:tcW w:w="567" w:type="dxa"/>
            <w:shd w:val="clear" w:color="auto" w:fill="E7E6E6"/>
          </w:tcPr>
          <w:p w14:paraId="6CE76AC3"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MS</w:t>
            </w:r>
          </w:p>
        </w:tc>
        <w:tc>
          <w:tcPr>
            <w:tcW w:w="568" w:type="dxa"/>
            <w:shd w:val="clear" w:color="auto" w:fill="E7E6E6"/>
          </w:tcPr>
          <w:p w14:paraId="04F7A4CB"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SI</w:t>
            </w:r>
          </w:p>
        </w:tc>
        <w:tc>
          <w:tcPr>
            <w:tcW w:w="568" w:type="dxa"/>
            <w:shd w:val="clear" w:color="auto" w:fill="E7E6E6"/>
          </w:tcPr>
          <w:p w14:paraId="2B79AD3B"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P</w:t>
            </w:r>
          </w:p>
        </w:tc>
        <w:tc>
          <w:tcPr>
            <w:tcW w:w="558" w:type="dxa"/>
            <w:shd w:val="clear" w:color="auto" w:fill="E7E6E6"/>
          </w:tcPr>
          <w:p w14:paraId="75F76DB9"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SS</w:t>
            </w:r>
          </w:p>
        </w:tc>
        <w:tc>
          <w:tcPr>
            <w:tcW w:w="574" w:type="dxa"/>
            <w:shd w:val="clear" w:color="auto" w:fill="E7E6E6"/>
          </w:tcPr>
          <w:p w14:paraId="30394260"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C</w:t>
            </w:r>
          </w:p>
        </w:tc>
        <w:tc>
          <w:tcPr>
            <w:tcW w:w="568" w:type="dxa"/>
            <w:shd w:val="clear" w:color="auto" w:fill="E7E6E6"/>
          </w:tcPr>
          <w:p w14:paraId="1FB43392"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M</w:t>
            </w:r>
          </w:p>
        </w:tc>
        <w:tc>
          <w:tcPr>
            <w:tcW w:w="568" w:type="dxa"/>
            <w:shd w:val="clear" w:color="auto" w:fill="E7E6E6"/>
          </w:tcPr>
          <w:p w14:paraId="5F2B2195"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AS</w:t>
            </w:r>
          </w:p>
        </w:tc>
        <w:tc>
          <w:tcPr>
            <w:tcW w:w="706" w:type="dxa"/>
            <w:shd w:val="clear" w:color="auto" w:fill="E7E6E6"/>
          </w:tcPr>
          <w:p w14:paraId="14B43E27" w14:textId="77777777" w:rsidR="006170EB" w:rsidRPr="00A71AEC" w:rsidRDefault="00D15C98" w:rsidP="00A71AEC">
            <w:pPr>
              <w:spacing w:after="0" w:line="240" w:lineRule="auto"/>
              <w:rPr>
                <w:rFonts w:ascii="Times New Roman" w:hAnsi="Times New Roman"/>
                <w:b/>
                <w:bCs/>
                <w:spacing w:val="-16"/>
              </w:rPr>
            </w:pPr>
            <w:r w:rsidRPr="00A71AEC">
              <w:rPr>
                <w:rFonts w:ascii="Times New Roman" w:hAnsi="Times New Roman"/>
                <w:b/>
                <w:bCs/>
                <w:spacing w:val="-16"/>
              </w:rPr>
              <w:t>Total</w:t>
            </w:r>
          </w:p>
        </w:tc>
      </w:tr>
      <w:tr w:rsidR="006170EB" w:rsidRPr="00A71AEC" w14:paraId="61742FB9" w14:textId="77777777" w:rsidTr="00A71AEC">
        <w:trPr>
          <w:jc w:val="center"/>
        </w:trPr>
        <w:tc>
          <w:tcPr>
            <w:tcW w:w="518" w:type="dxa"/>
            <w:shd w:val="clear" w:color="auto" w:fill="auto"/>
          </w:tcPr>
          <w:p w14:paraId="4875459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w:t>
            </w:r>
          </w:p>
        </w:tc>
        <w:tc>
          <w:tcPr>
            <w:tcW w:w="633" w:type="dxa"/>
            <w:shd w:val="clear" w:color="auto" w:fill="auto"/>
          </w:tcPr>
          <w:p w14:paraId="55FC065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98</w:t>
            </w:r>
          </w:p>
        </w:tc>
        <w:tc>
          <w:tcPr>
            <w:tcW w:w="702" w:type="dxa"/>
            <w:shd w:val="clear" w:color="auto" w:fill="auto"/>
          </w:tcPr>
          <w:p w14:paraId="408C89A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91</w:t>
            </w:r>
          </w:p>
        </w:tc>
        <w:tc>
          <w:tcPr>
            <w:tcW w:w="695" w:type="dxa"/>
            <w:shd w:val="clear" w:color="auto" w:fill="auto"/>
          </w:tcPr>
          <w:p w14:paraId="6A88C4A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99</w:t>
            </w:r>
          </w:p>
        </w:tc>
        <w:tc>
          <w:tcPr>
            <w:tcW w:w="707" w:type="dxa"/>
            <w:shd w:val="clear" w:color="auto" w:fill="auto"/>
          </w:tcPr>
          <w:p w14:paraId="1BECE20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92</w:t>
            </w:r>
          </w:p>
        </w:tc>
        <w:tc>
          <w:tcPr>
            <w:tcW w:w="567" w:type="dxa"/>
            <w:shd w:val="clear" w:color="auto" w:fill="auto"/>
          </w:tcPr>
          <w:p w14:paraId="69A7281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4CB8D6A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6A0F097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5DEB542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0/10</w:t>
            </w:r>
          </w:p>
        </w:tc>
        <w:tc>
          <w:tcPr>
            <w:tcW w:w="574" w:type="dxa"/>
            <w:shd w:val="clear" w:color="auto" w:fill="auto"/>
          </w:tcPr>
          <w:p w14:paraId="2807426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398BC0D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4171B3E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420F567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0/30</w:t>
            </w:r>
          </w:p>
        </w:tc>
      </w:tr>
      <w:tr w:rsidR="006170EB" w:rsidRPr="00A71AEC" w14:paraId="7C0CC6CC" w14:textId="77777777" w:rsidTr="00A71AEC">
        <w:trPr>
          <w:jc w:val="center"/>
        </w:trPr>
        <w:tc>
          <w:tcPr>
            <w:tcW w:w="518" w:type="dxa"/>
            <w:shd w:val="clear" w:color="auto" w:fill="auto"/>
          </w:tcPr>
          <w:p w14:paraId="4157C40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w:t>
            </w:r>
          </w:p>
        </w:tc>
        <w:tc>
          <w:tcPr>
            <w:tcW w:w="633" w:type="dxa"/>
            <w:shd w:val="clear" w:color="auto" w:fill="auto"/>
          </w:tcPr>
          <w:p w14:paraId="5F07B84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25</w:t>
            </w:r>
          </w:p>
        </w:tc>
        <w:tc>
          <w:tcPr>
            <w:tcW w:w="702" w:type="dxa"/>
            <w:shd w:val="clear" w:color="auto" w:fill="auto"/>
          </w:tcPr>
          <w:p w14:paraId="46363C9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695" w:type="dxa"/>
            <w:shd w:val="clear" w:color="auto" w:fill="auto"/>
          </w:tcPr>
          <w:p w14:paraId="29BE2AF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w:t>
            </w:r>
          </w:p>
        </w:tc>
        <w:tc>
          <w:tcPr>
            <w:tcW w:w="707" w:type="dxa"/>
            <w:shd w:val="clear" w:color="auto" w:fill="auto"/>
          </w:tcPr>
          <w:p w14:paraId="7F82361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79</w:t>
            </w:r>
          </w:p>
        </w:tc>
        <w:tc>
          <w:tcPr>
            <w:tcW w:w="567" w:type="dxa"/>
            <w:shd w:val="clear" w:color="auto" w:fill="auto"/>
          </w:tcPr>
          <w:p w14:paraId="416208B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68F43D5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7CE2715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162434E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1/10</w:t>
            </w:r>
          </w:p>
        </w:tc>
        <w:tc>
          <w:tcPr>
            <w:tcW w:w="574" w:type="dxa"/>
            <w:shd w:val="clear" w:color="auto" w:fill="auto"/>
          </w:tcPr>
          <w:p w14:paraId="060DA72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1/5</w:t>
            </w:r>
          </w:p>
        </w:tc>
        <w:tc>
          <w:tcPr>
            <w:tcW w:w="568" w:type="dxa"/>
            <w:shd w:val="clear" w:color="auto" w:fill="auto"/>
          </w:tcPr>
          <w:p w14:paraId="54D36AD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4DB5F5B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589F8DB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2/30</w:t>
            </w:r>
          </w:p>
        </w:tc>
      </w:tr>
      <w:tr w:rsidR="006170EB" w:rsidRPr="00A71AEC" w14:paraId="1BAC96B4" w14:textId="77777777" w:rsidTr="00A71AEC">
        <w:trPr>
          <w:jc w:val="center"/>
        </w:trPr>
        <w:tc>
          <w:tcPr>
            <w:tcW w:w="518" w:type="dxa"/>
            <w:shd w:val="clear" w:color="auto" w:fill="auto"/>
          </w:tcPr>
          <w:p w14:paraId="1133831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w:t>
            </w:r>
          </w:p>
        </w:tc>
        <w:tc>
          <w:tcPr>
            <w:tcW w:w="633" w:type="dxa"/>
            <w:shd w:val="clear" w:color="auto" w:fill="auto"/>
          </w:tcPr>
          <w:p w14:paraId="0038A9F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702" w:type="dxa"/>
            <w:shd w:val="clear" w:color="auto" w:fill="auto"/>
          </w:tcPr>
          <w:p w14:paraId="18DCA9A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695" w:type="dxa"/>
            <w:shd w:val="clear" w:color="auto" w:fill="auto"/>
          </w:tcPr>
          <w:p w14:paraId="6464D4A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55</w:t>
            </w:r>
          </w:p>
        </w:tc>
        <w:tc>
          <w:tcPr>
            <w:tcW w:w="707" w:type="dxa"/>
            <w:shd w:val="clear" w:color="auto" w:fill="auto"/>
          </w:tcPr>
          <w:p w14:paraId="0B3F6F0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25</w:t>
            </w:r>
          </w:p>
        </w:tc>
        <w:tc>
          <w:tcPr>
            <w:tcW w:w="567" w:type="dxa"/>
            <w:shd w:val="clear" w:color="auto" w:fill="auto"/>
          </w:tcPr>
          <w:p w14:paraId="1B9359D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w:t>
            </w:r>
          </w:p>
        </w:tc>
        <w:tc>
          <w:tcPr>
            <w:tcW w:w="568" w:type="dxa"/>
            <w:shd w:val="clear" w:color="auto" w:fill="auto"/>
          </w:tcPr>
          <w:p w14:paraId="7EE9DE4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2/5</w:t>
            </w:r>
          </w:p>
        </w:tc>
        <w:tc>
          <w:tcPr>
            <w:tcW w:w="568" w:type="dxa"/>
            <w:shd w:val="clear" w:color="auto" w:fill="auto"/>
          </w:tcPr>
          <w:p w14:paraId="6D010F7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5CBB927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1/10</w:t>
            </w:r>
          </w:p>
        </w:tc>
        <w:tc>
          <w:tcPr>
            <w:tcW w:w="574" w:type="dxa"/>
            <w:shd w:val="clear" w:color="auto" w:fill="auto"/>
          </w:tcPr>
          <w:p w14:paraId="22EE9C4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1/5</w:t>
            </w:r>
          </w:p>
        </w:tc>
        <w:tc>
          <w:tcPr>
            <w:tcW w:w="568" w:type="dxa"/>
            <w:shd w:val="clear" w:color="auto" w:fill="auto"/>
          </w:tcPr>
          <w:p w14:paraId="36EEEAD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06B54FF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706" w:type="dxa"/>
            <w:shd w:val="clear" w:color="auto" w:fill="auto"/>
          </w:tcPr>
          <w:p w14:paraId="74CA9B1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5/30</w:t>
            </w:r>
          </w:p>
        </w:tc>
      </w:tr>
      <w:tr w:rsidR="006170EB" w:rsidRPr="00A71AEC" w14:paraId="6624095B" w14:textId="77777777" w:rsidTr="00A71AEC">
        <w:trPr>
          <w:jc w:val="center"/>
        </w:trPr>
        <w:tc>
          <w:tcPr>
            <w:tcW w:w="518" w:type="dxa"/>
            <w:shd w:val="clear" w:color="auto" w:fill="auto"/>
          </w:tcPr>
          <w:p w14:paraId="471E26A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w:t>
            </w:r>
          </w:p>
        </w:tc>
        <w:tc>
          <w:tcPr>
            <w:tcW w:w="633" w:type="dxa"/>
            <w:shd w:val="clear" w:color="auto" w:fill="auto"/>
          </w:tcPr>
          <w:p w14:paraId="6ABE5F8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73</w:t>
            </w:r>
          </w:p>
        </w:tc>
        <w:tc>
          <w:tcPr>
            <w:tcW w:w="702" w:type="dxa"/>
            <w:shd w:val="clear" w:color="auto" w:fill="auto"/>
          </w:tcPr>
          <w:p w14:paraId="2464F14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66</w:t>
            </w:r>
          </w:p>
        </w:tc>
        <w:tc>
          <w:tcPr>
            <w:tcW w:w="695" w:type="dxa"/>
            <w:shd w:val="clear" w:color="auto" w:fill="auto"/>
          </w:tcPr>
          <w:p w14:paraId="4F89F69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87</w:t>
            </w:r>
          </w:p>
        </w:tc>
        <w:tc>
          <w:tcPr>
            <w:tcW w:w="707" w:type="dxa"/>
            <w:shd w:val="clear" w:color="auto" w:fill="auto"/>
          </w:tcPr>
          <w:p w14:paraId="7AC5834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50</w:t>
            </w:r>
          </w:p>
        </w:tc>
        <w:tc>
          <w:tcPr>
            <w:tcW w:w="567" w:type="dxa"/>
            <w:shd w:val="clear" w:color="auto" w:fill="auto"/>
          </w:tcPr>
          <w:p w14:paraId="064A09C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61658F6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103C1FA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6D97992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0/10</w:t>
            </w:r>
          </w:p>
        </w:tc>
        <w:tc>
          <w:tcPr>
            <w:tcW w:w="574" w:type="dxa"/>
            <w:shd w:val="clear" w:color="auto" w:fill="auto"/>
          </w:tcPr>
          <w:p w14:paraId="6BDAF8D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1/5</w:t>
            </w:r>
          </w:p>
        </w:tc>
        <w:tc>
          <w:tcPr>
            <w:tcW w:w="568" w:type="dxa"/>
            <w:shd w:val="clear" w:color="auto" w:fill="auto"/>
          </w:tcPr>
          <w:p w14:paraId="4A89D04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24085B8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6FAD4B0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1/30</w:t>
            </w:r>
          </w:p>
        </w:tc>
      </w:tr>
      <w:tr w:rsidR="006170EB" w:rsidRPr="00A71AEC" w14:paraId="14E64829" w14:textId="77777777" w:rsidTr="00A71AEC">
        <w:trPr>
          <w:jc w:val="center"/>
        </w:trPr>
        <w:tc>
          <w:tcPr>
            <w:tcW w:w="518" w:type="dxa"/>
            <w:shd w:val="clear" w:color="auto" w:fill="auto"/>
          </w:tcPr>
          <w:p w14:paraId="0F87E2B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w:t>
            </w:r>
          </w:p>
        </w:tc>
        <w:tc>
          <w:tcPr>
            <w:tcW w:w="633" w:type="dxa"/>
            <w:shd w:val="clear" w:color="auto" w:fill="auto"/>
          </w:tcPr>
          <w:p w14:paraId="6B116D9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w:t>
            </w:r>
          </w:p>
        </w:tc>
        <w:tc>
          <w:tcPr>
            <w:tcW w:w="702" w:type="dxa"/>
            <w:shd w:val="clear" w:color="auto" w:fill="auto"/>
          </w:tcPr>
          <w:p w14:paraId="16A5C49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w:t>
            </w:r>
          </w:p>
        </w:tc>
        <w:tc>
          <w:tcPr>
            <w:tcW w:w="695" w:type="dxa"/>
            <w:shd w:val="clear" w:color="auto" w:fill="auto"/>
          </w:tcPr>
          <w:p w14:paraId="7072EDF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w:t>
            </w:r>
          </w:p>
        </w:tc>
        <w:tc>
          <w:tcPr>
            <w:tcW w:w="707" w:type="dxa"/>
            <w:shd w:val="clear" w:color="auto" w:fill="auto"/>
          </w:tcPr>
          <w:p w14:paraId="042080F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23</w:t>
            </w:r>
          </w:p>
        </w:tc>
        <w:tc>
          <w:tcPr>
            <w:tcW w:w="567" w:type="dxa"/>
            <w:shd w:val="clear" w:color="auto" w:fill="auto"/>
          </w:tcPr>
          <w:p w14:paraId="6E0041F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1AF0AB4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1DE896E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7EF1949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2/10</w:t>
            </w:r>
          </w:p>
        </w:tc>
        <w:tc>
          <w:tcPr>
            <w:tcW w:w="574" w:type="dxa"/>
            <w:shd w:val="clear" w:color="auto" w:fill="auto"/>
          </w:tcPr>
          <w:p w14:paraId="14DDACE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173E401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4A2D214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4062446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2/30</w:t>
            </w:r>
          </w:p>
        </w:tc>
      </w:tr>
      <w:tr w:rsidR="006170EB" w:rsidRPr="00A71AEC" w14:paraId="52D24FAB" w14:textId="77777777" w:rsidTr="00A71AEC">
        <w:trPr>
          <w:jc w:val="center"/>
        </w:trPr>
        <w:tc>
          <w:tcPr>
            <w:tcW w:w="518" w:type="dxa"/>
            <w:shd w:val="clear" w:color="auto" w:fill="auto"/>
          </w:tcPr>
          <w:p w14:paraId="616AF73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w:t>
            </w:r>
          </w:p>
        </w:tc>
        <w:tc>
          <w:tcPr>
            <w:tcW w:w="633" w:type="dxa"/>
            <w:shd w:val="clear" w:color="auto" w:fill="auto"/>
          </w:tcPr>
          <w:p w14:paraId="5F9B5DF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2" w:type="dxa"/>
            <w:shd w:val="clear" w:color="auto" w:fill="auto"/>
          </w:tcPr>
          <w:p w14:paraId="667083C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695" w:type="dxa"/>
            <w:shd w:val="clear" w:color="auto" w:fill="auto"/>
          </w:tcPr>
          <w:p w14:paraId="057D3CB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w:t>
            </w:r>
          </w:p>
        </w:tc>
        <w:tc>
          <w:tcPr>
            <w:tcW w:w="707" w:type="dxa"/>
            <w:shd w:val="clear" w:color="auto" w:fill="auto"/>
          </w:tcPr>
          <w:p w14:paraId="308F323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w:t>
            </w:r>
          </w:p>
        </w:tc>
        <w:tc>
          <w:tcPr>
            <w:tcW w:w="567" w:type="dxa"/>
            <w:shd w:val="clear" w:color="auto" w:fill="auto"/>
          </w:tcPr>
          <w:p w14:paraId="00872E5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0.1</w:t>
            </w:r>
          </w:p>
        </w:tc>
        <w:tc>
          <w:tcPr>
            <w:tcW w:w="568" w:type="dxa"/>
            <w:shd w:val="clear" w:color="auto" w:fill="auto"/>
          </w:tcPr>
          <w:p w14:paraId="5D0AAEAD"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0/5</w:t>
            </w:r>
          </w:p>
        </w:tc>
        <w:tc>
          <w:tcPr>
            <w:tcW w:w="568" w:type="dxa"/>
            <w:shd w:val="clear" w:color="auto" w:fill="auto"/>
          </w:tcPr>
          <w:p w14:paraId="7DDC1D94"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0/4</w:t>
            </w:r>
          </w:p>
        </w:tc>
        <w:tc>
          <w:tcPr>
            <w:tcW w:w="558" w:type="dxa"/>
            <w:shd w:val="clear" w:color="auto" w:fill="auto"/>
          </w:tcPr>
          <w:p w14:paraId="0067B04E"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0/10</w:t>
            </w:r>
          </w:p>
        </w:tc>
        <w:tc>
          <w:tcPr>
            <w:tcW w:w="574" w:type="dxa"/>
            <w:shd w:val="clear" w:color="auto" w:fill="auto"/>
          </w:tcPr>
          <w:p w14:paraId="24E3456D"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0/5</w:t>
            </w:r>
          </w:p>
        </w:tc>
        <w:tc>
          <w:tcPr>
            <w:tcW w:w="568" w:type="dxa"/>
            <w:shd w:val="clear" w:color="auto" w:fill="auto"/>
          </w:tcPr>
          <w:p w14:paraId="3DEB3D11"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0/4</w:t>
            </w:r>
          </w:p>
        </w:tc>
        <w:tc>
          <w:tcPr>
            <w:tcW w:w="568" w:type="dxa"/>
            <w:shd w:val="clear" w:color="auto" w:fill="auto"/>
          </w:tcPr>
          <w:p w14:paraId="04928E92"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0/2</w:t>
            </w:r>
          </w:p>
        </w:tc>
        <w:tc>
          <w:tcPr>
            <w:tcW w:w="706" w:type="dxa"/>
            <w:shd w:val="clear" w:color="auto" w:fill="auto"/>
          </w:tcPr>
          <w:p w14:paraId="05741EE8"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0/30</w:t>
            </w:r>
          </w:p>
        </w:tc>
      </w:tr>
      <w:tr w:rsidR="006170EB" w:rsidRPr="00A71AEC" w14:paraId="18AEFBCD" w14:textId="77777777" w:rsidTr="00A71AEC">
        <w:trPr>
          <w:jc w:val="center"/>
        </w:trPr>
        <w:tc>
          <w:tcPr>
            <w:tcW w:w="518" w:type="dxa"/>
            <w:shd w:val="clear" w:color="auto" w:fill="auto"/>
          </w:tcPr>
          <w:p w14:paraId="6947457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w:t>
            </w:r>
          </w:p>
        </w:tc>
        <w:tc>
          <w:tcPr>
            <w:tcW w:w="633" w:type="dxa"/>
            <w:shd w:val="clear" w:color="auto" w:fill="auto"/>
          </w:tcPr>
          <w:p w14:paraId="6E40A0B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21</w:t>
            </w:r>
          </w:p>
        </w:tc>
        <w:tc>
          <w:tcPr>
            <w:tcW w:w="702" w:type="dxa"/>
            <w:shd w:val="clear" w:color="auto" w:fill="auto"/>
          </w:tcPr>
          <w:p w14:paraId="4063BA4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27</w:t>
            </w:r>
          </w:p>
        </w:tc>
        <w:tc>
          <w:tcPr>
            <w:tcW w:w="695" w:type="dxa"/>
            <w:shd w:val="clear" w:color="auto" w:fill="auto"/>
          </w:tcPr>
          <w:p w14:paraId="4CEDBEB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30</w:t>
            </w:r>
          </w:p>
        </w:tc>
        <w:tc>
          <w:tcPr>
            <w:tcW w:w="707" w:type="dxa"/>
            <w:shd w:val="clear" w:color="auto" w:fill="auto"/>
          </w:tcPr>
          <w:p w14:paraId="57BA173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567" w:type="dxa"/>
            <w:shd w:val="clear" w:color="auto" w:fill="auto"/>
          </w:tcPr>
          <w:p w14:paraId="1918B32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639DBEC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35ACA97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3BED230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1/10</w:t>
            </w:r>
          </w:p>
        </w:tc>
        <w:tc>
          <w:tcPr>
            <w:tcW w:w="574" w:type="dxa"/>
            <w:shd w:val="clear" w:color="auto" w:fill="auto"/>
          </w:tcPr>
          <w:p w14:paraId="1365884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3928EEB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725BD3A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47D3855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1/30</w:t>
            </w:r>
          </w:p>
        </w:tc>
      </w:tr>
      <w:tr w:rsidR="006170EB" w:rsidRPr="00A71AEC" w14:paraId="14815012" w14:textId="77777777" w:rsidTr="00A71AEC">
        <w:trPr>
          <w:jc w:val="center"/>
        </w:trPr>
        <w:tc>
          <w:tcPr>
            <w:tcW w:w="518" w:type="dxa"/>
            <w:shd w:val="clear" w:color="auto" w:fill="auto"/>
          </w:tcPr>
          <w:p w14:paraId="0BFEACD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8</w:t>
            </w:r>
          </w:p>
        </w:tc>
        <w:tc>
          <w:tcPr>
            <w:tcW w:w="633" w:type="dxa"/>
            <w:shd w:val="clear" w:color="auto" w:fill="auto"/>
          </w:tcPr>
          <w:p w14:paraId="443A2F0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25</w:t>
            </w:r>
          </w:p>
        </w:tc>
        <w:tc>
          <w:tcPr>
            <w:tcW w:w="702" w:type="dxa"/>
            <w:shd w:val="clear" w:color="auto" w:fill="auto"/>
          </w:tcPr>
          <w:p w14:paraId="072B788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42</w:t>
            </w:r>
          </w:p>
        </w:tc>
        <w:tc>
          <w:tcPr>
            <w:tcW w:w="695" w:type="dxa"/>
            <w:shd w:val="clear" w:color="auto" w:fill="auto"/>
          </w:tcPr>
          <w:p w14:paraId="29BBFAC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30</w:t>
            </w:r>
          </w:p>
        </w:tc>
        <w:tc>
          <w:tcPr>
            <w:tcW w:w="707" w:type="dxa"/>
            <w:shd w:val="clear" w:color="auto" w:fill="auto"/>
          </w:tcPr>
          <w:p w14:paraId="2B91A54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18</w:t>
            </w:r>
          </w:p>
        </w:tc>
        <w:tc>
          <w:tcPr>
            <w:tcW w:w="567" w:type="dxa"/>
            <w:shd w:val="clear" w:color="auto" w:fill="auto"/>
          </w:tcPr>
          <w:p w14:paraId="0D7E529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4233FEE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5FC650F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561CC8E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1/10</w:t>
            </w:r>
          </w:p>
        </w:tc>
        <w:tc>
          <w:tcPr>
            <w:tcW w:w="574" w:type="dxa"/>
            <w:shd w:val="clear" w:color="auto" w:fill="auto"/>
          </w:tcPr>
          <w:p w14:paraId="29552AF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435D99F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78E8BC4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706" w:type="dxa"/>
            <w:shd w:val="clear" w:color="auto" w:fill="auto"/>
          </w:tcPr>
          <w:p w14:paraId="138C9D7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2/30</w:t>
            </w:r>
          </w:p>
        </w:tc>
      </w:tr>
      <w:tr w:rsidR="006170EB" w:rsidRPr="00A71AEC" w14:paraId="11146563" w14:textId="77777777" w:rsidTr="00A71AEC">
        <w:trPr>
          <w:jc w:val="center"/>
        </w:trPr>
        <w:tc>
          <w:tcPr>
            <w:tcW w:w="518" w:type="dxa"/>
            <w:shd w:val="clear" w:color="auto" w:fill="auto"/>
          </w:tcPr>
          <w:p w14:paraId="3FE98FB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w:t>
            </w:r>
          </w:p>
        </w:tc>
        <w:tc>
          <w:tcPr>
            <w:tcW w:w="633" w:type="dxa"/>
            <w:shd w:val="clear" w:color="auto" w:fill="auto"/>
          </w:tcPr>
          <w:p w14:paraId="7E3B3CC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70</w:t>
            </w:r>
          </w:p>
        </w:tc>
        <w:tc>
          <w:tcPr>
            <w:tcW w:w="702" w:type="dxa"/>
            <w:shd w:val="clear" w:color="auto" w:fill="auto"/>
          </w:tcPr>
          <w:p w14:paraId="41970A8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79</w:t>
            </w:r>
          </w:p>
        </w:tc>
        <w:tc>
          <w:tcPr>
            <w:tcW w:w="695" w:type="dxa"/>
            <w:shd w:val="clear" w:color="auto" w:fill="auto"/>
          </w:tcPr>
          <w:p w14:paraId="5A7B1F3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70</w:t>
            </w:r>
          </w:p>
        </w:tc>
        <w:tc>
          <w:tcPr>
            <w:tcW w:w="707" w:type="dxa"/>
            <w:shd w:val="clear" w:color="auto" w:fill="auto"/>
          </w:tcPr>
          <w:p w14:paraId="4069D38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53</w:t>
            </w:r>
          </w:p>
        </w:tc>
        <w:tc>
          <w:tcPr>
            <w:tcW w:w="567" w:type="dxa"/>
            <w:shd w:val="clear" w:color="auto" w:fill="auto"/>
          </w:tcPr>
          <w:p w14:paraId="36E4CB9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0264439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1/5</w:t>
            </w:r>
          </w:p>
        </w:tc>
        <w:tc>
          <w:tcPr>
            <w:tcW w:w="568" w:type="dxa"/>
            <w:shd w:val="clear" w:color="auto" w:fill="auto"/>
          </w:tcPr>
          <w:p w14:paraId="5B82C85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558" w:type="dxa"/>
            <w:shd w:val="clear" w:color="auto" w:fill="auto"/>
          </w:tcPr>
          <w:p w14:paraId="434D419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2/10</w:t>
            </w:r>
          </w:p>
        </w:tc>
        <w:tc>
          <w:tcPr>
            <w:tcW w:w="574" w:type="dxa"/>
            <w:shd w:val="clear" w:color="auto" w:fill="auto"/>
          </w:tcPr>
          <w:p w14:paraId="05DA62B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1/5</w:t>
            </w:r>
          </w:p>
        </w:tc>
        <w:tc>
          <w:tcPr>
            <w:tcW w:w="568" w:type="dxa"/>
            <w:shd w:val="clear" w:color="auto" w:fill="auto"/>
          </w:tcPr>
          <w:p w14:paraId="260937E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568" w:type="dxa"/>
            <w:shd w:val="clear" w:color="auto" w:fill="auto"/>
          </w:tcPr>
          <w:p w14:paraId="4AB19E2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1B0E5D0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6/30</w:t>
            </w:r>
          </w:p>
        </w:tc>
      </w:tr>
      <w:tr w:rsidR="006170EB" w:rsidRPr="00A71AEC" w14:paraId="4931A63F" w14:textId="77777777" w:rsidTr="00A71AEC">
        <w:trPr>
          <w:jc w:val="center"/>
        </w:trPr>
        <w:tc>
          <w:tcPr>
            <w:tcW w:w="518" w:type="dxa"/>
            <w:shd w:val="clear" w:color="auto" w:fill="auto"/>
          </w:tcPr>
          <w:p w14:paraId="56823A2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10</w:t>
            </w:r>
          </w:p>
        </w:tc>
        <w:tc>
          <w:tcPr>
            <w:tcW w:w="633" w:type="dxa"/>
            <w:shd w:val="clear" w:color="auto" w:fill="auto"/>
          </w:tcPr>
          <w:p w14:paraId="5CFD533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702" w:type="dxa"/>
            <w:shd w:val="clear" w:color="auto" w:fill="auto"/>
          </w:tcPr>
          <w:p w14:paraId="7D6F350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695" w:type="dxa"/>
            <w:shd w:val="clear" w:color="auto" w:fill="auto"/>
          </w:tcPr>
          <w:p w14:paraId="2E5266F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19</w:t>
            </w:r>
          </w:p>
        </w:tc>
        <w:tc>
          <w:tcPr>
            <w:tcW w:w="707" w:type="dxa"/>
            <w:shd w:val="clear" w:color="auto" w:fill="auto"/>
          </w:tcPr>
          <w:p w14:paraId="2A461E7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37</w:t>
            </w:r>
          </w:p>
        </w:tc>
        <w:tc>
          <w:tcPr>
            <w:tcW w:w="567" w:type="dxa"/>
            <w:shd w:val="clear" w:color="auto" w:fill="auto"/>
          </w:tcPr>
          <w:p w14:paraId="5F0BFFF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w:t>
            </w:r>
          </w:p>
        </w:tc>
        <w:tc>
          <w:tcPr>
            <w:tcW w:w="568" w:type="dxa"/>
            <w:shd w:val="clear" w:color="auto" w:fill="auto"/>
          </w:tcPr>
          <w:p w14:paraId="6A688CA9"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0/5</w:t>
            </w:r>
          </w:p>
        </w:tc>
        <w:tc>
          <w:tcPr>
            <w:tcW w:w="568" w:type="dxa"/>
            <w:shd w:val="clear" w:color="auto" w:fill="auto"/>
          </w:tcPr>
          <w:p w14:paraId="47E923FC"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0/4</w:t>
            </w:r>
          </w:p>
        </w:tc>
        <w:tc>
          <w:tcPr>
            <w:tcW w:w="558" w:type="dxa"/>
            <w:shd w:val="clear" w:color="auto" w:fill="auto"/>
          </w:tcPr>
          <w:p w14:paraId="5616464C"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0/10</w:t>
            </w:r>
          </w:p>
        </w:tc>
        <w:tc>
          <w:tcPr>
            <w:tcW w:w="574" w:type="dxa"/>
            <w:shd w:val="clear" w:color="auto" w:fill="auto"/>
          </w:tcPr>
          <w:p w14:paraId="2F93C3F4"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0/5</w:t>
            </w:r>
          </w:p>
        </w:tc>
        <w:tc>
          <w:tcPr>
            <w:tcW w:w="568" w:type="dxa"/>
            <w:shd w:val="clear" w:color="auto" w:fill="auto"/>
          </w:tcPr>
          <w:p w14:paraId="52D12229"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0/4</w:t>
            </w:r>
          </w:p>
        </w:tc>
        <w:tc>
          <w:tcPr>
            <w:tcW w:w="568" w:type="dxa"/>
            <w:shd w:val="clear" w:color="auto" w:fill="auto"/>
          </w:tcPr>
          <w:p w14:paraId="3C18536A"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0/2</w:t>
            </w:r>
          </w:p>
        </w:tc>
        <w:tc>
          <w:tcPr>
            <w:tcW w:w="706" w:type="dxa"/>
            <w:shd w:val="clear" w:color="auto" w:fill="auto"/>
          </w:tcPr>
          <w:p w14:paraId="0C44DF28" w14:textId="77777777" w:rsidR="006170EB" w:rsidRPr="00A71AEC" w:rsidRDefault="00D15C98" w:rsidP="00A71AEC">
            <w:pPr>
              <w:spacing w:after="0" w:line="240" w:lineRule="auto"/>
              <w:rPr>
                <w:rFonts w:ascii="Times New Roman" w:hAnsi="Times New Roman"/>
                <w:b/>
                <w:bCs/>
                <w:i/>
                <w:iCs/>
                <w:spacing w:val="-16"/>
              </w:rPr>
            </w:pPr>
            <w:r w:rsidRPr="00A71AEC">
              <w:rPr>
                <w:rFonts w:ascii="Times New Roman" w:hAnsi="Times New Roman"/>
                <w:spacing w:val="-16"/>
              </w:rPr>
              <w:t>0/30</w:t>
            </w:r>
          </w:p>
        </w:tc>
      </w:tr>
      <w:tr w:rsidR="006170EB" w:rsidRPr="00A71AEC" w14:paraId="18BA0ADC" w14:textId="77777777" w:rsidTr="00A71AEC">
        <w:trPr>
          <w:jc w:val="center"/>
        </w:trPr>
        <w:tc>
          <w:tcPr>
            <w:tcW w:w="518" w:type="dxa"/>
            <w:shd w:val="clear" w:color="auto" w:fill="auto"/>
          </w:tcPr>
          <w:p w14:paraId="10C398E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w:t>
            </w:r>
          </w:p>
        </w:tc>
        <w:tc>
          <w:tcPr>
            <w:tcW w:w="633" w:type="dxa"/>
            <w:shd w:val="clear" w:color="auto" w:fill="auto"/>
          </w:tcPr>
          <w:p w14:paraId="3ACCA8F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98</w:t>
            </w:r>
          </w:p>
        </w:tc>
        <w:tc>
          <w:tcPr>
            <w:tcW w:w="702" w:type="dxa"/>
            <w:shd w:val="clear" w:color="auto" w:fill="auto"/>
          </w:tcPr>
          <w:p w14:paraId="587B9CB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91</w:t>
            </w:r>
          </w:p>
        </w:tc>
        <w:tc>
          <w:tcPr>
            <w:tcW w:w="695" w:type="dxa"/>
            <w:shd w:val="clear" w:color="auto" w:fill="auto"/>
          </w:tcPr>
          <w:p w14:paraId="193727A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99</w:t>
            </w:r>
          </w:p>
        </w:tc>
        <w:tc>
          <w:tcPr>
            <w:tcW w:w="707" w:type="dxa"/>
            <w:shd w:val="clear" w:color="auto" w:fill="auto"/>
          </w:tcPr>
          <w:p w14:paraId="73F8834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92</w:t>
            </w:r>
          </w:p>
        </w:tc>
        <w:tc>
          <w:tcPr>
            <w:tcW w:w="567" w:type="dxa"/>
            <w:shd w:val="clear" w:color="auto" w:fill="auto"/>
          </w:tcPr>
          <w:p w14:paraId="1FD1770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41CF92B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533C748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514E8CF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0/10</w:t>
            </w:r>
          </w:p>
        </w:tc>
        <w:tc>
          <w:tcPr>
            <w:tcW w:w="574" w:type="dxa"/>
            <w:shd w:val="clear" w:color="auto" w:fill="auto"/>
          </w:tcPr>
          <w:p w14:paraId="4D83F07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59AC2F2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3D9936D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39DAC4B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0/30</w:t>
            </w:r>
          </w:p>
        </w:tc>
      </w:tr>
      <w:tr w:rsidR="006170EB" w:rsidRPr="00A71AEC" w14:paraId="33EBC221" w14:textId="77777777" w:rsidTr="00A71AEC">
        <w:trPr>
          <w:jc w:val="center"/>
        </w:trPr>
        <w:tc>
          <w:tcPr>
            <w:tcW w:w="518" w:type="dxa"/>
            <w:shd w:val="clear" w:color="auto" w:fill="auto"/>
          </w:tcPr>
          <w:p w14:paraId="343F53F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633" w:type="dxa"/>
            <w:shd w:val="clear" w:color="auto" w:fill="auto"/>
          </w:tcPr>
          <w:p w14:paraId="7C86085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21</w:t>
            </w:r>
          </w:p>
        </w:tc>
        <w:tc>
          <w:tcPr>
            <w:tcW w:w="702" w:type="dxa"/>
            <w:shd w:val="clear" w:color="auto" w:fill="auto"/>
          </w:tcPr>
          <w:p w14:paraId="3CFB065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18</w:t>
            </w:r>
          </w:p>
        </w:tc>
        <w:tc>
          <w:tcPr>
            <w:tcW w:w="695" w:type="dxa"/>
            <w:shd w:val="clear" w:color="auto" w:fill="auto"/>
          </w:tcPr>
          <w:p w14:paraId="052F008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w:t>
            </w:r>
          </w:p>
        </w:tc>
        <w:tc>
          <w:tcPr>
            <w:tcW w:w="707" w:type="dxa"/>
            <w:shd w:val="clear" w:color="auto" w:fill="auto"/>
          </w:tcPr>
          <w:p w14:paraId="7733714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66</w:t>
            </w:r>
          </w:p>
        </w:tc>
        <w:tc>
          <w:tcPr>
            <w:tcW w:w="567" w:type="dxa"/>
            <w:shd w:val="clear" w:color="auto" w:fill="auto"/>
          </w:tcPr>
          <w:p w14:paraId="0B8EEE1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w:t>
            </w:r>
          </w:p>
        </w:tc>
        <w:tc>
          <w:tcPr>
            <w:tcW w:w="568" w:type="dxa"/>
            <w:shd w:val="clear" w:color="auto" w:fill="auto"/>
          </w:tcPr>
          <w:p w14:paraId="0550D51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090B294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0C3A2C9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0/10</w:t>
            </w:r>
          </w:p>
        </w:tc>
        <w:tc>
          <w:tcPr>
            <w:tcW w:w="574" w:type="dxa"/>
            <w:shd w:val="clear" w:color="auto" w:fill="auto"/>
          </w:tcPr>
          <w:p w14:paraId="2ECD09A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0AF8F88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0C6251B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32E5C60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0/30</w:t>
            </w:r>
          </w:p>
        </w:tc>
      </w:tr>
      <w:tr w:rsidR="006170EB" w:rsidRPr="00A71AEC" w14:paraId="548A661D" w14:textId="77777777" w:rsidTr="00A71AEC">
        <w:trPr>
          <w:jc w:val="center"/>
        </w:trPr>
        <w:tc>
          <w:tcPr>
            <w:tcW w:w="518" w:type="dxa"/>
            <w:shd w:val="clear" w:color="auto" w:fill="auto"/>
          </w:tcPr>
          <w:p w14:paraId="76834AE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w:t>
            </w:r>
          </w:p>
        </w:tc>
        <w:tc>
          <w:tcPr>
            <w:tcW w:w="633" w:type="dxa"/>
            <w:shd w:val="clear" w:color="auto" w:fill="auto"/>
          </w:tcPr>
          <w:p w14:paraId="25DE1EE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96</w:t>
            </w:r>
          </w:p>
        </w:tc>
        <w:tc>
          <w:tcPr>
            <w:tcW w:w="702" w:type="dxa"/>
            <w:shd w:val="clear" w:color="auto" w:fill="auto"/>
          </w:tcPr>
          <w:p w14:paraId="5554050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87</w:t>
            </w:r>
          </w:p>
        </w:tc>
        <w:tc>
          <w:tcPr>
            <w:tcW w:w="695" w:type="dxa"/>
            <w:shd w:val="clear" w:color="auto" w:fill="auto"/>
          </w:tcPr>
          <w:p w14:paraId="1352464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99</w:t>
            </w:r>
          </w:p>
        </w:tc>
        <w:tc>
          <w:tcPr>
            <w:tcW w:w="707" w:type="dxa"/>
            <w:shd w:val="clear" w:color="auto" w:fill="auto"/>
          </w:tcPr>
          <w:p w14:paraId="565EA5A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104</w:t>
            </w:r>
          </w:p>
        </w:tc>
        <w:tc>
          <w:tcPr>
            <w:tcW w:w="567" w:type="dxa"/>
            <w:shd w:val="clear" w:color="auto" w:fill="auto"/>
          </w:tcPr>
          <w:p w14:paraId="0805B05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98</w:t>
            </w:r>
          </w:p>
        </w:tc>
        <w:tc>
          <w:tcPr>
            <w:tcW w:w="568" w:type="dxa"/>
            <w:shd w:val="clear" w:color="auto" w:fill="auto"/>
          </w:tcPr>
          <w:p w14:paraId="5D49D33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7437C86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2/4</w:t>
            </w:r>
          </w:p>
        </w:tc>
        <w:tc>
          <w:tcPr>
            <w:tcW w:w="558" w:type="dxa"/>
            <w:shd w:val="clear" w:color="auto" w:fill="auto"/>
          </w:tcPr>
          <w:p w14:paraId="1B0F195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3/10</w:t>
            </w:r>
          </w:p>
        </w:tc>
        <w:tc>
          <w:tcPr>
            <w:tcW w:w="574" w:type="dxa"/>
            <w:shd w:val="clear" w:color="auto" w:fill="auto"/>
          </w:tcPr>
          <w:p w14:paraId="2D4AF77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30037AA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568" w:type="dxa"/>
            <w:shd w:val="clear" w:color="auto" w:fill="auto"/>
          </w:tcPr>
          <w:p w14:paraId="1086036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706" w:type="dxa"/>
            <w:shd w:val="clear" w:color="auto" w:fill="auto"/>
          </w:tcPr>
          <w:p w14:paraId="003D8E5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7/30</w:t>
            </w:r>
          </w:p>
        </w:tc>
      </w:tr>
      <w:tr w:rsidR="006170EB" w:rsidRPr="00A71AEC" w14:paraId="7E5C5858" w14:textId="77777777" w:rsidTr="00A71AEC">
        <w:trPr>
          <w:jc w:val="center"/>
        </w:trPr>
        <w:tc>
          <w:tcPr>
            <w:tcW w:w="518" w:type="dxa"/>
            <w:shd w:val="clear" w:color="auto" w:fill="auto"/>
          </w:tcPr>
          <w:p w14:paraId="5C7C3D7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633" w:type="dxa"/>
            <w:shd w:val="clear" w:color="auto" w:fill="auto"/>
          </w:tcPr>
          <w:p w14:paraId="254E67F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42</w:t>
            </w:r>
          </w:p>
        </w:tc>
        <w:tc>
          <w:tcPr>
            <w:tcW w:w="702" w:type="dxa"/>
            <w:shd w:val="clear" w:color="auto" w:fill="auto"/>
          </w:tcPr>
          <w:p w14:paraId="4BF7BDA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58</w:t>
            </w:r>
          </w:p>
        </w:tc>
        <w:tc>
          <w:tcPr>
            <w:tcW w:w="695" w:type="dxa"/>
            <w:shd w:val="clear" w:color="auto" w:fill="auto"/>
          </w:tcPr>
          <w:p w14:paraId="7A34B09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19</w:t>
            </w:r>
          </w:p>
        </w:tc>
        <w:tc>
          <w:tcPr>
            <w:tcW w:w="707" w:type="dxa"/>
            <w:shd w:val="clear" w:color="auto" w:fill="auto"/>
          </w:tcPr>
          <w:p w14:paraId="5266D49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39</w:t>
            </w:r>
          </w:p>
        </w:tc>
        <w:tc>
          <w:tcPr>
            <w:tcW w:w="567" w:type="dxa"/>
            <w:shd w:val="clear" w:color="auto" w:fill="auto"/>
          </w:tcPr>
          <w:p w14:paraId="4DF7636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61</w:t>
            </w:r>
          </w:p>
        </w:tc>
        <w:tc>
          <w:tcPr>
            <w:tcW w:w="568" w:type="dxa"/>
            <w:shd w:val="clear" w:color="auto" w:fill="auto"/>
          </w:tcPr>
          <w:p w14:paraId="26AC39A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382BDAF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057AEFE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1/10</w:t>
            </w:r>
          </w:p>
        </w:tc>
        <w:tc>
          <w:tcPr>
            <w:tcW w:w="574" w:type="dxa"/>
            <w:shd w:val="clear" w:color="auto" w:fill="auto"/>
          </w:tcPr>
          <w:p w14:paraId="5852F63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01BB9E4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15B2DF0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0A23115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1/30</w:t>
            </w:r>
          </w:p>
        </w:tc>
      </w:tr>
      <w:tr w:rsidR="006170EB" w:rsidRPr="00A71AEC" w14:paraId="791783BC" w14:textId="77777777" w:rsidTr="00A71AEC">
        <w:trPr>
          <w:jc w:val="center"/>
        </w:trPr>
        <w:tc>
          <w:tcPr>
            <w:tcW w:w="518" w:type="dxa"/>
            <w:shd w:val="clear" w:color="auto" w:fill="auto"/>
          </w:tcPr>
          <w:p w14:paraId="37B614D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15</w:t>
            </w:r>
          </w:p>
        </w:tc>
        <w:tc>
          <w:tcPr>
            <w:tcW w:w="633" w:type="dxa"/>
            <w:shd w:val="clear" w:color="auto" w:fill="auto"/>
          </w:tcPr>
          <w:p w14:paraId="5F4A531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45</w:t>
            </w:r>
          </w:p>
        </w:tc>
        <w:tc>
          <w:tcPr>
            <w:tcW w:w="702" w:type="dxa"/>
            <w:shd w:val="clear" w:color="auto" w:fill="auto"/>
          </w:tcPr>
          <w:p w14:paraId="4162BB80"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21</w:t>
            </w:r>
          </w:p>
        </w:tc>
        <w:tc>
          <w:tcPr>
            <w:tcW w:w="695" w:type="dxa"/>
            <w:shd w:val="clear" w:color="auto" w:fill="auto"/>
          </w:tcPr>
          <w:p w14:paraId="03BFFA0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87</w:t>
            </w:r>
          </w:p>
        </w:tc>
        <w:tc>
          <w:tcPr>
            <w:tcW w:w="707" w:type="dxa"/>
            <w:shd w:val="clear" w:color="auto" w:fill="auto"/>
          </w:tcPr>
          <w:p w14:paraId="76E8119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47</w:t>
            </w:r>
          </w:p>
        </w:tc>
        <w:tc>
          <w:tcPr>
            <w:tcW w:w="567" w:type="dxa"/>
            <w:shd w:val="clear" w:color="auto" w:fill="auto"/>
          </w:tcPr>
          <w:p w14:paraId="3FF8DF3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25</w:t>
            </w:r>
          </w:p>
        </w:tc>
        <w:tc>
          <w:tcPr>
            <w:tcW w:w="568" w:type="dxa"/>
            <w:shd w:val="clear" w:color="auto" w:fill="auto"/>
          </w:tcPr>
          <w:p w14:paraId="49994FA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199266E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2081A71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1/10</w:t>
            </w:r>
          </w:p>
        </w:tc>
        <w:tc>
          <w:tcPr>
            <w:tcW w:w="574" w:type="dxa"/>
            <w:shd w:val="clear" w:color="auto" w:fill="auto"/>
          </w:tcPr>
          <w:p w14:paraId="28F3358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1558792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7E2C4DC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04B0436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1/30</w:t>
            </w:r>
          </w:p>
        </w:tc>
      </w:tr>
      <w:tr w:rsidR="006170EB" w:rsidRPr="00A71AEC" w14:paraId="2F7B37FD" w14:textId="77777777" w:rsidTr="00A71AEC">
        <w:trPr>
          <w:jc w:val="center"/>
        </w:trPr>
        <w:tc>
          <w:tcPr>
            <w:tcW w:w="518" w:type="dxa"/>
            <w:shd w:val="clear" w:color="auto" w:fill="auto"/>
          </w:tcPr>
          <w:p w14:paraId="1625CD0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16</w:t>
            </w:r>
          </w:p>
        </w:tc>
        <w:tc>
          <w:tcPr>
            <w:tcW w:w="633" w:type="dxa"/>
            <w:shd w:val="clear" w:color="auto" w:fill="auto"/>
          </w:tcPr>
          <w:p w14:paraId="4336E6E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37</w:t>
            </w:r>
          </w:p>
        </w:tc>
        <w:tc>
          <w:tcPr>
            <w:tcW w:w="702" w:type="dxa"/>
            <w:shd w:val="clear" w:color="auto" w:fill="auto"/>
          </w:tcPr>
          <w:p w14:paraId="2C44D43B"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32</w:t>
            </w:r>
          </w:p>
        </w:tc>
        <w:tc>
          <w:tcPr>
            <w:tcW w:w="695" w:type="dxa"/>
            <w:shd w:val="clear" w:color="auto" w:fill="auto"/>
          </w:tcPr>
          <w:p w14:paraId="678EAAA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45</w:t>
            </w:r>
          </w:p>
        </w:tc>
        <w:tc>
          <w:tcPr>
            <w:tcW w:w="707" w:type="dxa"/>
            <w:shd w:val="clear" w:color="auto" w:fill="auto"/>
          </w:tcPr>
          <w:p w14:paraId="6734E277"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23</w:t>
            </w:r>
          </w:p>
        </w:tc>
        <w:tc>
          <w:tcPr>
            <w:tcW w:w="567" w:type="dxa"/>
            <w:shd w:val="clear" w:color="auto" w:fill="auto"/>
          </w:tcPr>
          <w:p w14:paraId="72E0D25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58</w:t>
            </w:r>
          </w:p>
        </w:tc>
        <w:tc>
          <w:tcPr>
            <w:tcW w:w="568" w:type="dxa"/>
            <w:shd w:val="clear" w:color="auto" w:fill="auto"/>
          </w:tcPr>
          <w:p w14:paraId="35F2F92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454E009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5C79D1D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0/10</w:t>
            </w:r>
          </w:p>
        </w:tc>
        <w:tc>
          <w:tcPr>
            <w:tcW w:w="574" w:type="dxa"/>
            <w:shd w:val="clear" w:color="auto" w:fill="auto"/>
          </w:tcPr>
          <w:p w14:paraId="4873D9E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1F7C5B7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00CE0CE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7BD1822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0/30</w:t>
            </w:r>
          </w:p>
        </w:tc>
      </w:tr>
      <w:tr w:rsidR="006170EB" w:rsidRPr="00A71AEC" w14:paraId="115B5B49" w14:textId="77777777" w:rsidTr="00A71AEC">
        <w:trPr>
          <w:jc w:val="center"/>
        </w:trPr>
        <w:tc>
          <w:tcPr>
            <w:tcW w:w="518" w:type="dxa"/>
            <w:shd w:val="clear" w:color="auto" w:fill="auto"/>
          </w:tcPr>
          <w:p w14:paraId="251FA2E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17</w:t>
            </w:r>
          </w:p>
        </w:tc>
        <w:tc>
          <w:tcPr>
            <w:tcW w:w="633" w:type="dxa"/>
            <w:shd w:val="clear" w:color="auto" w:fill="auto"/>
          </w:tcPr>
          <w:p w14:paraId="49B84D88"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32</w:t>
            </w:r>
          </w:p>
        </w:tc>
        <w:tc>
          <w:tcPr>
            <w:tcW w:w="702" w:type="dxa"/>
            <w:shd w:val="clear" w:color="auto" w:fill="auto"/>
          </w:tcPr>
          <w:p w14:paraId="3E83324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bCs/>
                <w:iCs/>
                <w:spacing w:val="-16"/>
              </w:rPr>
              <w:t>53</w:t>
            </w:r>
          </w:p>
        </w:tc>
        <w:tc>
          <w:tcPr>
            <w:tcW w:w="695" w:type="dxa"/>
            <w:shd w:val="clear" w:color="auto" w:fill="auto"/>
          </w:tcPr>
          <w:p w14:paraId="4A2D69E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707" w:type="dxa"/>
            <w:shd w:val="clear" w:color="auto" w:fill="auto"/>
          </w:tcPr>
          <w:p w14:paraId="4B45542E"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61</w:t>
            </w:r>
          </w:p>
        </w:tc>
        <w:tc>
          <w:tcPr>
            <w:tcW w:w="567" w:type="dxa"/>
            <w:shd w:val="clear" w:color="auto" w:fill="auto"/>
          </w:tcPr>
          <w:p w14:paraId="3DBB538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23</w:t>
            </w:r>
          </w:p>
        </w:tc>
        <w:tc>
          <w:tcPr>
            <w:tcW w:w="568" w:type="dxa"/>
            <w:shd w:val="clear" w:color="auto" w:fill="auto"/>
          </w:tcPr>
          <w:p w14:paraId="56816F8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3EA0CBC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58" w:type="dxa"/>
            <w:shd w:val="clear" w:color="auto" w:fill="auto"/>
          </w:tcPr>
          <w:p w14:paraId="39B5CE62"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1/10</w:t>
            </w:r>
          </w:p>
        </w:tc>
        <w:tc>
          <w:tcPr>
            <w:tcW w:w="574" w:type="dxa"/>
            <w:shd w:val="clear" w:color="auto" w:fill="auto"/>
          </w:tcPr>
          <w:p w14:paraId="0EBB579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441B714D"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0/4</w:t>
            </w:r>
          </w:p>
        </w:tc>
        <w:tc>
          <w:tcPr>
            <w:tcW w:w="568" w:type="dxa"/>
            <w:shd w:val="clear" w:color="auto" w:fill="auto"/>
          </w:tcPr>
          <w:p w14:paraId="6BD67B1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0/2</w:t>
            </w:r>
          </w:p>
        </w:tc>
        <w:tc>
          <w:tcPr>
            <w:tcW w:w="706" w:type="dxa"/>
            <w:shd w:val="clear" w:color="auto" w:fill="auto"/>
          </w:tcPr>
          <w:p w14:paraId="1E3C7B85"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1/30</w:t>
            </w:r>
          </w:p>
        </w:tc>
      </w:tr>
      <w:tr w:rsidR="006170EB" w:rsidRPr="00A71AEC" w14:paraId="53102D65" w14:textId="77777777" w:rsidTr="00A71AEC">
        <w:trPr>
          <w:trHeight w:val="60"/>
          <w:jc w:val="center"/>
        </w:trPr>
        <w:tc>
          <w:tcPr>
            <w:tcW w:w="518" w:type="dxa"/>
            <w:shd w:val="clear" w:color="auto" w:fill="auto"/>
          </w:tcPr>
          <w:p w14:paraId="78C9BB4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18</w:t>
            </w:r>
          </w:p>
        </w:tc>
        <w:tc>
          <w:tcPr>
            <w:tcW w:w="633" w:type="dxa"/>
            <w:shd w:val="clear" w:color="auto" w:fill="auto"/>
          </w:tcPr>
          <w:p w14:paraId="6E23C3F3"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w:t>
            </w:r>
          </w:p>
        </w:tc>
        <w:tc>
          <w:tcPr>
            <w:tcW w:w="702" w:type="dxa"/>
            <w:shd w:val="clear" w:color="auto" w:fill="auto"/>
          </w:tcPr>
          <w:p w14:paraId="6D214406"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bCs/>
                <w:iCs/>
                <w:spacing w:val="-16"/>
              </w:rPr>
              <w:t>3</w:t>
            </w:r>
          </w:p>
        </w:tc>
        <w:tc>
          <w:tcPr>
            <w:tcW w:w="695" w:type="dxa"/>
            <w:shd w:val="clear" w:color="auto" w:fill="auto"/>
          </w:tcPr>
          <w:p w14:paraId="303B990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5</w:t>
            </w:r>
          </w:p>
        </w:tc>
        <w:tc>
          <w:tcPr>
            <w:tcW w:w="707" w:type="dxa"/>
            <w:shd w:val="clear" w:color="auto" w:fill="auto"/>
          </w:tcPr>
          <w:p w14:paraId="796AB5A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7</w:t>
            </w:r>
          </w:p>
        </w:tc>
        <w:tc>
          <w:tcPr>
            <w:tcW w:w="567" w:type="dxa"/>
            <w:shd w:val="clear" w:color="auto" w:fill="auto"/>
          </w:tcPr>
          <w:p w14:paraId="0DC88BA9"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27</w:t>
            </w:r>
          </w:p>
        </w:tc>
        <w:tc>
          <w:tcPr>
            <w:tcW w:w="568" w:type="dxa"/>
            <w:shd w:val="clear" w:color="auto" w:fill="auto"/>
          </w:tcPr>
          <w:p w14:paraId="61A295C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3557F24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1/4</w:t>
            </w:r>
          </w:p>
        </w:tc>
        <w:tc>
          <w:tcPr>
            <w:tcW w:w="558" w:type="dxa"/>
            <w:shd w:val="clear" w:color="auto" w:fill="auto"/>
          </w:tcPr>
          <w:p w14:paraId="09F5FCCA"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0/10</w:t>
            </w:r>
          </w:p>
        </w:tc>
        <w:tc>
          <w:tcPr>
            <w:tcW w:w="574" w:type="dxa"/>
            <w:shd w:val="clear" w:color="auto" w:fill="auto"/>
          </w:tcPr>
          <w:p w14:paraId="3CEF7BF1"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0/5</w:t>
            </w:r>
          </w:p>
        </w:tc>
        <w:tc>
          <w:tcPr>
            <w:tcW w:w="568" w:type="dxa"/>
            <w:shd w:val="clear" w:color="auto" w:fill="auto"/>
          </w:tcPr>
          <w:p w14:paraId="4A72ACFC"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2/4</w:t>
            </w:r>
          </w:p>
        </w:tc>
        <w:tc>
          <w:tcPr>
            <w:tcW w:w="568" w:type="dxa"/>
            <w:shd w:val="clear" w:color="auto" w:fill="auto"/>
          </w:tcPr>
          <w:p w14:paraId="2C63109F"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1/2</w:t>
            </w:r>
          </w:p>
        </w:tc>
        <w:tc>
          <w:tcPr>
            <w:tcW w:w="706" w:type="dxa"/>
            <w:shd w:val="clear" w:color="auto" w:fill="auto"/>
          </w:tcPr>
          <w:p w14:paraId="6F816BC4" w14:textId="77777777" w:rsidR="006170EB" w:rsidRPr="00A71AEC" w:rsidRDefault="00D15C98" w:rsidP="00A71AEC">
            <w:pPr>
              <w:spacing w:after="0" w:line="240" w:lineRule="auto"/>
              <w:rPr>
                <w:rFonts w:ascii="Times New Roman" w:hAnsi="Times New Roman"/>
                <w:spacing w:val="-16"/>
              </w:rPr>
            </w:pPr>
            <w:r w:rsidRPr="00A71AEC">
              <w:rPr>
                <w:rFonts w:ascii="Times New Roman" w:hAnsi="Times New Roman"/>
                <w:spacing w:val="-16"/>
              </w:rPr>
              <w:t>4/30</w:t>
            </w:r>
          </w:p>
        </w:tc>
      </w:tr>
    </w:tbl>
    <w:p w14:paraId="2EAA6AD0" w14:textId="77777777" w:rsidR="006170EB" w:rsidRDefault="006170EB">
      <w:pPr>
        <w:spacing w:after="0" w:line="240" w:lineRule="auto"/>
        <w:rPr>
          <w:lang w:val="en-US"/>
        </w:rPr>
      </w:pPr>
    </w:p>
    <w:p w14:paraId="5AD06F59" w14:textId="77777777" w:rsidR="006170EB" w:rsidRDefault="006170EB">
      <w:pPr>
        <w:spacing w:after="0" w:line="480" w:lineRule="auto"/>
        <w:ind w:left="1134"/>
        <w:jc w:val="both"/>
        <w:rPr>
          <w:rFonts w:ascii="Times New Roman" w:hAnsi="Times New Roman"/>
          <w:lang w:val="en-US"/>
        </w:rPr>
      </w:pPr>
    </w:p>
    <w:p w14:paraId="4F7A1056"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5CAC780E"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64D6D0EF"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2C7F987E"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2ADBD5B7"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12F56D13"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7B0C4B7D"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10FBB1FA"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766F2370"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38205E45" w14:textId="77777777" w:rsidR="00EA7619" w:rsidRDefault="00EA7619">
      <w:pPr>
        <w:spacing w:after="0" w:line="480" w:lineRule="auto"/>
        <w:ind w:left="1134"/>
        <w:jc w:val="both"/>
        <w:rPr>
          <w:rFonts w:ascii="Times New Roman" w:hAnsi="Times New Roman"/>
          <w:bCs/>
          <w:strike/>
          <w:color w:val="FF0000"/>
          <w:sz w:val="20"/>
          <w:szCs w:val="20"/>
          <w:lang w:val="en-US"/>
        </w:rPr>
      </w:pPr>
    </w:p>
    <w:p w14:paraId="5A1420D7" w14:textId="77777777" w:rsidR="006170EB" w:rsidRPr="00EA7619" w:rsidRDefault="00D15C98">
      <w:pPr>
        <w:spacing w:after="0" w:line="480" w:lineRule="auto"/>
        <w:ind w:left="1134"/>
        <w:jc w:val="both"/>
        <w:rPr>
          <w:rFonts w:ascii="Times New Roman" w:hAnsi="Times New Roman"/>
          <w:bCs/>
          <w:color w:val="auto"/>
          <w:sz w:val="20"/>
          <w:szCs w:val="20"/>
          <w:lang w:val="en-US"/>
        </w:rPr>
      </w:pPr>
      <w:r w:rsidRPr="00EA7619">
        <w:rPr>
          <w:rFonts w:ascii="Times New Roman" w:hAnsi="Times New Roman"/>
          <w:bCs/>
          <w:color w:val="auto"/>
          <w:sz w:val="20"/>
          <w:szCs w:val="20"/>
          <w:lang w:val="en-US"/>
        </w:rPr>
        <w:t>Legend: AS, problems with attention and safety; C, atypical communication, and development; CASD, checklist for autism spectrum disorder; COM, communication skills; DLS, daily living skills; M, mood; MS, motor skills; P, perseveration; Sbj, subjects; SI, problems with social interaction; SOC, socialization; SS, somatosensory disturbance; VABS II, Vineland Adaptive Behavior Scales II.</w:t>
      </w:r>
    </w:p>
    <w:p w14:paraId="513CC786" w14:textId="77777777" w:rsidR="006170EB" w:rsidRPr="00EA7619" w:rsidRDefault="00D15C98">
      <w:pPr>
        <w:spacing w:after="0" w:line="480" w:lineRule="auto"/>
        <w:ind w:left="1134"/>
        <w:jc w:val="both"/>
        <w:rPr>
          <w:rFonts w:ascii="Times New Roman" w:hAnsi="Times New Roman"/>
          <w:bCs/>
          <w:color w:val="auto"/>
          <w:sz w:val="20"/>
          <w:szCs w:val="20"/>
          <w:lang w:val="en-US"/>
        </w:rPr>
      </w:pPr>
      <w:r w:rsidRPr="00EA7619">
        <w:rPr>
          <w:rFonts w:ascii="Times New Roman" w:hAnsi="Times New Roman"/>
          <w:bCs/>
          <w:color w:val="auto"/>
          <w:sz w:val="20"/>
          <w:szCs w:val="20"/>
          <w:lang w:val="en-US"/>
        </w:rPr>
        <w:t>VABS scores: percentile (°p).</w:t>
      </w:r>
    </w:p>
    <w:p w14:paraId="23BF3D58" w14:textId="77777777" w:rsidR="006170EB" w:rsidRDefault="006170EB">
      <w:pPr>
        <w:spacing w:after="0" w:line="480" w:lineRule="auto"/>
        <w:ind w:left="1134"/>
        <w:jc w:val="both"/>
        <w:rPr>
          <w:rFonts w:ascii="Times New Roman" w:hAnsi="Times New Roman"/>
          <w:bCs/>
          <w:sz w:val="20"/>
          <w:szCs w:val="20"/>
          <w:lang w:val="en-US"/>
        </w:rPr>
      </w:pPr>
    </w:p>
    <w:p w14:paraId="7AA10E64" w14:textId="77777777" w:rsidR="006170EB" w:rsidRDefault="00D15C98">
      <w:pPr>
        <w:spacing w:after="0" w:line="480" w:lineRule="auto"/>
        <w:ind w:firstLine="1134"/>
        <w:jc w:val="both"/>
        <w:rPr>
          <w:rFonts w:ascii="Times New Roman" w:hAnsi="Times New Roman"/>
          <w:b/>
          <w:lang w:val="en-US"/>
        </w:rPr>
      </w:pPr>
      <w:r>
        <w:rPr>
          <w:rFonts w:ascii="Times New Roman" w:hAnsi="Times New Roman"/>
          <w:b/>
          <w:lang w:val="en-US"/>
        </w:rPr>
        <w:t>Table 4 - Child behavior checklist (CBCL) results.</w:t>
      </w:r>
    </w:p>
    <w:tbl>
      <w:tblPr>
        <w:tblW w:w="7513"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firstRow="1" w:lastRow="0" w:firstColumn="1" w:lastColumn="0" w:noHBand="0" w:noVBand="1"/>
      </w:tblPr>
      <w:tblGrid>
        <w:gridCol w:w="3967"/>
        <w:gridCol w:w="1133"/>
        <w:gridCol w:w="1139"/>
        <w:gridCol w:w="1274"/>
      </w:tblGrid>
      <w:tr w:rsidR="006170EB" w:rsidRPr="00A71AEC" w14:paraId="6B76FE2F" w14:textId="77777777" w:rsidTr="00A71AEC">
        <w:tc>
          <w:tcPr>
            <w:tcW w:w="3966" w:type="dxa"/>
            <w:shd w:val="clear" w:color="auto" w:fill="auto"/>
            <w:vAlign w:val="center"/>
          </w:tcPr>
          <w:p w14:paraId="0FB1FFBA" w14:textId="77777777" w:rsidR="006170EB" w:rsidRPr="00A71AEC" w:rsidRDefault="006170EB" w:rsidP="00A71AEC">
            <w:pPr>
              <w:spacing w:after="0" w:line="276" w:lineRule="auto"/>
              <w:jc w:val="center"/>
              <w:rPr>
                <w:rFonts w:ascii="Times New Roman" w:hAnsi="Times New Roman"/>
                <w:b/>
                <w:bCs/>
                <w:spacing w:val="-16"/>
                <w:lang w:val="en-US"/>
              </w:rPr>
            </w:pPr>
          </w:p>
        </w:tc>
        <w:tc>
          <w:tcPr>
            <w:tcW w:w="1133" w:type="dxa"/>
            <w:shd w:val="clear" w:color="auto" w:fill="auto"/>
            <w:vAlign w:val="center"/>
          </w:tcPr>
          <w:p w14:paraId="3AAC3D8A" w14:textId="77777777" w:rsidR="006170EB" w:rsidRPr="00A71AEC" w:rsidRDefault="00D15C98" w:rsidP="00A71AEC">
            <w:pPr>
              <w:spacing w:after="0" w:line="276" w:lineRule="auto"/>
              <w:jc w:val="center"/>
              <w:rPr>
                <w:rFonts w:ascii="Times New Roman" w:hAnsi="Times New Roman"/>
                <w:b/>
                <w:bCs/>
                <w:spacing w:val="-16"/>
                <w:lang w:val="en-US"/>
              </w:rPr>
            </w:pPr>
            <w:r w:rsidRPr="00A71AEC">
              <w:rPr>
                <w:rFonts w:ascii="Times New Roman" w:hAnsi="Times New Roman"/>
                <w:b/>
                <w:bCs/>
                <w:spacing w:val="-16"/>
                <w:lang w:val="en-US"/>
              </w:rPr>
              <w:t>Normal</w:t>
            </w:r>
          </w:p>
        </w:tc>
        <w:tc>
          <w:tcPr>
            <w:tcW w:w="1139" w:type="dxa"/>
            <w:shd w:val="clear" w:color="auto" w:fill="auto"/>
            <w:vAlign w:val="center"/>
          </w:tcPr>
          <w:p w14:paraId="7CC1AF18" w14:textId="77777777" w:rsidR="006170EB" w:rsidRPr="00A71AEC" w:rsidRDefault="00D15C98" w:rsidP="00A71AEC">
            <w:pPr>
              <w:spacing w:after="0" w:line="276" w:lineRule="auto"/>
              <w:jc w:val="center"/>
              <w:rPr>
                <w:rFonts w:ascii="Times New Roman" w:hAnsi="Times New Roman"/>
                <w:b/>
                <w:bCs/>
                <w:spacing w:val="-16"/>
                <w:lang w:val="en-US"/>
              </w:rPr>
            </w:pPr>
            <w:r w:rsidRPr="00A71AEC">
              <w:rPr>
                <w:rFonts w:ascii="Times New Roman" w:hAnsi="Times New Roman"/>
                <w:b/>
                <w:bCs/>
                <w:spacing w:val="-16"/>
                <w:lang w:val="en-US"/>
              </w:rPr>
              <w:t>Borderline</w:t>
            </w:r>
          </w:p>
        </w:tc>
        <w:tc>
          <w:tcPr>
            <w:tcW w:w="1274" w:type="dxa"/>
            <w:shd w:val="clear" w:color="auto" w:fill="auto"/>
            <w:vAlign w:val="center"/>
          </w:tcPr>
          <w:p w14:paraId="2D67355D" w14:textId="77777777" w:rsidR="006170EB" w:rsidRPr="00A71AEC" w:rsidRDefault="00D15C98" w:rsidP="00A71AEC">
            <w:pPr>
              <w:spacing w:after="0" w:line="276" w:lineRule="auto"/>
              <w:jc w:val="center"/>
              <w:rPr>
                <w:rFonts w:ascii="Times New Roman" w:hAnsi="Times New Roman"/>
                <w:b/>
                <w:bCs/>
                <w:spacing w:val="-16"/>
                <w:lang w:val="en-US"/>
              </w:rPr>
            </w:pPr>
            <w:r w:rsidRPr="00A71AEC">
              <w:rPr>
                <w:rFonts w:ascii="Times New Roman" w:hAnsi="Times New Roman"/>
                <w:b/>
                <w:bCs/>
                <w:spacing w:val="-16"/>
                <w:lang w:val="en-US"/>
              </w:rPr>
              <w:t>C. significant</w:t>
            </w:r>
          </w:p>
        </w:tc>
      </w:tr>
      <w:tr w:rsidR="006170EB" w:rsidRPr="00A71AEC" w14:paraId="43022DCA" w14:textId="77777777" w:rsidTr="00A71AEC">
        <w:trPr>
          <w:trHeight w:val="327"/>
        </w:trPr>
        <w:tc>
          <w:tcPr>
            <w:tcW w:w="3966" w:type="dxa"/>
            <w:shd w:val="clear" w:color="auto" w:fill="auto"/>
          </w:tcPr>
          <w:p w14:paraId="4F024344" w14:textId="77777777" w:rsidR="006170EB" w:rsidRPr="00A71AEC" w:rsidRDefault="00D15C98" w:rsidP="00A71AEC">
            <w:pPr>
              <w:spacing w:after="0" w:line="276" w:lineRule="auto"/>
              <w:rPr>
                <w:rFonts w:ascii="Times New Roman" w:hAnsi="Times New Roman"/>
                <w:b/>
                <w:bCs/>
                <w:color w:val="000000"/>
                <w:spacing w:val="-16"/>
                <w:lang w:val="en-US"/>
              </w:rPr>
            </w:pPr>
            <w:r w:rsidRPr="00A71AEC">
              <w:rPr>
                <w:rFonts w:ascii="Times New Roman" w:hAnsi="Times New Roman"/>
                <w:b/>
                <w:bCs/>
                <w:color w:val="000000"/>
                <w:spacing w:val="-16"/>
                <w:lang w:val="en-US"/>
              </w:rPr>
              <w:t xml:space="preserve">CBCL 1½-5 and 6-18 composite scales </w:t>
            </w:r>
            <w:r w:rsidRPr="00A71AEC">
              <w:rPr>
                <w:rFonts w:ascii="Times New Roman" w:hAnsi="Times New Roman"/>
                <w:color w:val="000000"/>
                <w:spacing w:val="-16"/>
                <w:lang w:val="en-US"/>
              </w:rPr>
              <w:t>(</w:t>
            </w:r>
            <w:r w:rsidRPr="00A71AEC">
              <w:rPr>
                <w:rFonts w:ascii="Times New Roman" w:hAnsi="Times New Roman"/>
                <w:i/>
                <w:iCs/>
                <w:color w:val="000000"/>
                <w:spacing w:val="-16"/>
                <w:lang w:val="en-US"/>
              </w:rPr>
              <w:t>N</w:t>
            </w:r>
            <w:r w:rsidRPr="00A71AEC">
              <w:rPr>
                <w:rFonts w:ascii="Times New Roman" w:hAnsi="Times New Roman"/>
                <w:color w:val="000000"/>
                <w:spacing w:val="-16"/>
                <w:lang w:val="en-US"/>
              </w:rPr>
              <w:t>=18)</w:t>
            </w:r>
          </w:p>
          <w:p w14:paraId="24DB5AA7"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Total problems</w:t>
            </w:r>
          </w:p>
          <w:p w14:paraId="0E316F12"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Internalizing problems</w:t>
            </w:r>
          </w:p>
          <w:p w14:paraId="197EB412" w14:textId="77777777" w:rsidR="006170EB" w:rsidRPr="00A71AEC" w:rsidRDefault="00D15C98" w:rsidP="00A71AEC">
            <w:pPr>
              <w:spacing w:after="0" w:line="276" w:lineRule="auto"/>
              <w:ind w:firstLine="313"/>
              <w:rPr>
                <w:rFonts w:ascii="Times New Roman" w:hAnsi="Times New Roman"/>
                <w:b/>
                <w:bCs/>
                <w:color w:val="000000"/>
                <w:spacing w:val="-16"/>
                <w:lang w:val="en-US"/>
              </w:rPr>
            </w:pPr>
            <w:r w:rsidRPr="00A71AEC">
              <w:rPr>
                <w:rFonts w:ascii="Times New Roman" w:hAnsi="Times New Roman"/>
                <w:color w:val="000000"/>
                <w:spacing w:val="-16"/>
                <w:lang w:val="en-US"/>
              </w:rPr>
              <w:t>Externalizing problems</w:t>
            </w:r>
          </w:p>
        </w:tc>
        <w:tc>
          <w:tcPr>
            <w:tcW w:w="1133" w:type="dxa"/>
            <w:shd w:val="clear" w:color="auto" w:fill="auto"/>
          </w:tcPr>
          <w:p w14:paraId="2CCEE8A9" w14:textId="77777777" w:rsidR="006170EB" w:rsidRPr="00A71AEC" w:rsidRDefault="006170EB" w:rsidP="00A71AEC">
            <w:pPr>
              <w:spacing w:after="0" w:line="276" w:lineRule="auto"/>
              <w:jc w:val="center"/>
              <w:rPr>
                <w:rFonts w:ascii="Times New Roman" w:hAnsi="Times New Roman"/>
                <w:color w:val="000000"/>
                <w:spacing w:val="-16"/>
                <w:lang w:val="en-US"/>
              </w:rPr>
            </w:pPr>
          </w:p>
          <w:p w14:paraId="18C0783C"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13 (72)</w:t>
            </w:r>
          </w:p>
          <w:p w14:paraId="2AD14B4C"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12 (66)</w:t>
            </w:r>
          </w:p>
          <w:p w14:paraId="3A42709C"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16 (90)</w:t>
            </w:r>
          </w:p>
        </w:tc>
        <w:tc>
          <w:tcPr>
            <w:tcW w:w="1139" w:type="dxa"/>
            <w:shd w:val="clear" w:color="auto" w:fill="auto"/>
          </w:tcPr>
          <w:p w14:paraId="21E6EDE3" w14:textId="77777777" w:rsidR="006170EB" w:rsidRPr="00A71AEC" w:rsidRDefault="006170EB" w:rsidP="00A71AEC">
            <w:pPr>
              <w:spacing w:after="0" w:line="276" w:lineRule="auto"/>
              <w:jc w:val="center"/>
              <w:rPr>
                <w:rFonts w:ascii="Times New Roman" w:hAnsi="Times New Roman"/>
                <w:color w:val="000000"/>
                <w:spacing w:val="-16"/>
                <w:lang w:val="en-US"/>
              </w:rPr>
            </w:pPr>
          </w:p>
          <w:p w14:paraId="3340CF71"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3 (17)</w:t>
            </w:r>
          </w:p>
          <w:p w14:paraId="586301CF"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3 (17)</w:t>
            </w:r>
          </w:p>
          <w:p w14:paraId="69494148"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 (5)</w:t>
            </w:r>
          </w:p>
        </w:tc>
        <w:tc>
          <w:tcPr>
            <w:tcW w:w="1274" w:type="dxa"/>
            <w:shd w:val="clear" w:color="auto" w:fill="auto"/>
          </w:tcPr>
          <w:p w14:paraId="3A5A5441" w14:textId="77777777" w:rsidR="006170EB" w:rsidRPr="00A71AEC" w:rsidRDefault="006170EB" w:rsidP="00A71AEC">
            <w:pPr>
              <w:spacing w:after="0" w:line="276" w:lineRule="auto"/>
              <w:jc w:val="center"/>
              <w:rPr>
                <w:rFonts w:ascii="Times New Roman" w:hAnsi="Times New Roman"/>
                <w:color w:val="000000"/>
                <w:spacing w:val="-16"/>
                <w:lang w:val="en-US"/>
              </w:rPr>
            </w:pPr>
          </w:p>
          <w:p w14:paraId="365F0713"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2 (11)</w:t>
            </w:r>
          </w:p>
          <w:p w14:paraId="769F25FC"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3 (17)</w:t>
            </w:r>
          </w:p>
          <w:p w14:paraId="52813CB1"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 (5)</w:t>
            </w:r>
          </w:p>
        </w:tc>
      </w:tr>
      <w:tr w:rsidR="006170EB" w:rsidRPr="00A71AEC" w14:paraId="4AFF9D99" w14:textId="77777777" w:rsidTr="00A71AEC">
        <w:tc>
          <w:tcPr>
            <w:tcW w:w="3966" w:type="dxa"/>
            <w:shd w:val="clear" w:color="auto" w:fill="auto"/>
          </w:tcPr>
          <w:p w14:paraId="45A36FE8" w14:textId="77777777" w:rsidR="006170EB" w:rsidRPr="00A71AEC" w:rsidRDefault="00D15C98" w:rsidP="00A71AEC">
            <w:pPr>
              <w:spacing w:after="0" w:line="276" w:lineRule="auto"/>
              <w:rPr>
                <w:rFonts w:ascii="Times New Roman" w:hAnsi="Times New Roman"/>
                <w:b/>
                <w:bCs/>
                <w:color w:val="000000"/>
                <w:spacing w:val="-16"/>
                <w:lang w:val="en-US"/>
              </w:rPr>
            </w:pPr>
            <w:r w:rsidRPr="00A71AEC">
              <w:rPr>
                <w:rFonts w:ascii="Times New Roman" w:hAnsi="Times New Roman"/>
                <w:b/>
                <w:bCs/>
                <w:color w:val="000000"/>
                <w:spacing w:val="-16"/>
                <w:lang w:val="en-US"/>
              </w:rPr>
              <w:t>CBCL syndromes scales</w:t>
            </w:r>
          </w:p>
          <w:p w14:paraId="2A08E2BC" w14:textId="77777777" w:rsidR="006170EB" w:rsidRPr="00A71AEC" w:rsidRDefault="00D15C98" w:rsidP="00A71AEC">
            <w:pPr>
              <w:spacing w:after="0" w:line="276" w:lineRule="auto"/>
              <w:rPr>
                <w:rFonts w:ascii="Times New Roman" w:hAnsi="Times New Roman"/>
                <w:color w:val="000000"/>
                <w:spacing w:val="-16"/>
                <w:lang w:val="en-US"/>
              </w:rPr>
            </w:pPr>
            <w:r w:rsidRPr="00A71AEC">
              <w:rPr>
                <w:rFonts w:ascii="Times New Roman" w:hAnsi="Times New Roman"/>
                <w:color w:val="000000"/>
                <w:spacing w:val="-16"/>
                <w:lang w:val="en-US"/>
              </w:rPr>
              <w:t>CBCL 1½-5 (</w:t>
            </w:r>
            <w:r w:rsidRPr="00A71AEC">
              <w:rPr>
                <w:rFonts w:ascii="Times New Roman" w:hAnsi="Times New Roman"/>
                <w:i/>
                <w:iCs/>
                <w:color w:val="000000"/>
                <w:spacing w:val="-16"/>
                <w:lang w:val="en-US"/>
              </w:rPr>
              <w:t>N</w:t>
            </w:r>
            <w:r w:rsidRPr="00A71AEC">
              <w:rPr>
                <w:rFonts w:ascii="Times New Roman" w:hAnsi="Times New Roman"/>
                <w:color w:val="000000"/>
                <w:spacing w:val="-16"/>
                <w:lang w:val="en-US"/>
              </w:rPr>
              <w:t>=5)</w:t>
            </w:r>
          </w:p>
          <w:p w14:paraId="31EF1CC4"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Emotionally reactive</w:t>
            </w:r>
          </w:p>
          <w:p w14:paraId="3D2F5635"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Anxious/depressed</w:t>
            </w:r>
          </w:p>
          <w:p w14:paraId="5C0B0246"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Somatic complaint</w:t>
            </w:r>
          </w:p>
          <w:p w14:paraId="2D631B29"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Withdraw</w:t>
            </w:r>
          </w:p>
          <w:p w14:paraId="4E15C4AB"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Aggressive behavior</w:t>
            </w:r>
          </w:p>
          <w:p w14:paraId="3426A69E"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Attention problems</w:t>
            </w:r>
          </w:p>
          <w:p w14:paraId="49D2D4B6"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Sleep problems</w:t>
            </w:r>
          </w:p>
          <w:p w14:paraId="383737BD" w14:textId="77777777" w:rsidR="006170EB" w:rsidRPr="00A71AEC" w:rsidRDefault="00D15C98" w:rsidP="00A71AEC">
            <w:pPr>
              <w:spacing w:after="0" w:line="276" w:lineRule="auto"/>
              <w:rPr>
                <w:rFonts w:ascii="Times New Roman" w:hAnsi="Times New Roman"/>
                <w:color w:val="000000"/>
                <w:spacing w:val="-16"/>
                <w:lang w:val="en-US"/>
              </w:rPr>
            </w:pPr>
            <w:r w:rsidRPr="00A71AEC">
              <w:rPr>
                <w:rFonts w:ascii="Times New Roman" w:hAnsi="Times New Roman"/>
                <w:color w:val="000000"/>
                <w:spacing w:val="-16"/>
                <w:lang w:val="en-US"/>
              </w:rPr>
              <w:t>CBCL 6-18 (</w:t>
            </w:r>
            <w:r w:rsidRPr="00A71AEC">
              <w:rPr>
                <w:rFonts w:ascii="Times New Roman" w:hAnsi="Times New Roman"/>
                <w:i/>
                <w:iCs/>
                <w:color w:val="000000"/>
                <w:spacing w:val="-16"/>
                <w:lang w:val="en-US"/>
              </w:rPr>
              <w:t>N</w:t>
            </w:r>
            <w:r w:rsidRPr="00A71AEC">
              <w:rPr>
                <w:rFonts w:ascii="Times New Roman" w:hAnsi="Times New Roman"/>
                <w:color w:val="000000"/>
                <w:spacing w:val="-16"/>
                <w:lang w:val="en-US"/>
              </w:rPr>
              <w:t>=13)</w:t>
            </w:r>
          </w:p>
          <w:p w14:paraId="39621D89"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Anxious/depressed</w:t>
            </w:r>
          </w:p>
          <w:p w14:paraId="0413DC60"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Withdraw</w:t>
            </w:r>
          </w:p>
          <w:p w14:paraId="08FA0CEB"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lastRenderedPageBreak/>
              <w:t>Somatic complaint</w:t>
            </w:r>
          </w:p>
          <w:p w14:paraId="7BCE5621"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Social problems</w:t>
            </w:r>
          </w:p>
          <w:p w14:paraId="35CB2A1F"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Though problems</w:t>
            </w:r>
          </w:p>
          <w:p w14:paraId="4E1BC419"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Attention problems</w:t>
            </w:r>
          </w:p>
          <w:p w14:paraId="1A3ECEF2"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Rule-breaking behavior</w:t>
            </w:r>
          </w:p>
          <w:p w14:paraId="7695E7E9" w14:textId="77777777" w:rsidR="006170EB" w:rsidRPr="00A71AEC" w:rsidRDefault="00D15C98" w:rsidP="00A71AEC">
            <w:pPr>
              <w:spacing w:after="0" w:line="276" w:lineRule="auto"/>
              <w:ind w:firstLine="313"/>
              <w:rPr>
                <w:rFonts w:ascii="Times New Roman" w:hAnsi="Times New Roman"/>
                <w:color w:val="000000"/>
                <w:spacing w:val="-16"/>
                <w:lang w:val="en-US"/>
              </w:rPr>
            </w:pPr>
            <w:r w:rsidRPr="00A71AEC">
              <w:rPr>
                <w:rFonts w:ascii="Times New Roman" w:hAnsi="Times New Roman"/>
                <w:color w:val="000000"/>
                <w:spacing w:val="-16"/>
                <w:lang w:val="en-US"/>
              </w:rPr>
              <w:t>Aggressive behavior</w:t>
            </w:r>
          </w:p>
        </w:tc>
        <w:tc>
          <w:tcPr>
            <w:tcW w:w="1133" w:type="dxa"/>
            <w:shd w:val="clear" w:color="auto" w:fill="auto"/>
          </w:tcPr>
          <w:p w14:paraId="6FEED937" w14:textId="77777777" w:rsidR="006170EB" w:rsidRPr="00A71AEC" w:rsidRDefault="006170EB" w:rsidP="00A71AEC">
            <w:pPr>
              <w:spacing w:after="0" w:line="276" w:lineRule="auto"/>
              <w:jc w:val="center"/>
              <w:rPr>
                <w:rFonts w:ascii="Times New Roman" w:hAnsi="Times New Roman"/>
                <w:color w:val="000000"/>
                <w:spacing w:val="-16"/>
                <w:lang w:val="en-US"/>
              </w:rPr>
            </w:pPr>
          </w:p>
          <w:p w14:paraId="391011AF" w14:textId="77777777" w:rsidR="006170EB" w:rsidRPr="00A71AEC" w:rsidRDefault="006170EB" w:rsidP="00A71AEC">
            <w:pPr>
              <w:spacing w:after="0" w:line="276" w:lineRule="auto"/>
              <w:jc w:val="center"/>
              <w:rPr>
                <w:rFonts w:ascii="Times New Roman" w:hAnsi="Times New Roman"/>
                <w:color w:val="000000"/>
                <w:spacing w:val="-16"/>
                <w:lang w:val="en-US"/>
              </w:rPr>
            </w:pPr>
          </w:p>
          <w:p w14:paraId="38834669"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4 (80)</w:t>
            </w:r>
          </w:p>
          <w:p w14:paraId="1F30E9D6"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4 (80)</w:t>
            </w:r>
          </w:p>
          <w:p w14:paraId="3287795B"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5 (100)</w:t>
            </w:r>
          </w:p>
          <w:p w14:paraId="12475DE5"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5 (100)</w:t>
            </w:r>
          </w:p>
          <w:p w14:paraId="56E9D8C1"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5 (100)</w:t>
            </w:r>
          </w:p>
          <w:p w14:paraId="642D57A7"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4 (80)</w:t>
            </w:r>
          </w:p>
          <w:p w14:paraId="3A887EF4"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5 (100)</w:t>
            </w:r>
          </w:p>
          <w:p w14:paraId="217B35F4" w14:textId="77777777" w:rsidR="006170EB" w:rsidRPr="00A71AEC" w:rsidRDefault="006170EB" w:rsidP="00A71AEC">
            <w:pPr>
              <w:spacing w:after="0" w:line="276" w:lineRule="auto"/>
              <w:jc w:val="center"/>
              <w:rPr>
                <w:rFonts w:ascii="Times New Roman" w:hAnsi="Times New Roman"/>
                <w:color w:val="000000"/>
                <w:spacing w:val="-16"/>
                <w:lang w:val="en-US"/>
              </w:rPr>
            </w:pPr>
          </w:p>
          <w:p w14:paraId="0ED186EB"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10 (77)</w:t>
            </w:r>
          </w:p>
          <w:p w14:paraId="17319E78"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10 (77)</w:t>
            </w:r>
          </w:p>
          <w:p w14:paraId="659924CD"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lastRenderedPageBreak/>
              <w:t>12 (92)</w:t>
            </w:r>
          </w:p>
          <w:p w14:paraId="3F25CA0E"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12 (92)</w:t>
            </w:r>
          </w:p>
          <w:p w14:paraId="27C53F0C"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13 (100)</w:t>
            </w:r>
          </w:p>
          <w:p w14:paraId="55107F88"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11 (85)</w:t>
            </w:r>
          </w:p>
          <w:p w14:paraId="74F96BE1"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13 (100)</w:t>
            </w:r>
          </w:p>
          <w:p w14:paraId="1FAC9106"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13 (100)</w:t>
            </w:r>
          </w:p>
        </w:tc>
        <w:tc>
          <w:tcPr>
            <w:tcW w:w="1139" w:type="dxa"/>
            <w:shd w:val="clear" w:color="auto" w:fill="auto"/>
          </w:tcPr>
          <w:p w14:paraId="3A445771" w14:textId="77777777" w:rsidR="006170EB" w:rsidRPr="00A71AEC" w:rsidRDefault="006170EB" w:rsidP="00A71AEC">
            <w:pPr>
              <w:spacing w:after="0" w:line="276" w:lineRule="auto"/>
              <w:jc w:val="center"/>
              <w:rPr>
                <w:rFonts w:ascii="Times New Roman" w:hAnsi="Times New Roman"/>
                <w:color w:val="000000"/>
                <w:spacing w:val="-16"/>
                <w:lang w:val="en-US"/>
              </w:rPr>
            </w:pPr>
          </w:p>
          <w:p w14:paraId="6ADB4FBB" w14:textId="77777777" w:rsidR="006170EB" w:rsidRPr="00A71AEC" w:rsidRDefault="006170EB" w:rsidP="00A71AEC">
            <w:pPr>
              <w:spacing w:after="0" w:line="276" w:lineRule="auto"/>
              <w:jc w:val="center"/>
              <w:rPr>
                <w:rFonts w:ascii="Times New Roman" w:hAnsi="Times New Roman"/>
                <w:color w:val="000000"/>
                <w:spacing w:val="-16"/>
                <w:lang w:val="en-US"/>
              </w:rPr>
            </w:pPr>
          </w:p>
          <w:p w14:paraId="7A8EB649"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4FF40A60"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 (20)</w:t>
            </w:r>
          </w:p>
          <w:p w14:paraId="603EE874"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68689356"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0EE94B59"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26FC4789"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37512112"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3E6E8243" w14:textId="77777777" w:rsidR="006170EB" w:rsidRPr="00A71AEC" w:rsidRDefault="006170EB" w:rsidP="00A71AEC">
            <w:pPr>
              <w:spacing w:after="0" w:line="276" w:lineRule="auto"/>
              <w:jc w:val="center"/>
              <w:rPr>
                <w:rFonts w:ascii="Times New Roman" w:hAnsi="Times New Roman"/>
                <w:color w:val="000000"/>
                <w:spacing w:val="-16"/>
                <w:lang w:val="en-US"/>
              </w:rPr>
            </w:pPr>
          </w:p>
          <w:p w14:paraId="30880C33"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3 (23)</w:t>
            </w:r>
          </w:p>
          <w:p w14:paraId="6E48BB6B"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2 (15)</w:t>
            </w:r>
          </w:p>
          <w:p w14:paraId="774AEF3B"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lastRenderedPageBreak/>
              <w:t>0</w:t>
            </w:r>
          </w:p>
          <w:p w14:paraId="10C891EA"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1 (8)</w:t>
            </w:r>
          </w:p>
          <w:p w14:paraId="79926BA3"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01383DCF"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2 (15)</w:t>
            </w:r>
          </w:p>
          <w:p w14:paraId="65A7EFC2"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p w14:paraId="76A5E334" w14:textId="77777777" w:rsidR="006170EB" w:rsidRPr="00A71AEC" w:rsidRDefault="00D15C98" w:rsidP="00A71AEC">
            <w:pPr>
              <w:spacing w:after="0" w:line="276" w:lineRule="auto"/>
              <w:jc w:val="center"/>
              <w:rPr>
                <w:rFonts w:ascii="Times New Roman" w:hAnsi="Times New Roman"/>
                <w:color w:val="000000"/>
                <w:spacing w:val="-16"/>
                <w:lang w:val="en-US"/>
              </w:rPr>
            </w:pPr>
            <w:r w:rsidRPr="00A71AEC">
              <w:rPr>
                <w:rFonts w:ascii="Times New Roman" w:hAnsi="Times New Roman"/>
                <w:color w:val="000000"/>
                <w:spacing w:val="-16"/>
                <w:lang w:val="en-US"/>
              </w:rPr>
              <w:t>0</w:t>
            </w:r>
          </w:p>
        </w:tc>
        <w:tc>
          <w:tcPr>
            <w:tcW w:w="1274" w:type="dxa"/>
            <w:shd w:val="clear" w:color="auto" w:fill="auto"/>
          </w:tcPr>
          <w:p w14:paraId="550A459D" w14:textId="77777777" w:rsidR="006170EB" w:rsidRPr="00A71AEC" w:rsidRDefault="006170EB" w:rsidP="00A71AEC">
            <w:pPr>
              <w:spacing w:after="0" w:line="276" w:lineRule="auto"/>
              <w:jc w:val="center"/>
              <w:rPr>
                <w:rFonts w:ascii="Times New Roman" w:hAnsi="Times New Roman"/>
                <w:spacing w:val="-16"/>
                <w:lang w:val="en-US"/>
              </w:rPr>
            </w:pPr>
          </w:p>
          <w:p w14:paraId="061D7E77" w14:textId="77777777" w:rsidR="006170EB" w:rsidRPr="00A71AEC" w:rsidRDefault="006170EB" w:rsidP="00A71AEC">
            <w:pPr>
              <w:spacing w:after="0" w:line="276" w:lineRule="auto"/>
              <w:jc w:val="center"/>
              <w:rPr>
                <w:rFonts w:ascii="Times New Roman" w:hAnsi="Times New Roman"/>
                <w:spacing w:val="-16"/>
                <w:lang w:val="en-US"/>
              </w:rPr>
            </w:pPr>
          </w:p>
          <w:p w14:paraId="34895A52"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1 (20)</w:t>
            </w:r>
          </w:p>
          <w:p w14:paraId="145AD362"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7B6C1709"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7CBCBC90"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6F9AC9BC"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203A2104"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1 (20)</w:t>
            </w:r>
          </w:p>
          <w:p w14:paraId="711169B2"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4410CA4C" w14:textId="77777777" w:rsidR="006170EB" w:rsidRPr="00A71AEC" w:rsidRDefault="006170EB" w:rsidP="00A71AEC">
            <w:pPr>
              <w:spacing w:after="0" w:line="276" w:lineRule="auto"/>
              <w:jc w:val="center"/>
              <w:rPr>
                <w:rFonts w:ascii="Times New Roman" w:hAnsi="Times New Roman"/>
                <w:spacing w:val="-16"/>
                <w:lang w:val="en-US"/>
              </w:rPr>
            </w:pPr>
          </w:p>
          <w:p w14:paraId="532DB088"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1ADA32F7"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1 (8)</w:t>
            </w:r>
          </w:p>
          <w:p w14:paraId="3FE1F43D"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lastRenderedPageBreak/>
              <w:t>1 (8)</w:t>
            </w:r>
          </w:p>
          <w:p w14:paraId="5A639F13"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3ADA90B7"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6DEE9D23"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760F2DB0"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p w14:paraId="3F58C162" w14:textId="77777777" w:rsidR="006170EB" w:rsidRPr="00A71AEC" w:rsidRDefault="00D15C98" w:rsidP="00A71AEC">
            <w:pPr>
              <w:spacing w:after="0" w:line="276" w:lineRule="auto"/>
              <w:jc w:val="center"/>
              <w:rPr>
                <w:rFonts w:ascii="Times New Roman" w:hAnsi="Times New Roman"/>
                <w:spacing w:val="-16"/>
                <w:lang w:val="en-US"/>
              </w:rPr>
            </w:pPr>
            <w:r w:rsidRPr="00A71AEC">
              <w:rPr>
                <w:rFonts w:ascii="Times New Roman" w:hAnsi="Times New Roman"/>
                <w:spacing w:val="-16"/>
                <w:lang w:val="en-US"/>
              </w:rPr>
              <w:t>0</w:t>
            </w:r>
          </w:p>
        </w:tc>
      </w:tr>
    </w:tbl>
    <w:p w14:paraId="4B4DDDFC" w14:textId="77777777" w:rsidR="006170EB" w:rsidRPr="00CE68CC" w:rsidRDefault="00D15C98">
      <w:pPr>
        <w:spacing w:after="0" w:line="480" w:lineRule="auto"/>
        <w:ind w:left="1134"/>
        <w:jc w:val="both"/>
        <w:rPr>
          <w:rFonts w:ascii="Times New Roman" w:hAnsi="Times New Roman"/>
          <w:bCs/>
          <w:color w:val="auto"/>
          <w:sz w:val="20"/>
          <w:szCs w:val="20"/>
          <w:lang w:val="en-US"/>
        </w:rPr>
      </w:pPr>
      <w:r w:rsidRPr="00CE68CC">
        <w:rPr>
          <w:rFonts w:ascii="Times New Roman" w:hAnsi="Times New Roman"/>
          <w:bCs/>
          <w:color w:val="auto"/>
          <w:sz w:val="20"/>
          <w:szCs w:val="20"/>
          <w:lang w:val="en-US"/>
        </w:rPr>
        <w:lastRenderedPageBreak/>
        <w:t xml:space="preserve">Legend: C. significant, clinically significant. Values in brackets indicate percentages. </w:t>
      </w:r>
    </w:p>
    <w:p w14:paraId="0549D981" w14:textId="77777777" w:rsidR="00924E2A" w:rsidRDefault="00924E2A">
      <w:pPr>
        <w:spacing w:after="0" w:line="480" w:lineRule="auto"/>
        <w:ind w:left="1134"/>
        <w:jc w:val="both"/>
        <w:rPr>
          <w:rFonts w:ascii="Times New Roman" w:hAnsi="Times New Roman"/>
          <w:bCs/>
          <w:color w:val="FF0000"/>
          <w:sz w:val="20"/>
          <w:szCs w:val="20"/>
          <w:lang w:val="en-US"/>
        </w:rPr>
      </w:pPr>
    </w:p>
    <w:p w14:paraId="7D29CBE1" w14:textId="77777777" w:rsidR="006170EB" w:rsidRPr="00CE68CC" w:rsidRDefault="00D15C98">
      <w:pPr>
        <w:spacing w:after="0" w:line="480" w:lineRule="auto"/>
        <w:ind w:left="1134"/>
        <w:jc w:val="both"/>
        <w:rPr>
          <w:color w:val="auto"/>
          <w:lang w:val="en-GB"/>
        </w:rPr>
      </w:pPr>
      <w:r w:rsidRPr="00CE68CC">
        <w:rPr>
          <w:rFonts w:ascii="Times New Roman" w:hAnsi="Times New Roman"/>
          <w:iCs/>
          <w:color w:val="auto"/>
          <w:u w:val="single"/>
          <w:lang w:val="en-US"/>
        </w:rPr>
        <w:t>Correlations between visual acuity/genotype and phenotype (neurodevelopmental, cognitive, adaptive and behavioral features)</w:t>
      </w:r>
    </w:p>
    <w:p w14:paraId="477F6269" w14:textId="77777777" w:rsidR="006170EB" w:rsidRDefault="00D15C98">
      <w:pPr>
        <w:spacing w:after="0" w:line="480" w:lineRule="auto"/>
        <w:ind w:left="1134"/>
        <w:jc w:val="both"/>
        <w:rPr>
          <w:rFonts w:ascii="Times New Roman" w:hAnsi="Times New Roman"/>
          <w:lang w:val="en-US"/>
        </w:rPr>
      </w:pPr>
      <w:r>
        <w:rPr>
          <w:rFonts w:ascii="Times New Roman" w:hAnsi="Times New Roman"/>
          <w:iCs/>
          <w:lang w:val="en-US"/>
        </w:rPr>
        <w:t xml:space="preserve">Considering the cognitive level, </w:t>
      </w:r>
      <w:bookmarkStart w:id="9" w:name="_Hlk120339654"/>
      <w:r>
        <w:rPr>
          <w:rFonts w:ascii="Times New Roman" w:hAnsi="Times New Roman"/>
          <w:iCs/>
          <w:lang w:val="en-US"/>
        </w:rPr>
        <w:t>we observed a statistically significant association between visual acuity and PIQ (</w:t>
      </w:r>
      <w:r>
        <w:rPr>
          <w:rFonts w:ascii="Times New Roman" w:hAnsi="Times New Roman"/>
          <w:i/>
          <w:lang w:val="en-US"/>
        </w:rPr>
        <w:t>p</w:t>
      </w:r>
      <w:r>
        <w:rPr>
          <w:rFonts w:ascii="Times New Roman" w:hAnsi="Times New Roman"/>
          <w:iCs/>
          <w:lang w:val="en-US"/>
        </w:rPr>
        <w:t>=0.001) and PSI (</w:t>
      </w:r>
      <w:r>
        <w:rPr>
          <w:rFonts w:ascii="Times New Roman" w:hAnsi="Times New Roman"/>
          <w:i/>
          <w:lang w:val="en-US"/>
        </w:rPr>
        <w:t>p</w:t>
      </w:r>
      <w:r>
        <w:rPr>
          <w:rFonts w:ascii="Times New Roman" w:hAnsi="Times New Roman"/>
          <w:iCs/>
          <w:lang w:val="en-US"/>
        </w:rPr>
        <w:t>=0.021</w:t>
      </w:r>
      <w:bookmarkEnd w:id="9"/>
      <w:r>
        <w:rPr>
          <w:rFonts w:ascii="Times New Roman" w:hAnsi="Times New Roman"/>
          <w:iCs/>
          <w:lang w:val="en-US"/>
        </w:rPr>
        <w:t xml:space="preserve">). </w:t>
      </w:r>
      <w:r>
        <w:rPr>
          <w:rFonts w:ascii="Times New Roman" w:hAnsi="Times New Roman"/>
          <w:lang w:val="en-US"/>
        </w:rPr>
        <w:t xml:space="preserve">As </w:t>
      </w:r>
      <w:r>
        <w:rPr>
          <w:rFonts w:ascii="Times New Roman" w:hAnsi="Times New Roman"/>
          <w:iCs/>
          <w:lang w:val="en-US"/>
        </w:rPr>
        <w:t>regards adaptive functioning, statistical correlations were found between visual acuity and VABS-II total score (</w:t>
      </w:r>
      <w:r>
        <w:rPr>
          <w:rFonts w:ascii="Times New Roman" w:hAnsi="Times New Roman"/>
          <w:i/>
          <w:lang w:val="en-US"/>
        </w:rPr>
        <w:t>p</w:t>
      </w:r>
      <w:r>
        <w:rPr>
          <w:rFonts w:ascii="Times New Roman" w:hAnsi="Times New Roman"/>
          <w:iCs/>
          <w:lang w:val="en-US"/>
        </w:rPr>
        <w:t>=0.020</w:t>
      </w:r>
      <w:r>
        <w:rPr>
          <w:rFonts w:ascii="Times New Roman" w:hAnsi="Times New Roman"/>
          <w:lang w:val="en-US"/>
        </w:rPr>
        <w:t>), communication (</w:t>
      </w:r>
      <w:r>
        <w:rPr>
          <w:rFonts w:ascii="Times New Roman" w:hAnsi="Times New Roman"/>
          <w:i/>
          <w:lang w:val="en-US"/>
        </w:rPr>
        <w:t>p</w:t>
      </w:r>
      <w:r>
        <w:rPr>
          <w:rFonts w:ascii="Times New Roman" w:hAnsi="Times New Roman"/>
          <w:iCs/>
          <w:lang w:val="en-US"/>
        </w:rPr>
        <w:t>=0.020</w:t>
      </w:r>
      <w:r>
        <w:rPr>
          <w:rFonts w:ascii="Times New Roman" w:hAnsi="Times New Roman"/>
          <w:lang w:val="en-US"/>
        </w:rPr>
        <w:t>) and socialization (</w:t>
      </w:r>
      <w:r>
        <w:rPr>
          <w:rFonts w:ascii="Times New Roman" w:hAnsi="Times New Roman"/>
          <w:i/>
          <w:lang w:val="en-US"/>
        </w:rPr>
        <w:t>p</w:t>
      </w:r>
      <w:r>
        <w:rPr>
          <w:rFonts w:ascii="Times New Roman" w:hAnsi="Times New Roman"/>
          <w:iCs/>
          <w:lang w:val="en-US"/>
        </w:rPr>
        <w:t>=0.037</w:t>
      </w:r>
      <w:r>
        <w:rPr>
          <w:rFonts w:ascii="Times New Roman" w:hAnsi="Times New Roman"/>
          <w:lang w:val="en-US"/>
        </w:rPr>
        <w:t xml:space="preserve">) domains. No significant correlations were detected between visual acuity and emotional and behavioral difficulties at CBCL. </w:t>
      </w:r>
    </w:p>
    <w:p w14:paraId="7CEF30BB" w14:textId="77777777" w:rsidR="006170EB" w:rsidRPr="00CE68CC" w:rsidRDefault="00D15C98">
      <w:pPr>
        <w:spacing w:after="0" w:line="480" w:lineRule="auto"/>
        <w:ind w:left="1134"/>
        <w:jc w:val="both"/>
        <w:rPr>
          <w:rFonts w:ascii="Times New Roman" w:hAnsi="Times New Roman"/>
          <w:color w:val="auto"/>
          <w:lang w:val="en-US"/>
        </w:rPr>
      </w:pPr>
      <w:r w:rsidRPr="00CE68CC">
        <w:rPr>
          <w:rFonts w:ascii="Times New Roman" w:hAnsi="Times New Roman"/>
          <w:color w:val="auto"/>
          <w:lang w:val="en-US"/>
        </w:rPr>
        <w:t>No significant correlations emerged between OCA1 and OCA2 subgroups according to the neurodevelopmental (motor milestones, p=0.06, language skills, p=0.1, and DQ at Griffiths-R, p=0.1), cognitive (FSIQ, p=0.5), adaptive (total score at VABS II, p=0.9), and behavioral (total score at CASD, p=0.5, CBCL total problems, p=0.6, internalizing p=0.3, and externalizing p=0.5) profiles.</w:t>
      </w:r>
    </w:p>
    <w:p w14:paraId="7F2D66EC"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DISCUSSION</w:t>
      </w:r>
    </w:p>
    <w:p w14:paraId="0BD268A5" w14:textId="6E08B257" w:rsidR="006170EB" w:rsidRPr="00CE68CC" w:rsidRDefault="00D15C98">
      <w:pPr>
        <w:spacing w:after="0" w:line="480" w:lineRule="auto"/>
        <w:ind w:left="1134"/>
        <w:jc w:val="both"/>
        <w:rPr>
          <w:rFonts w:ascii="Times New Roman" w:hAnsi="Times New Roman"/>
          <w:color w:val="auto"/>
          <w:lang w:val="en-US"/>
        </w:rPr>
      </w:pPr>
      <w:r>
        <w:rPr>
          <w:rFonts w:ascii="Times New Roman" w:hAnsi="Times New Roman"/>
          <w:lang w:val="en-US"/>
        </w:rPr>
        <w:t>OCA is a rare genetic disorder caused by the complete absence or reduction of biosynthesis of melanin in melanocytes resulting in mild to severe depigmentation of the hair, skin, and eyes [3]. Therefore, it is not surprising that research on subjects affected by OCA has been mainly focused on cutaneous and ocular signs and symptoms. To date, the neurodevelopmental profile has been poorly investigated, although several evidences support the hypothesis that brain may be involved in OCA:</w:t>
      </w:r>
      <w:r>
        <w:rPr>
          <w:lang w:val="en-US"/>
        </w:rPr>
        <w:t xml:space="preserve"> </w:t>
      </w:r>
      <w:r>
        <w:rPr>
          <w:rFonts w:ascii="Times New Roman" w:hAnsi="Times New Roman"/>
          <w:lang w:val="en-US"/>
        </w:rPr>
        <w:t xml:space="preserve">directly, due to the disruption of the mechanisms involved in the conversion of tyrosine in molecules essential </w:t>
      </w:r>
      <w:r>
        <w:rPr>
          <w:rFonts w:ascii="Times New Roman" w:hAnsi="Times New Roman"/>
          <w:color w:val="auto"/>
          <w:lang w:val="en-US"/>
        </w:rPr>
        <w:t>for the retinal and visual network development [</w:t>
      </w:r>
      <w:r w:rsidRPr="003113E5">
        <w:rPr>
          <w:rFonts w:ascii="Times New Roman" w:hAnsi="Times New Roman"/>
          <w:strike/>
          <w:color w:val="FF0000"/>
          <w:lang w:val="en-US"/>
        </w:rPr>
        <w:t>39</w:t>
      </w:r>
      <w:r w:rsidR="003113E5">
        <w:rPr>
          <w:rFonts w:ascii="Times New Roman" w:hAnsi="Times New Roman"/>
          <w:strike/>
          <w:color w:val="FF0000"/>
          <w:lang w:val="en-US"/>
        </w:rPr>
        <w:t xml:space="preserve"> </w:t>
      </w:r>
      <w:r w:rsidR="003113E5" w:rsidRPr="003113E5">
        <w:rPr>
          <w:rFonts w:ascii="Times New Roman" w:hAnsi="Times New Roman"/>
          <w:color w:val="FF0000"/>
          <w:lang w:val="en-US"/>
        </w:rPr>
        <w:t>40</w:t>
      </w:r>
      <w:r>
        <w:rPr>
          <w:rFonts w:ascii="Times New Roman" w:hAnsi="Times New Roman"/>
          <w:color w:val="auto"/>
          <w:lang w:val="en-US"/>
        </w:rPr>
        <w:t>]; indirectly</w:t>
      </w:r>
      <w:r>
        <w:rPr>
          <w:rFonts w:ascii="Times New Roman" w:hAnsi="Times New Roman"/>
          <w:lang w:val="en-US"/>
        </w:rPr>
        <w:t>, as a consequence of congenital and often severe visual problems that could interfere with neurodevelopment, as documented in OA children [</w:t>
      </w:r>
      <w:r w:rsidRPr="003113E5">
        <w:rPr>
          <w:rFonts w:ascii="Times New Roman" w:hAnsi="Times New Roman"/>
          <w:strike/>
          <w:color w:val="FF0000"/>
          <w:lang w:val="en-US"/>
        </w:rPr>
        <w:t>21</w:t>
      </w:r>
      <w:r w:rsidR="003113E5" w:rsidRPr="003113E5">
        <w:rPr>
          <w:rFonts w:ascii="Times New Roman" w:hAnsi="Times New Roman"/>
          <w:color w:val="FF0000"/>
          <w:lang w:val="en-US"/>
        </w:rPr>
        <w:t xml:space="preserve"> 22</w:t>
      </w:r>
      <w:r>
        <w:rPr>
          <w:rFonts w:ascii="Times New Roman" w:hAnsi="Times New Roman"/>
          <w:lang w:val="en-US"/>
        </w:rPr>
        <w:t>] and in other clinical populations [</w:t>
      </w:r>
      <w:r w:rsidRPr="003113E5">
        <w:rPr>
          <w:rFonts w:ascii="Times New Roman" w:hAnsi="Times New Roman"/>
          <w:strike/>
          <w:color w:val="FF0000"/>
          <w:lang w:val="en-US"/>
        </w:rPr>
        <w:t>23; 40</w:t>
      </w:r>
      <w:r w:rsidR="003113E5" w:rsidRPr="003113E5">
        <w:rPr>
          <w:rFonts w:ascii="Times New Roman" w:hAnsi="Times New Roman"/>
          <w:color w:val="FF0000"/>
          <w:lang w:val="en-US"/>
        </w:rPr>
        <w:t xml:space="preserve"> 24; 41</w:t>
      </w:r>
      <w:r>
        <w:rPr>
          <w:rFonts w:ascii="Times New Roman" w:hAnsi="Times New Roman"/>
          <w:lang w:val="en-US"/>
        </w:rPr>
        <w:t xml:space="preserve">]. In the present study we aimed at detailing the neurological and </w:t>
      </w:r>
      <w:r>
        <w:rPr>
          <w:rFonts w:ascii="Times New Roman" w:hAnsi="Times New Roman"/>
          <w:lang w:val="en-US"/>
        </w:rPr>
        <w:lastRenderedPageBreak/>
        <w:t xml:space="preserve">neurovisual skills, cognitive level, adaptive functioning, and behavioral aspects of children with OCA, also exploring a </w:t>
      </w:r>
      <w:r w:rsidRPr="007A1325">
        <w:rPr>
          <w:rFonts w:ascii="Times New Roman" w:hAnsi="Times New Roman"/>
          <w:lang w:val="en-US"/>
        </w:rPr>
        <w:t xml:space="preserve">possible correlation between the level of visual acuity </w:t>
      </w:r>
      <w:r w:rsidRPr="007A1325">
        <w:rPr>
          <w:rFonts w:ascii="Times New Roman" w:hAnsi="Times New Roman"/>
          <w:color w:val="auto"/>
          <w:lang w:val="en-US"/>
        </w:rPr>
        <w:t xml:space="preserve">deficit/genotype (OCA1 </w:t>
      </w:r>
      <w:r w:rsidRPr="007A1325">
        <w:rPr>
          <w:rFonts w:ascii="Times New Roman" w:hAnsi="Times New Roman"/>
          <w:i/>
          <w:color w:val="auto"/>
          <w:lang w:val="en-US"/>
        </w:rPr>
        <w:t xml:space="preserve">vs </w:t>
      </w:r>
      <w:r w:rsidRPr="007A1325">
        <w:rPr>
          <w:rFonts w:ascii="Times New Roman" w:hAnsi="Times New Roman"/>
          <w:color w:val="auto"/>
          <w:lang w:val="en-US"/>
        </w:rPr>
        <w:t>OCA2) and the clinical profile.</w:t>
      </w:r>
    </w:p>
    <w:p w14:paraId="22052DA0" w14:textId="126D7A60" w:rsidR="006170EB" w:rsidRDefault="00D15C98" w:rsidP="00194DFC">
      <w:pPr>
        <w:spacing w:after="0" w:line="480" w:lineRule="auto"/>
        <w:ind w:left="1134"/>
        <w:jc w:val="both"/>
        <w:rPr>
          <w:rFonts w:ascii="Times New Roman" w:hAnsi="Times New Roman"/>
          <w:color w:val="FF0000"/>
          <w:lang w:val="en-US"/>
        </w:rPr>
      </w:pPr>
      <w:r w:rsidRPr="00CE68CC">
        <w:rPr>
          <w:rFonts w:ascii="Times New Roman" w:hAnsi="Times New Roman"/>
          <w:color w:val="auto"/>
          <w:lang w:val="en-US"/>
        </w:rPr>
        <w:t>About half of the children (56%) presented an impairment in global neurodevelopment at an early stage. This percentage seems to be higher than that reported in pediatric population-based studies (neurodevelopmental delay between 4.5% and 12%) [</w:t>
      </w:r>
      <w:r w:rsidR="00727165" w:rsidRPr="007A1325">
        <w:rPr>
          <w:rFonts w:ascii="Times New Roman" w:hAnsi="Times New Roman"/>
          <w:strike/>
          <w:color w:val="FF0000"/>
          <w:lang w:val="en-US"/>
        </w:rPr>
        <w:t>41</w:t>
      </w:r>
      <w:r w:rsidR="007A1325" w:rsidRPr="007A1325">
        <w:rPr>
          <w:rFonts w:ascii="Times New Roman" w:hAnsi="Times New Roman"/>
          <w:color w:val="FF0000"/>
          <w:lang w:val="en-US"/>
        </w:rPr>
        <w:t xml:space="preserve"> 42</w:t>
      </w:r>
      <w:r w:rsidR="00727165" w:rsidRPr="00CE68CC">
        <w:rPr>
          <w:rFonts w:ascii="Times New Roman" w:hAnsi="Times New Roman"/>
          <w:color w:val="auto"/>
          <w:lang w:val="en-US"/>
        </w:rPr>
        <w:t>]</w:t>
      </w:r>
      <w:r w:rsidRPr="00CE68CC">
        <w:rPr>
          <w:rFonts w:ascii="Times New Roman" w:hAnsi="Times New Roman"/>
          <w:color w:val="auto"/>
          <w:lang w:val="en-US"/>
        </w:rPr>
        <w:t xml:space="preserve">, and similar to that observed in children with Leber’s Congenital Amaurosis (45%), “other” congenital retinal dystrophies (33%), or congenital disorders of the peripheral visual system (38-61%) </w:t>
      </w:r>
      <w:r w:rsidR="00194DFC" w:rsidRPr="00CE68CC">
        <w:rPr>
          <w:rFonts w:ascii="Times New Roman" w:hAnsi="Times New Roman"/>
          <w:color w:val="auto"/>
          <w:lang w:val="en-US"/>
        </w:rPr>
        <w:t>[</w:t>
      </w:r>
      <w:r w:rsidR="00194DFC" w:rsidRPr="007A1325">
        <w:rPr>
          <w:rFonts w:ascii="Times New Roman" w:hAnsi="Times New Roman"/>
          <w:strike/>
          <w:color w:val="FF0000"/>
          <w:lang w:val="en-US"/>
        </w:rPr>
        <w:t>42-43</w:t>
      </w:r>
      <w:r w:rsidR="007A1325" w:rsidRPr="007A1325">
        <w:rPr>
          <w:rFonts w:ascii="Times New Roman" w:hAnsi="Times New Roman"/>
          <w:color w:val="FF0000"/>
          <w:lang w:val="en-US"/>
        </w:rPr>
        <w:t xml:space="preserve"> 43-44</w:t>
      </w:r>
      <w:r w:rsidR="00194DFC" w:rsidRPr="00CE68CC">
        <w:rPr>
          <w:rFonts w:ascii="Times New Roman" w:hAnsi="Times New Roman"/>
          <w:color w:val="auto"/>
          <w:lang w:val="en-US"/>
        </w:rPr>
        <w:t xml:space="preserve">]. </w:t>
      </w:r>
      <w:r w:rsidRPr="00CE68CC">
        <w:rPr>
          <w:rFonts w:ascii="Times New Roman" w:hAnsi="Times New Roman"/>
          <w:color w:val="auto"/>
          <w:lang w:val="en-US"/>
        </w:rPr>
        <w:t xml:space="preserve">However, these studies used different measures to evaluate the neurodevelopment so it is difficult to compare the data. All the developmental areas of our children were affected, specifically gross-motor, personal-social, communicative, hand-eye coordination, and performance domains. It has been hypothesized that an early and severe visual deficit may affect the acquisition of motor skills </w:t>
      </w:r>
      <w:r w:rsidR="00194DFC" w:rsidRPr="00CE68CC">
        <w:rPr>
          <w:rFonts w:ascii="Times New Roman" w:hAnsi="Times New Roman"/>
          <w:color w:val="auto"/>
          <w:lang w:val="en-US"/>
        </w:rPr>
        <w:t>[</w:t>
      </w:r>
      <w:r w:rsidR="00194DFC" w:rsidRPr="007A1325">
        <w:rPr>
          <w:rFonts w:ascii="Times New Roman" w:hAnsi="Times New Roman"/>
          <w:strike/>
          <w:color w:val="FF0000"/>
          <w:lang w:val="en-US"/>
        </w:rPr>
        <w:t>44-45</w:t>
      </w:r>
      <w:r w:rsidR="007A1325">
        <w:rPr>
          <w:rFonts w:ascii="Times New Roman" w:hAnsi="Times New Roman"/>
          <w:color w:val="FF0000"/>
          <w:lang w:val="en-US"/>
        </w:rPr>
        <w:t xml:space="preserve"> </w:t>
      </w:r>
      <w:r w:rsidR="007A1325" w:rsidRPr="007A1325">
        <w:rPr>
          <w:rFonts w:ascii="Times New Roman" w:hAnsi="Times New Roman"/>
          <w:color w:val="FF0000"/>
          <w:lang w:val="en-US"/>
        </w:rPr>
        <w:t>45</w:t>
      </w:r>
      <w:r w:rsidR="007A1325">
        <w:rPr>
          <w:rFonts w:ascii="Times New Roman" w:hAnsi="Times New Roman"/>
          <w:color w:val="FF0000"/>
          <w:lang w:val="en-US"/>
        </w:rPr>
        <w:t>-46</w:t>
      </w:r>
      <w:r w:rsidRPr="00CE68CC">
        <w:rPr>
          <w:rFonts w:ascii="Times New Roman" w:hAnsi="Times New Roman"/>
          <w:color w:val="auto"/>
          <w:lang w:val="en-US"/>
        </w:rPr>
        <w:t>], daily life and social abilities [</w:t>
      </w:r>
      <w:r w:rsidR="00194DFC" w:rsidRPr="007A1325">
        <w:rPr>
          <w:rFonts w:ascii="Times New Roman" w:hAnsi="Times New Roman"/>
          <w:strike/>
          <w:color w:val="FF0000"/>
          <w:lang w:val="en-US"/>
        </w:rPr>
        <w:t>46</w:t>
      </w:r>
      <w:r w:rsidR="007A1325" w:rsidRPr="007A1325">
        <w:rPr>
          <w:rFonts w:ascii="Times New Roman" w:hAnsi="Times New Roman"/>
          <w:color w:val="FF0000"/>
          <w:lang w:val="en-US"/>
        </w:rPr>
        <w:t xml:space="preserve"> 47</w:t>
      </w:r>
      <w:r w:rsidRPr="00CE68CC">
        <w:rPr>
          <w:rFonts w:ascii="Times New Roman" w:hAnsi="Times New Roman"/>
          <w:color w:val="auto"/>
          <w:lang w:val="en-US"/>
        </w:rPr>
        <w:t>], language [</w:t>
      </w:r>
      <w:r w:rsidRPr="007A1325">
        <w:rPr>
          <w:rFonts w:ascii="Times New Roman" w:hAnsi="Times New Roman"/>
          <w:strike/>
          <w:color w:val="FF0000"/>
          <w:lang w:val="en-US"/>
        </w:rPr>
        <w:t>4</w:t>
      </w:r>
      <w:r w:rsidR="00194DFC" w:rsidRPr="007A1325">
        <w:rPr>
          <w:rFonts w:ascii="Times New Roman" w:hAnsi="Times New Roman"/>
          <w:strike/>
          <w:color w:val="FF0000"/>
          <w:lang w:val="en-US"/>
        </w:rPr>
        <w:t>7</w:t>
      </w:r>
      <w:r w:rsidR="007A1325" w:rsidRPr="007A1325">
        <w:rPr>
          <w:rFonts w:ascii="Times New Roman" w:hAnsi="Times New Roman"/>
          <w:color w:val="FF0000"/>
          <w:lang w:val="en-US"/>
        </w:rPr>
        <w:t xml:space="preserve"> 48</w:t>
      </w:r>
      <w:r w:rsidRPr="00CE68CC">
        <w:rPr>
          <w:rFonts w:ascii="Times New Roman" w:hAnsi="Times New Roman"/>
          <w:color w:val="auto"/>
          <w:lang w:val="en-US"/>
        </w:rPr>
        <w:t xml:space="preserve">] and </w:t>
      </w:r>
      <w:r w:rsidRPr="00B6341B">
        <w:rPr>
          <w:rFonts w:ascii="Times New Roman" w:hAnsi="Times New Roman"/>
          <w:color w:val="auto"/>
          <w:lang w:val="en-US"/>
        </w:rPr>
        <w:t>cognition [</w:t>
      </w:r>
      <w:r w:rsidRPr="00B6341B">
        <w:rPr>
          <w:rFonts w:ascii="Times New Roman" w:hAnsi="Times New Roman"/>
          <w:strike/>
          <w:color w:val="FF0000"/>
          <w:lang w:val="en-US"/>
        </w:rPr>
        <w:t>4</w:t>
      </w:r>
      <w:r w:rsidR="00194DFC" w:rsidRPr="00B6341B">
        <w:rPr>
          <w:rFonts w:ascii="Times New Roman" w:hAnsi="Times New Roman"/>
          <w:strike/>
          <w:color w:val="FF0000"/>
          <w:lang w:val="en-US"/>
        </w:rPr>
        <w:t>2</w:t>
      </w:r>
      <w:r w:rsidR="007A1325" w:rsidRPr="00B6341B">
        <w:rPr>
          <w:rFonts w:ascii="Times New Roman" w:hAnsi="Times New Roman"/>
          <w:color w:val="FF0000"/>
          <w:lang w:val="en-US"/>
        </w:rPr>
        <w:t xml:space="preserve"> 43</w:t>
      </w:r>
      <w:r w:rsidRPr="00B6341B">
        <w:rPr>
          <w:rFonts w:ascii="Times New Roman" w:hAnsi="Times New Roman"/>
          <w:color w:val="auto"/>
          <w:lang w:val="en-US"/>
        </w:rPr>
        <w:t>]. Children</w:t>
      </w:r>
      <w:r>
        <w:rPr>
          <w:rFonts w:ascii="Times New Roman" w:hAnsi="Times New Roman"/>
          <w:lang w:val="en-US"/>
        </w:rPr>
        <w:t xml:space="preserve"> typically develop through the interaction with </w:t>
      </w:r>
      <w:r w:rsidRPr="00CE68CC">
        <w:rPr>
          <w:rFonts w:ascii="Times New Roman" w:hAnsi="Times New Roman"/>
          <w:color w:val="auto"/>
          <w:lang w:val="en-US"/>
        </w:rPr>
        <w:t xml:space="preserve">the environment, a process mainly </w:t>
      </w:r>
      <w:r w:rsidRPr="007A1325">
        <w:rPr>
          <w:rFonts w:ascii="Times New Roman" w:hAnsi="Times New Roman"/>
          <w:color w:val="auto"/>
          <w:lang w:val="en-US"/>
        </w:rPr>
        <w:t>mediated by vision. In absence of the “incentive” represented by the sight [4</w:t>
      </w:r>
      <w:r w:rsidR="00194DFC" w:rsidRPr="007A1325">
        <w:rPr>
          <w:rFonts w:ascii="Times New Roman" w:hAnsi="Times New Roman"/>
          <w:color w:val="auto"/>
          <w:lang w:val="en-US"/>
        </w:rPr>
        <w:t>9</w:t>
      </w:r>
      <w:r w:rsidRPr="007A1325">
        <w:rPr>
          <w:rFonts w:ascii="Times New Roman" w:hAnsi="Times New Roman"/>
          <w:color w:val="auto"/>
          <w:lang w:val="en-US"/>
        </w:rPr>
        <w:t>], children may have difficulties to</w:t>
      </w:r>
      <w:r w:rsidRPr="00CE68CC">
        <w:rPr>
          <w:rFonts w:ascii="Times New Roman" w:hAnsi="Times New Roman"/>
          <w:color w:val="auto"/>
          <w:lang w:val="en-US"/>
        </w:rPr>
        <w:t xml:space="preserve"> build up a picture of the world [</w:t>
      </w:r>
      <w:r w:rsidR="00194DFC" w:rsidRPr="007A1325">
        <w:rPr>
          <w:rFonts w:ascii="Times New Roman" w:hAnsi="Times New Roman"/>
          <w:strike/>
          <w:color w:val="FF0000"/>
          <w:lang w:val="en-US"/>
        </w:rPr>
        <w:t>44</w:t>
      </w:r>
      <w:r w:rsidR="007A1325" w:rsidRPr="007A1325">
        <w:rPr>
          <w:rFonts w:ascii="Times New Roman" w:hAnsi="Times New Roman"/>
          <w:color w:val="FF0000"/>
          <w:lang w:val="en-US"/>
        </w:rPr>
        <w:t xml:space="preserve"> 45</w:t>
      </w:r>
      <w:r w:rsidRPr="00CE68CC">
        <w:rPr>
          <w:rFonts w:ascii="Times New Roman" w:hAnsi="Times New Roman"/>
          <w:color w:val="auto"/>
          <w:lang w:val="en-US"/>
        </w:rPr>
        <w:t>] and develop gross and fine motor skills, above all during the second 6 months of life, when the movements</w:t>
      </w:r>
      <w:r>
        <w:rPr>
          <w:rFonts w:ascii="Times New Roman" w:hAnsi="Times New Roman"/>
          <w:lang w:val="en-US"/>
        </w:rPr>
        <w:t xml:space="preserve"> begin to be enhanced by voluntary patterns and relational aspects (exploration, inquiry, etc.).</w:t>
      </w:r>
      <w:r>
        <w:rPr>
          <w:lang w:val="en-US"/>
        </w:rPr>
        <w:t xml:space="preserve"> </w:t>
      </w:r>
      <w:r>
        <w:rPr>
          <w:rFonts w:ascii="Times New Roman" w:hAnsi="Times New Roman"/>
          <w:lang w:val="en-US"/>
        </w:rPr>
        <w:t xml:space="preserve">In this regard, our children presented a slight delay in achieving head control and sitting position, and a marked delay for the other developmental milestones, such as walking, reached at an average age of 16 months. The development of prehension may be </w:t>
      </w:r>
      <w:r w:rsidRPr="00CE68CC">
        <w:rPr>
          <w:rFonts w:ascii="Times New Roman" w:hAnsi="Times New Roman"/>
          <w:color w:val="auto"/>
          <w:lang w:val="en-US"/>
        </w:rPr>
        <w:t>also impaired since the hands of the visually impaired child remain at shoulder height for a longer time [</w:t>
      </w:r>
      <w:r w:rsidRPr="007A1325">
        <w:rPr>
          <w:rFonts w:ascii="Times New Roman" w:hAnsi="Times New Roman"/>
          <w:strike/>
          <w:color w:val="FF0000"/>
          <w:lang w:val="en-US"/>
        </w:rPr>
        <w:t>4</w:t>
      </w:r>
      <w:r w:rsidR="00194DFC" w:rsidRPr="007A1325">
        <w:rPr>
          <w:rFonts w:ascii="Times New Roman" w:hAnsi="Times New Roman"/>
          <w:strike/>
          <w:color w:val="FF0000"/>
          <w:lang w:val="en-US"/>
        </w:rPr>
        <w:t>4</w:t>
      </w:r>
      <w:r w:rsidR="007A1325" w:rsidRPr="007A1325">
        <w:rPr>
          <w:rFonts w:ascii="Times New Roman" w:hAnsi="Times New Roman"/>
          <w:color w:val="FF0000"/>
          <w:lang w:val="en-US"/>
        </w:rPr>
        <w:t xml:space="preserve"> 45</w:t>
      </w:r>
      <w:r w:rsidRPr="00CE68CC">
        <w:rPr>
          <w:rFonts w:ascii="Times New Roman" w:hAnsi="Times New Roman"/>
          <w:color w:val="auto"/>
          <w:lang w:val="en-US"/>
        </w:rPr>
        <w:t xml:space="preserve">] without the natural behavior of environmental exploration. Furthermore, hand-eye coordination could be achieved later due to its </w:t>
      </w:r>
      <w:r w:rsidRPr="00442AA8">
        <w:rPr>
          <w:rFonts w:ascii="Times New Roman" w:hAnsi="Times New Roman"/>
          <w:color w:val="auto"/>
          <w:lang w:val="en-US"/>
        </w:rPr>
        <w:t>dependence of hearing cue [</w:t>
      </w:r>
      <w:r w:rsidR="00194DFC" w:rsidRPr="00442AA8">
        <w:rPr>
          <w:rFonts w:ascii="Times New Roman" w:hAnsi="Times New Roman"/>
          <w:strike/>
          <w:color w:val="FF0000"/>
          <w:lang w:val="en-US"/>
        </w:rPr>
        <w:t>49-50</w:t>
      </w:r>
      <w:r w:rsidR="00442AA8" w:rsidRPr="00442AA8">
        <w:rPr>
          <w:rFonts w:ascii="Times New Roman" w:hAnsi="Times New Roman"/>
          <w:color w:val="FF0000"/>
          <w:lang w:val="en-US"/>
        </w:rPr>
        <w:t xml:space="preserve"> 50-51</w:t>
      </w:r>
      <w:r w:rsidRPr="00442AA8">
        <w:rPr>
          <w:rFonts w:ascii="Times New Roman" w:hAnsi="Times New Roman"/>
          <w:color w:val="auto"/>
          <w:lang w:val="en-US"/>
        </w:rPr>
        <w:t>]. Our children</w:t>
      </w:r>
      <w:r w:rsidRPr="00CE68CC">
        <w:rPr>
          <w:rFonts w:ascii="Times New Roman" w:hAnsi="Times New Roman"/>
          <w:color w:val="auto"/>
          <w:lang w:val="en-US"/>
        </w:rPr>
        <w:t xml:space="preserve"> appropriately</w:t>
      </w:r>
      <w:r>
        <w:rPr>
          <w:rFonts w:ascii="Times New Roman" w:hAnsi="Times New Roman"/>
          <w:lang w:val="en-US"/>
        </w:rPr>
        <w:t xml:space="preserve"> acquired the early fine motor milestones, later showing difficulties in hand-eye coordination, probably because the visual acuity deficit was not so severe as to limit the explorative-tactile function of their hands. The peculiar perceptual experience due to visual deficits may also limit the language development </w:t>
      </w:r>
      <w:r w:rsidRPr="00194DFC">
        <w:rPr>
          <w:rFonts w:ascii="Times New Roman" w:hAnsi="Times New Roman"/>
          <w:lang w:val="en-US"/>
        </w:rPr>
        <w:t>[</w:t>
      </w:r>
      <w:r w:rsidRPr="007A1325">
        <w:rPr>
          <w:rFonts w:ascii="Times New Roman" w:hAnsi="Times New Roman"/>
          <w:strike/>
          <w:color w:val="FF0000"/>
          <w:lang w:val="en-US"/>
        </w:rPr>
        <w:t>4</w:t>
      </w:r>
      <w:r w:rsidR="00194DFC" w:rsidRPr="007A1325">
        <w:rPr>
          <w:rFonts w:ascii="Times New Roman" w:hAnsi="Times New Roman"/>
          <w:strike/>
          <w:color w:val="FF0000"/>
          <w:lang w:val="en-US"/>
        </w:rPr>
        <w:t>7</w:t>
      </w:r>
      <w:r w:rsidR="007A1325" w:rsidRPr="007A1325">
        <w:rPr>
          <w:rFonts w:ascii="Times New Roman" w:hAnsi="Times New Roman"/>
          <w:color w:val="FF0000"/>
          <w:lang w:val="en-US"/>
        </w:rPr>
        <w:t xml:space="preserve"> 48</w:t>
      </w:r>
      <w:r w:rsidRPr="00194DFC">
        <w:rPr>
          <w:rFonts w:ascii="Times New Roman" w:hAnsi="Times New Roman"/>
          <w:lang w:val="en-US"/>
        </w:rPr>
        <w:t>], with difficulties in</w:t>
      </w:r>
      <w:r>
        <w:rPr>
          <w:rFonts w:ascii="Times New Roman" w:hAnsi="Times New Roman"/>
          <w:lang w:val="en-US"/>
        </w:rPr>
        <w:t xml:space="preserve"> the construction of </w:t>
      </w:r>
      <w:r>
        <w:rPr>
          <w:rFonts w:ascii="Times New Roman" w:hAnsi="Times New Roman"/>
          <w:lang w:val="en-US"/>
        </w:rPr>
        <w:lastRenderedPageBreak/>
        <w:t xml:space="preserve">lexical semantics, which implies the construction of a relationship between language and extra-linguistic reality. The attribution of lexical labels to familiar people and objects needs the possibility of the child to look at what adult is looking at by following the direction of his gaze and thus </w:t>
      </w:r>
      <w:r w:rsidRPr="007A1325">
        <w:rPr>
          <w:rFonts w:ascii="Times New Roman" w:hAnsi="Times New Roman"/>
          <w:lang w:val="en-US"/>
        </w:rPr>
        <w:t xml:space="preserve">associate signifier with signified. Therefore, the impairment in referential </w:t>
      </w:r>
      <w:r w:rsidRPr="007A1325">
        <w:rPr>
          <w:rFonts w:ascii="Times New Roman" w:hAnsi="Times New Roman"/>
          <w:color w:val="auto"/>
          <w:lang w:val="en-US"/>
        </w:rPr>
        <w:t>looking slows down lexical acquisition [</w:t>
      </w:r>
      <w:r w:rsidR="00194DFC" w:rsidRPr="00442AA8">
        <w:rPr>
          <w:rFonts w:ascii="Times New Roman" w:hAnsi="Times New Roman"/>
          <w:strike/>
          <w:color w:val="FF0000"/>
          <w:lang w:val="en-US"/>
        </w:rPr>
        <w:t>51-52</w:t>
      </w:r>
      <w:r w:rsidR="00442AA8" w:rsidRPr="00442AA8">
        <w:rPr>
          <w:rFonts w:ascii="Times New Roman" w:hAnsi="Times New Roman"/>
          <w:color w:val="FF0000"/>
          <w:lang w:val="en-US"/>
        </w:rPr>
        <w:t xml:space="preserve"> 52-53</w:t>
      </w:r>
      <w:r w:rsidRPr="007A1325">
        <w:rPr>
          <w:rFonts w:ascii="Times New Roman" w:hAnsi="Times New Roman"/>
          <w:color w:val="auto"/>
          <w:lang w:val="en-US"/>
        </w:rPr>
        <w:t>]. In line</w:t>
      </w:r>
      <w:r w:rsidRPr="00CE68CC">
        <w:rPr>
          <w:rFonts w:ascii="Times New Roman" w:hAnsi="Times New Roman"/>
          <w:color w:val="auto"/>
          <w:lang w:val="en-US"/>
        </w:rPr>
        <w:t xml:space="preserve"> with literature, 38% of our children presented a delay in word production and/or vocabulary expansion evolving in two cases in </w:t>
      </w:r>
      <w:bookmarkStart w:id="10" w:name="_Hlk120339309"/>
      <w:r w:rsidRPr="00CE68CC">
        <w:rPr>
          <w:rFonts w:ascii="Times New Roman" w:hAnsi="Times New Roman"/>
          <w:color w:val="auto"/>
          <w:lang w:val="en-US"/>
        </w:rPr>
        <w:t>receptive and expressive</w:t>
      </w:r>
      <w:bookmarkEnd w:id="10"/>
      <w:r w:rsidRPr="00CE68CC">
        <w:rPr>
          <w:rFonts w:ascii="Times New Roman" w:hAnsi="Times New Roman"/>
          <w:color w:val="auto"/>
          <w:lang w:val="en-US"/>
        </w:rPr>
        <w:t xml:space="preserve"> language disorder. By contrast, in the general population approximately 15% of children have slow onset and progression of expressive language</w:t>
      </w:r>
      <w:r w:rsidR="00194DFC" w:rsidRPr="00CE68CC">
        <w:rPr>
          <w:rFonts w:ascii="Times New Roman" w:hAnsi="Times New Roman"/>
          <w:color w:val="auto"/>
          <w:lang w:val="en-US"/>
        </w:rPr>
        <w:t xml:space="preserve"> [</w:t>
      </w:r>
      <w:r w:rsidR="00194DFC" w:rsidRPr="00442AA8">
        <w:rPr>
          <w:rFonts w:ascii="Times New Roman" w:hAnsi="Times New Roman"/>
          <w:strike/>
          <w:color w:val="FF0000"/>
          <w:lang w:val="en-US"/>
        </w:rPr>
        <w:t>53-54</w:t>
      </w:r>
      <w:r w:rsidR="00442AA8" w:rsidRPr="00442AA8">
        <w:rPr>
          <w:rFonts w:ascii="Times New Roman" w:hAnsi="Times New Roman"/>
          <w:color w:val="FF0000"/>
          <w:lang w:val="en-US"/>
        </w:rPr>
        <w:t xml:space="preserve"> 54-55</w:t>
      </w:r>
      <w:r w:rsidR="00194DFC" w:rsidRPr="00CE68CC">
        <w:rPr>
          <w:rFonts w:ascii="Times New Roman" w:hAnsi="Times New Roman"/>
          <w:color w:val="auto"/>
          <w:lang w:val="en-US"/>
        </w:rPr>
        <w:t xml:space="preserve">] </w:t>
      </w:r>
      <w:r w:rsidRPr="00CE68CC">
        <w:rPr>
          <w:rFonts w:ascii="Times New Roman" w:hAnsi="Times New Roman"/>
          <w:color w:val="auto"/>
          <w:lang w:val="en-US"/>
        </w:rPr>
        <w:t>and 5–7% present a</w:t>
      </w:r>
      <w:r w:rsidRPr="00CE68CC">
        <w:rPr>
          <w:color w:val="auto"/>
          <w:lang w:val="en-GB"/>
        </w:rPr>
        <w:t xml:space="preserve"> </w:t>
      </w:r>
      <w:r w:rsidRPr="00B6341B">
        <w:rPr>
          <w:rFonts w:ascii="Times New Roman" w:hAnsi="Times New Roman"/>
          <w:color w:val="auto"/>
          <w:lang w:val="en-US"/>
        </w:rPr>
        <w:t>developmental language disorder</w:t>
      </w:r>
      <w:r w:rsidR="00194DFC" w:rsidRPr="00B6341B">
        <w:rPr>
          <w:rFonts w:ascii="Times New Roman" w:hAnsi="Times New Roman"/>
          <w:color w:val="auto"/>
          <w:lang w:val="en-US"/>
        </w:rPr>
        <w:t xml:space="preserve"> [</w:t>
      </w:r>
      <w:r w:rsidR="00194DFC" w:rsidRPr="00442AA8">
        <w:rPr>
          <w:rFonts w:ascii="Times New Roman" w:hAnsi="Times New Roman"/>
          <w:strike/>
          <w:color w:val="FF0000"/>
          <w:lang w:val="en-US"/>
        </w:rPr>
        <w:t>55-56</w:t>
      </w:r>
      <w:r w:rsidR="00442AA8" w:rsidRPr="00442AA8">
        <w:rPr>
          <w:rFonts w:ascii="Times New Roman" w:hAnsi="Times New Roman"/>
          <w:color w:val="FF0000"/>
          <w:lang w:val="en-US"/>
        </w:rPr>
        <w:t xml:space="preserve"> 56-57</w:t>
      </w:r>
      <w:r w:rsidR="00194DFC" w:rsidRPr="00B6341B">
        <w:rPr>
          <w:rFonts w:ascii="Times New Roman" w:hAnsi="Times New Roman"/>
          <w:color w:val="auto"/>
          <w:lang w:val="en-US"/>
        </w:rPr>
        <w:t xml:space="preserve">]. </w:t>
      </w:r>
      <w:r w:rsidRPr="00B6341B">
        <w:rPr>
          <w:rFonts w:ascii="Times New Roman" w:hAnsi="Times New Roman"/>
          <w:color w:val="auto"/>
          <w:lang w:val="en-US"/>
        </w:rPr>
        <w:t>Vision</w:t>
      </w:r>
      <w:r>
        <w:rPr>
          <w:rFonts w:ascii="Times New Roman" w:hAnsi="Times New Roman"/>
          <w:lang w:val="en-US"/>
        </w:rPr>
        <w:t xml:space="preserve"> also exerts a crucial role in the socio-</w:t>
      </w:r>
      <w:r w:rsidRPr="00CE68CC">
        <w:rPr>
          <w:rFonts w:ascii="Times New Roman" w:hAnsi="Times New Roman"/>
          <w:color w:val="auto"/>
          <w:lang w:val="en-US"/>
        </w:rPr>
        <w:t xml:space="preserve">relational skills </w:t>
      </w:r>
      <w:r w:rsidRPr="00D67F92">
        <w:rPr>
          <w:rFonts w:ascii="Times New Roman" w:hAnsi="Times New Roman"/>
          <w:color w:val="auto"/>
          <w:lang w:val="en-US"/>
        </w:rPr>
        <w:t>development: eye contact represents the earliest mediator of mother-infant communication [</w:t>
      </w:r>
      <w:r w:rsidR="00194DFC" w:rsidRPr="00D67F92">
        <w:rPr>
          <w:rFonts w:ascii="Times New Roman" w:hAnsi="Times New Roman"/>
          <w:strike/>
          <w:color w:val="FF0000"/>
          <w:lang w:val="en-US"/>
        </w:rPr>
        <w:t>57</w:t>
      </w:r>
      <w:r w:rsidR="00D67F92" w:rsidRPr="00D67F92">
        <w:rPr>
          <w:rFonts w:ascii="Times New Roman" w:hAnsi="Times New Roman"/>
          <w:color w:val="FF0000"/>
          <w:lang w:val="en-US"/>
        </w:rPr>
        <w:t xml:space="preserve"> 58</w:t>
      </w:r>
      <w:r w:rsidRPr="00D67F92">
        <w:rPr>
          <w:rFonts w:ascii="Times New Roman" w:hAnsi="Times New Roman"/>
          <w:color w:val="auto"/>
          <w:lang w:val="en-US"/>
        </w:rPr>
        <w:t>] and thus, a visual</w:t>
      </w:r>
      <w:r w:rsidRPr="00CE68CC">
        <w:rPr>
          <w:rFonts w:ascii="Times New Roman" w:hAnsi="Times New Roman"/>
          <w:color w:val="auto"/>
          <w:lang w:val="en-US"/>
        </w:rPr>
        <w:t xml:space="preserve"> impairment may lead to a distortion of this relationship resulting in personal-social difficulties as observed in our sample and in literature [</w:t>
      </w:r>
      <w:r w:rsidRPr="00D67F92">
        <w:rPr>
          <w:rFonts w:ascii="Times New Roman" w:hAnsi="Times New Roman"/>
          <w:strike/>
          <w:color w:val="FF0000"/>
          <w:lang w:val="en-US"/>
        </w:rPr>
        <w:t>5</w:t>
      </w:r>
      <w:r w:rsidR="00194DFC" w:rsidRPr="00D67F92">
        <w:rPr>
          <w:rFonts w:ascii="Times New Roman" w:hAnsi="Times New Roman"/>
          <w:strike/>
          <w:color w:val="FF0000"/>
          <w:lang w:val="en-US"/>
        </w:rPr>
        <w:t>7</w:t>
      </w:r>
      <w:r w:rsidR="00D67F92" w:rsidRPr="00D67F92">
        <w:rPr>
          <w:rFonts w:ascii="Times New Roman" w:hAnsi="Times New Roman"/>
          <w:color w:val="FF0000"/>
          <w:lang w:val="en-US"/>
        </w:rPr>
        <w:t xml:space="preserve"> 58</w:t>
      </w:r>
      <w:r w:rsidRPr="00CE68CC">
        <w:rPr>
          <w:rFonts w:ascii="Times New Roman" w:hAnsi="Times New Roman"/>
          <w:color w:val="auto"/>
          <w:lang w:val="en-US"/>
        </w:rPr>
        <w:t xml:space="preserve">].  Finally, </w:t>
      </w:r>
      <w:r w:rsidRPr="00D67F92">
        <w:rPr>
          <w:rFonts w:ascii="Times New Roman" w:hAnsi="Times New Roman"/>
          <w:color w:val="auto"/>
          <w:lang w:val="en-US"/>
        </w:rPr>
        <w:t>vision is considered the most important sense for the construction of sensorimotor intelligence [</w:t>
      </w:r>
      <w:r w:rsidRPr="00D67F92">
        <w:rPr>
          <w:rFonts w:ascii="Times New Roman" w:hAnsi="Times New Roman"/>
          <w:strike/>
          <w:color w:val="FF0000"/>
          <w:lang w:val="en-US"/>
        </w:rPr>
        <w:t>5</w:t>
      </w:r>
      <w:r w:rsidR="00194DFC" w:rsidRPr="00D67F92">
        <w:rPr>
          <w:rFonts w:ascii="Times New Roman" w:hAnsi="Times New Roman"/>
          <w:strike/>
          <w:color w:val="FF0000"/>
          <w:lang w:val="en-US"/>
        </w:rPr>
        <w:t>8</w:t>
      </w:r>
      <w:r w:rsidR="00D67F92" w:rsidRPr="00D67F92">
        <w:rPr>
          <w:rFonts w:ascii="Times New Roman" w:hAnsi="Times New Roman"/>
          <w:color w:val="FF0000"/>
          <w:lang w:val="en-US"/>
        </w:rPr>
        <w:t xml:space="preserve"> 59</w:t>
      </w:r>
      <w:r w:rsidRPr="00D67F92">
        <w:rPr>
          <w:rFonts w:ascii="Times New Roman" w:hAnsi="Times New Roman"/>
          <w:color w:val="auto"/>
          <w:lang w:val="en-US"/>
        </w:rPr>
        <w:t>]: through vision</w:t>
      </w:r>
      <w:r w:rsidRPr="00CE68CC">
        <w:rPr>
          <w:rFonts w:ascii="Times New Roman" w:hAnsi="Times New Roman"/>
          <w:color w:val="auto"/>
          <w:lang w:val="en-US"/>
        </w:rPr>
        <w:t xml:space="preserve"> the child acquires the most important cognitive milestones </w:t>
      </w:r>
      <w:r w:rsidRPr="002D383C">
        <w:rPr>
          <w:rFonts w:ascii="Times New Roman" w:hAnsi="Times New Roman"/>
          <w:color w:val="auto"/>
          <w:lang w:val="en-US"/>
        </w:rPr>
        <w:t>such as the awareness of</w:t>
      </w:r>
      <w:r w:rsidRPr="002D383C">
        <w:rPr>
          <w:rFonts w:ascii="Times New Roman" w:hAnsi="Times New Roman"/>
          <w:lang w:val="en-US"/>
        </w:rPr>
        <w:t xml:space="preserve"> physical causality, spatial relations, and object permanence. An early-onset visual deficit may determine difficulties in the cognitive processing of reality. These data may explain why our children showed delayed score in performance and global domains at GMDS-R.</w:t>
      </w:r>
      <w:r>
        <w:rPr>
          <w:rFonts w:ascii="Times New Roman" w:hAnsi="Times New Roman"/>
          <w:lang w:val="en-US"/>
        </w:rPr>
        <w:t xml:space="preserve">  </w:t>
      </w:r>
    </w:p>
    <w:p w14:paraId="3BB428FE" w14:textId="507F63AB" w:rsidR="006170EB" w:rsidRPr="00CE68CC" w:rsidRDefault="00D15C98">
      <w:pPr>
        <w:spacing w:after="0" w:line="480" w:lineRule="auto"/>
        <w:ind w:left="1134"/>
        <w:jc w:val="both"/>
        <w:rPr>
          <w:rFonts w:ascii="Times New Roman" w:hAnsi="Times New Roman"/>
          <w:color w:val="auto"/>
          <w:lang w:val="en-US"/>
        </w:rPr>
      </w:pPr>
      <w:r>
        <w:rPr>
          <w:rFonts w:ascii="Times New Roman" w:hAnsi="Times New Roman"/>
          <w:lang w:val="en-US"/>
        </w:rPr>
        <w:t>At the time of direct evaluation, all the children presented a normal neurological examination except for receptive and expressive language disorder (2 cases) and for a variable combination of visual signs and symptoms, in particular refractive errors, iris translucency, hypopigmentation of the retina, foveal hypoplasia, photophobia, abnormal head position, strabismus, nystagmus, unstable fixation, discontinued smooth pursuit, saccades dysfunctions, reduced visual acuity (moderate visual impairment</w:t>
      </w:r>
      <w:r w:rsidR="002D383C">
        <w:rPr>
          <w:rFonts w:ascii="Times New Roman" w:hAnsi="Times New Roman"/>
          <w:lang w:val="en-US"/>
        </w:rPr>
        <w:t>/</w:t>
      </w:r>
      <w:r w:rsidRPr="002D383C">
        <w:rPr>
          <w:rFonts w:ascii="Times New Roman" w:hAnsi="Times New Roman"/>
          <w:lang w:val="en-US"/>
        </w:rPr>
        <w:t xml:space="preserve">partial blindness), altered contrast sensitivity, and visual field limitations. Literature data report that </w:t>
      </w:r>
      <w:r w:rsidRPr="002D383C">
        <w:rPr>
          <w:rFonts w:ascii="Times New Roman" w:hAnsi="Times New Roman"/>
          <w:color w:val="auto"/>
          <w:lang w:val="en-US"/>
        </w:rPr>
        <w:t>these ocular, oculomotor, and basic visual functions manifestations are shared across all types of OCA [</w:t>
      </w:r>
      <w:r w:rsidR="004B681E" w:rsidRPr="002D383C">
        <w:rPr>
          <w:rFonts w:ascii="Times New Roman" w:hAnsi="Times New Roman"/>
          <w:color w:val="auto"/>
          <w:lang w:val="en-US"/>
        </w:rPr>
        <w:t>60</w:t>
      </w:r>
      <w:r w:rsidRPr="002D383C">
        <w:rPr>
          <w:rFonts w:ascii="Times New Roman" w:hAnsi="Times New Roman"/>
          <w:color w:val="auto"/>
          <w:lang w:val="en-US"/>
        </w:rPr>
        <w:t>].</w:t>
      </w:r>
      <w:r w:rsidRPr="00CE68CC">
        <w:rPr>
          <w:rFonts w:ascii="Times New Roman" w:hAnsi="Times New Roman"/>
          <w:color w:val="auto"/>
          <w:lang w:val="en-US"/>
        </w:rPr>
        <w:t xml:space="preserve"> </w:t>
      </w:r>
    </w:p>
    <w:p w14:paraId="09957843" w14:textId="282B6705" w:rsidR="006170EB" w:rsidRPr="004B681E" w:rsidRDefault="00D15C98" w:rsidP="004B681E">
      <w:pPr>
        <w:spacing w:after="0" w:line="480" w:lineRule="auto"/>
        <w:ind w:left="1134"/>
        <w:jc w:val="both"/>
        <w:rPr>
          <w:rFonts w:ascii="Times New Roman" w:hAnsi="Times New Roman"/>
          <w:color w:val="FF0000"/>
          <w:lang w:val="en-US"/>
        </w:rPr>
      </w:pPr>
      <w:r w:rsidRPr="00CE68CC">
        <w:rPr>
          <w:rFonts w:ascii="Times New Roman" w:hAnsi="Times New Roman"/>
          <w:color w:val="auto"/>
          <w:lang w:val="en-US"/>
        </w:rPr>
        <w:t xml:space="preserve">We observed that the delayed score in DQ at GMDS-R do not evolve into an intellectual disability. The only </w:t>
      </w:r>
      <w:bookmarkStart w:id="11" w:name="_Hlk120341527"/>
      <w:r w:rsidRPr="00CE68CC">
        <w:rPr>
          <w:rFonts w:ascii="Times New Roman" w:hAnsi="Times New Roman"/>
          <w:color w:val="auto"/>
          <w:lang w:val="en-US"/>
        </w:rPr>
        <w:t xml:space="preserve">child with delayed scores at FSIQ presented a PIQ within normal range and </w:t>
      </w:r>
      <w:r w:rsidRPr="00CE68CC">
        <w:rPr>
          <w:rFonts w:ascii="Times New Roman" w:hAnsi="Times New Roman"/>
          <w:color w:val="auto"/>
          <w:lang w:val="en-US"/>
        </w:rPr>
        <w:lastRenderedPageBreak/>
        <w:t>a severe language disorder that can justify the low score at verbal and total scale. Literature data</w:t>
      </w:r>
      <w:r>
        <w:rPr>
          <w:rFonts w:ascii="Times New Roman" w:hAnsi="Times New Roman"/>
          <w:color w:val="FF0000"/>
          <w:lang w:val="en-US"/>
        </w:rPr>
        <w:t xml:space="preserve"> </w:t>
      </w:r>
      <w:r w:rsidRPr="00CE68CC">
        <w:rPr>
          <w:rFonts w:ascii="Times New Roman" w:hAnsi="Times New Roman"/>
          <w:color w:val="auto"/>
          <w:lang w:val="en-US"/>
        </w:rPr>
        <w:t>on cognitive skills in subjects suffered from peripheral visual deficit are dated and scarce, reporting different results according to etiopathogenesis: studies conducted on albino subjects do not detect intellectual deficits [</w:t>
      </w:r>
      <w:r w:rsidRPr="002D383C">
        <w:rPr>
          <w:rFonts w:ascii="Times New Roman" w:hAnsi="Times New Roman"/>
          <w:strike/>
          <w:color w:val="FF0000"/>
          <w:lang w:val="en-US"/>
        </w:rPr>
        <w:t>15-17</w:t>
      </w:r>
      <w:r w:rsidR="002D383C" w:rsidRPr="002D383C">
        <w:rPr>
          <w:rFonts w:ascii="Times New Roman" w:hAnsi="Times New Roman"/>
          <w:color w:val="FF0000"/>
          <w:lang w:val="en-US"/>
        </w:rPr>
        <w:t xml:space="preserve"> 16-18</w:t>
      </w:r>
      <w:r w:rsidRPr="00CE68CC">
        <w:rPr>
          <w:rFonts w:ascii="Times New Roman" w:hAnsi="Times New Roman"/>
          <w:color w:val="auto"/>
          <w:lang w:val="en-US"/>
        </w:rPr>
        <w:t xml:space="preserve">] and, thus, support our observations, while cognitive disability was found in patients with Leber’s Congenital Amaurosis (50%), probably for </w:t>
      </w:r>
      <w:r w:rsidR="00E63254" w:rsidRPr="00CE68CC">
        <w:rPr>
          <w:rFonts w:ascii="Times New Roman" w:hAnsi="Times New Roman"/>
          <w:color w:val="auto"/>
          <w:lang w:val="en-US"/>
        </w:rPr>
        <w:t xml:space="preserve">an association with </w:t>
      </w:r>
      <w:r w:rsidR="001615A6" w:rsidRPr="00CE68CC">
        <w:rPr>
          <w:rFonts w:ascii="Times New Roman" w:hAnsi="Times New Roman"/>
          <w:color w:val="auto"/>
          <w:lang w:val="en-US"/>
        </w:rPr>
        <w:t>central nervous system (</w:t>
      </w:r>
      <w:r w:rsidRPr="00CE68CC">
        <w:rPr>
          <w:rFonts w:ascii="Times New Roman" w:hAnsi="Times New Roman"/>
          <w:color w:val="auto"/>
          <w:lang w:val="en-US"/>
        </w:rPr>
        <w:t>CNS</w:t>
      </w:r>
      <w:r w:rsidR="001615A6" w:rsidRPr="00CE68CC">
        <w:rPr>
          <w:rFonts w:ascii="Times New Roman" w:hAnsi="Times New Roman"/>
          <w:color w:val="auto"/>
          <w:lang w:val="en-US"/>
        </w:rPr>
        <w:t>)</w:t>
      </w:r>
      <w:r w:rsidRPr="00CE68CC">
        <w:rPr>
          <w:rFonts w:ascii="Times New Roman" w:hAnsi="Times New Roman"/>
          <w:color w:val="auto"/>
          <w:lang w:val="en-US"/>
        </w:rPr>
        <w:t xml:space="preserve"> anomalies (such as microgyria, polygyria, hypoplasia of the cerebellar vermis, ventricular dilatation) </w:t>
      </w:r>
      <w:r w:rsidR="004B681E" w:rsidRPr="00CE68CC">
        <w:rPr>
          <w:rFonts w:ascii="Times New Roman" w:hAnsi="Times New Roman"/>
          <w:color w:val="auto"/>
          <w:lang w:val="en-US"/>
        </w:rPr>
        <w:t xml:space="preserve">[61]. </w:t>
      </w:r>
      <w:r w:rsidRPr="002D383C">
        <w:rPr>
          <w:rFonts w:ascii="Times New Roman" w:hAnsi="Times New Roman"/>
          <w:color w:val="auto"/>
          <w:lang w:val="en-US"/>
        </w:rPr>
        <w:t>In presence</w:t>
      </w:r>
      <w:r w:rsidRPr="002D383C">
        <w:rPr>
          <w:rFonts w:ascii="Times New Roman" w:hAnsi="Times New Roman"/>
          <w:lang w:val="en-US"/>
        </w:rPr>
        <w:t xml:space="preserve"> of a visual impairment, sound and </w:t>
      </w:r>
      <w:r w:rsidRPr="002D383C">
        <w:rPr>
          <w:rFonts w:ascii="Times New Roman" w:hAnsi="Times New Roman"/>
          <w:color w:val="auto"/>
          <w:lang w:val="en-US"/>
        </w:rPr>
        <w:t>touch can guide motor experience and exploration of</w:t>
      </w:r>
      <w:r w:rsidRPr="00CE68CC">
        <w:rPr>
          <w:rFonts w:ascii="Times New Roman" w:hAnsi="Times New Roman"/>
          <w:color w:val="auto"/>
          <w:lang w:val="en-US"/>
        </w:rPr>
        <w:t xml:space="preserve"> the surrounding environment. The “reach and touch on sound” stage, i.e., the ability to reach out for and grasp an object presented exclusively through the sound, constitutes a topical </w:t>
      </w:r>
      <w:bookmarkEnd w:id="11"/>
      <w:r w:rsidRPr="00CE68CC">
        <w:rPr>
          <w:rFonts w:ascii="Times New Roman" w:hAnsi="Times New Roman"/>
          <w:color w:val="auto"/>
          <w:lang w:val="en-US"/>
        </w:rPr>
        <w:t>moment in the development of visually impaired children, allowing them to access to the world of mental representation</w:t>
      </w:r>
      <w:r w:rsidR="004B681E" w:rsidRPr="00CE68CC">
        <w:rPr>
          <w:rFonts w:ascii="Times New Roman" w:hAnsi="Times New Roman"/>
          <w:color w:val="auto"/>
          <w:lang w:val="en-US"/>
        </w:rPr>
        <w:t xml:space="preserve"> </w:t>
      </w:r>
      <w:r w:rsidRPr="00CE68CC">
        <w:rPr>
          <w:rFonts w:ascii="Times New Roman" w:hAnsi="Times New Roman"/>
          <w:color w:val="auto"/>
          <w:lang w:val="en-US"/>
        </w:rPr>
        <w:t>[</w:t>
      </w:r>
      <w:r w:rsidR="004B681E" w:rsidRPr="002D383C">
        <w:rPr>
          <w:rFonts w:ascii="Times New Roman" w:hAnsi="Times New Roman"/>
          <w:strike/>
          <w:color w:val="FF0000"/>
          <w:lang w:val="en-US"/>
        </w:rPr>
        <w:t>44; 48</w:t>
      </w:r>
      <w:r w:rsidR="002D383C" w:rsidRPr="002D383C">
        <w:rPr>
          <w:rFonts w:ascii="Times New Roman" w:hAnsi="Times New Roman"/>
          <w:color w:val="FF0000"/>
          <w:lang w:val="en-US"/>
        </w:rPr>
        <w:t xml:space="preserve"> 45; 49</w:t>
      </w:r>
      <w:r w:rsidRPr="00CE68CC">
        <w:rPr>
          <w:rFonts w:ascii="Times New Roman" w:hAnsi="Times New Roman"/>
          <w:color w:val="auto"/>
          <w:lang w:val="en-US"/>
        </w:rPr>
        <w:t xml:space="preserve">]. </w:t>
      </w:r>
      <w:bookmarkStart w:id="12" w:name="_Hlk120341649"/>
      <w:r w:rsidRPr="00CE68CC">
        <w:rPr>
          <w:rFonts w:ascii="Times New Roman" w:hAnsi="Times New Roman"/>
          <w:color w:val="auto"/>
          <w:lang w:val="en-US"/>
        </w:rPr>
        <w:t>Literature indicates that by the age of 36 months, most children with visual impairment fully acquire the reach on sound function, considered a condition of, and a catalyst to, all the subsequent achievements [</w:t>
      </w:r>
      <w:r w:rsidRPr="002D383C">
        <w:rPr>
          <w:rFonts w:ascii="Times New Roman" w:hAnsi="Times New Roman"/>
          <w:strike/>
          <w:color w:val="FF0000"/>
          <w:lang w:val="en-US"/>
        </w:rPr>
        <w:t>4</w:t>
      </w:r>
      <w:r w:rsidR="004B681E" w:rsidRPr="002D383C">
        <w:rPr>
          <w:rFonts w:ascii="Times New Roman" w:hAnsi="Times New Roman"/>
          <w:strike/>
          <w:color w:val="FF0000"/>
          <w:lang w:val="en-US"/>
        </w:rPr>
        <w:t>4</w:t>
      </w:r>
      <w:r w:rsidR="002D383C" w:rsidRPr="002D383C">
        <w:rPr>
          <w:rFonts w:ascii="Times New Roman" w:hAnsi="Times New Roman"/>
          <w:color w:val="FF0000"/>
          <w:lang w:val="en-US"/>
        </w:rPr>
        <w:t xml:space="preserve"> 45</w:t>
      </w:r>
      <w:r w:rsidRPr="00CE68CC">
        <w:rPr>
          <w:rFonts w:ascii="Times New Roman" w:hAnsi="Times New Roman"/>
          <w:color w:val="auto"/>
          <w:lang w:val="en-US"/>
        </w:rPr>
        <w:t>]. In this</w:t>
      </w:r>
      <w:r>
        <w:rPr>
          <w:rFonts w:ascii="Times New Roman" w:hAnsi="Times New Roman"/>
          <w:lang w:val="en-US"/>
        </w:rPr>
        <w:t xml:space="preserve"> regard, </w:t>
      </w:r>
      <w:bookmarkStart w:id="13" w:name="_Hlk120532419"/>
      <w:r>
        <w:rPr>
          <w:rFonts w:ascii="Times New Roman" w:hAnsi="Times New Roman"/>
          <w:lang w:val="en-US"/>
        </w:rPr>
        <w:t>we hypothesize that the achievement of the reach on sound phase in our sample may have organized not only motor, but also cognitive and behavioral experience, determining a normal developmental trajectory</w:t>
      </w:r>
      <w:bookmarkEnd w:id="12"/>
      <w:r>
        <w:rPr>
          <w:rFonts w:ascii="Times New Roman" w:hAnsi="Times New Roman"/>
          <w:lang w:val="en-US"/>
        </w:rPr>
        <w:t xml:space="preserve">. </w:t>
      </w:r>
      <w:bookmarkEnd w:id="13"/>
      <w:r>
        <w:rPr>
          <w:rFonts w:ascii="Times New Roman" w:hAnsi="Times New Roman"/>
          <w:lang w:val="en-US"/>
        </w:rPr>
        <w:t>Furthermore, our data are in line with literature, reporting normal cognitive quotients in albino subjects [</w:t>
      </w:r>
      <w:r w:rsidR="002D383C" w:rsidRPr="002D383C">
        <w:rPr>
          <w:rFonts w:ascii="Times New Roman" w:hAnsi="Times New Roman"/>
          <w:strike/>
          <w:color w:val="FF0000"/>
          <w:lang w:val="en-US"/>
        </w:rPr>
        <w:t>15-17</w:t>
      </w:r>
      <w:r w:rsidR="002D383C" w:rsidRPr="002D383C">
        <w:rPr>
          <w:rFonts w:ascii="Times New Roman" w:hAnsi="Times New Roman"/>
          <w:color w:val="FF0000"/>
          <w:lang w:val="en-US"/>
        </w:rPr>
        <w:t xml:space="preserve"> 16-18</w:t>
      </w:r>
      <w:r>
        <w:rPr>
          <w:rFonts w:ascii="Times New Roman" w:hAnsi="Times New Roman"/>
          <w:lang w:val="en-US"/>
        </w:rPr>
        <w:t xml:space="preserve">]. The level of visual acuity seemed to positively correlate with PIQ and </w:t>
      </w:r>
      <w:r>
        <w:rPr>
          <w:rFonts w:ascii="Times New Roman" w:hAnsi="Times New Roman"/>
          <w:iCs/>
          <w:lang w:val="en-GB"/>
        </w:rPr>
        <w:t xml:space="preserve">PSI, probably because these scales may be more dependent from visual input. </w:t>
      </w:r>
    </w:p>
    <w:p w14:paraId="4633499A" w14:textId="0996EB36" w:rsidR="006170EB" w:rsidRPr="00CE68CC" w:rsidRDefault="00D15C98" w:rsidP="004B681E">
      <w:pPr>
        <w:spacing w:after="0" w:line="480" w:lineRule="auto"/>
        <w:ind w:left="1134"/>
        <w:jc w:val="both"/>
        <w:rPr>
          <w:rFonts w:ascii="Times New Roman" w:hAnsi="Times New Roman"/>
          <w:iCs/>
          <w:color w:val="auto"/>
          <w:lang w:val="en-GB"/>
        </w:rPr>
      </w:pPr>
      <w:r>
        <w:rPr>
          <w:rFonts w:ascii="Times New Roman" w:hAnsi="Times New Roman"/>
          <w:iCs/>
          <w:lang w:val="en-GB"/>
        </w:rPr>
        <w:t xml:space="preserve">Few subjects of our sample reported </w:t>
      </w:r>
      <w:r w:rsidRPr="002D383C">
        <w:rPr>
          <w:rFonts w:ascii="Times New Roman" w:hAnsi="Times New Roman"/>
          <w:iCs/>
          <w:lang w:val="en-GB"/>
        </w:rPr>
        <w:t>difficulties in adaptive skills</w:t>
      </w:r>
      <w:r>
        <w:rPr>
          <w:rFonts w:ascii="Times New Roman" w:hAnsi="Times New Roman"/>
          <w:iCs/>
          <w:lang w:val="en-GB"/>
        </w:rPr>
        <w:t xml:space="preserve"> according to the VABS-II interview. No data on adaptive functioning of individuals </w:t>
      </w:r>
      <w:r w:rsidRPr="00CE68CC">
        <w:rPr>
          <w:rFonts w:ascii="Times New Roman" w:hAnsi="Times New Roman"/>
          <w:iCs/>
          <w:color w:val="auto"/>
          <w:lang w:val="en-GB"/>
        </w:rPr>
        <w:t xml:space="preserve">affected by OCA are available, but studies on visually impaired subjects documented inadequate skills in the </w:t>
      </w:r>
      <w:r w:rsidRPr="002D383C">
        <w:rPr>
          <w:rFonts w:ascii="Times New Roman" w:hAnsi="Times New Roman"/>
          <w:iCs/>
          <w:color w:val="auto"/>
          <w:lang w:val="en-GB"/>
        </w:rPr>
        <w:t>majority of cases [</w:t>
      </w:r>
      <w:r w:rsidR="004B681E" w:rsidRPr="002D383C">
        <w:rPr>
          <w:rFonts w:ascii="Times New Roman" w:hAnsi="Times New Roman"/>
          <w:iCs/>
          <w:strike/>
          <w:color w:val="FF0000"/>
          <w:lang w:val="en-GB"/>
        </w:rPr>
        <w:t>61-62</w:t>
      </w:r>
      <w:r w:rsidR="002D383C" w:rsidRPr="002D383C">
        <w:rPr>
          <w:rFonts w:ascii="Times New Roman" w:hAnsi="Times New Roman"/>
          <w:iCs/>
          <w:color w:val="FF0000"/>
          <w:lang w:val="en-GB"/>
        </w:rPr>
        <w:t xml:space="preserve"> 62-63</w:t>
      </w:r>
      <w:r w:rsidRPr="002D383C">
        <w:rPr>
          <w:rFonts w:ascii="Times New Roman" w:hAnsi="Times New Roman"/>
          <w:iCs/>
          <w:color w:val="auto"/>
          <w:lang w:val="en-GB"/>
        </w:rPr>
        <w:t>]. This difference may be explained by the characteristics of sample in terms</w:t>
      </w:r>
      <w:r w:rsidRPr="00CE68CC">
        <w:rPr>
          <w:rFonts w:ascii="Times New Roman" w:hAnsi="Times New Roman"/>
          <w:iCs/>
          <w:color w:val="auto"/>
          <w:lang w:val="en-GB"/>
        </w:rPr>
        <w:t xml:space="preserve"> of 1) level of visual acuity (predominantly blindness in the above cited studies </w:t>
      </w:r>
      <w:r w:rsidRPr="00CE68CC">
        <w:rPr>
          <w:rFonts w:ascii="Times New Roman" w:hAnsi="Times New Roman"/>
          <w:i/>
          <w:color w:val="auto"/>
          <w:lang w:val="en-GB"/>
        </w:rPr>
        <w:t>vs</w:t>
      </w:r>
      <w:r w:rsidRPr="00CE68CC">
        <w:rPr>
          <w:rFonts w:ascii="Times New Roman" w:hAnsi="Times New Roman"/>
          <w:iCs/>
          <w:color w:val="auto"/>
          <w:lang w:val="en-GB"/>
        </w:rPr>
        <w:t xml:space="preserve"> predominantly low vision in ours), 2) timing of visual deficit onset (different age </w:t>
      </w:r>
      <w:r w:rsidRPr="00CE68CC">
        <w:rPr>
          <w:rFonts w:ascii="Times New Roman" w:hAnsi="Times New Roman"/>
          <w:i/>
          <w:color w:val="auto"/>
          <w:lang w:val="en-GB"/>
        </w:rPr>
        <w:t>vs</w:t>
      </w:r>
      <w:r w:rsidRPr="00CE68CC">
        <w:rPr>
          <w:rFonts w:ascii="Times New Roman" w:hAnsi="Times New Roman"/>
          <w:iCs/>
          <w:color w:val="auto"/>
          <w:lang w:val="en-GB"/>
        </w:rPr>
        <w:t xml:space="preserve"> congenital) and 3) aetiology (multiple causes </w:t>
      </w:r>
      <w:r w:rsidRPr="00CE68CC">
        <w:rPr>
          <w:rFonts w:ascii="Times New Roman" w:hAnsi="Times New Roman"/>
          <w:i/>
          <w:color w:val="auto"/>
          <w:lang w:val="en-GB"/>
        </w:rPr>
        <w:t>vs</w:t>
      </w:r>
      <w:r w:rsidRPr="00CE68CC">
        <w:rPr>
          <w:rFonts w:ascii="Times New Roman" w:hAnsi="Times New Roman"/>
          <w:iCs/>
          <w:color w:val="auto"/>
          <w:lang w:val="en-GB"/>
        </w:rPr>
        <w:t xml:space="preserve"> OCA). As </w:t>
      </w:r>
      <w:r w:rsidRPr="0064235C">
        <w:rPr>
          <w:rFonts w:ascii="Times New Roman" w:hAnsi="Times New Roman"/>
          <w:iCs/>
          <w:color w:val="auto"/>
          <w:lang w:val="en-GB"/>
        </w:rPr>
        <w:t>described by other authors [</w:t>
      </w:r>
      <w:r w:rsidR="004B681E" w:rsidRPr="0064235C">
        <w:rPr>
          <w:rFonts w:ascii="Times New Roman" w:hAnsi="Times New Roman"/>
          <w:iCs/>
          <w:strike/>
          <w:color w:val="FF0000"/>
          <w:lang w:val="en-GB"/>
        </w:rPr>
        <w:t>63-65</w:t>
      </w:r>
      <w:r w:rsidR="0064235C" w:rsidRPr="0064235C">
        <w:rPr>
          <w:rFonts w:ascii="Times New Roman" w:hAnsi="Times New Roman"/>
          <w:iCs/>
          <w:color w:val="FF0000"/>
          <w:lang w:val="en-GB"/>
        </w:rPr>
        <w:t xml:space="preserve"> 64-66</w:t>
      </w:r>
      <w:r w:rsidRPr="0064235C">
        <w:rPr>
          <w:rFonts w:ascii="Times New Roman" w:hAnsi="Times New Roman"/>
          <w:iCs/>
          <w:color w:val="auto"/>
          <w:lang w:val="en-GB"/>
        </w:rPr>
        <w:t>], we found</w:t>
      </w:r>
      <w:r w:rsidRPr="0064235C">
        <w:rPr>
          <w:rFonts w:ascii="Times New Roman" w:hAnsi="Times New Roman"/>
          <w:iCs/>
          <w:lang w:val="en-GB"/>
        </w:rPr>
        <w:t xml:space="preserve"> that the level</w:t>
      </w:r>
      <w:r>
        <w:rPr>
          <w:rFonts w:ascii="Times New Roman" w:hAnsi="Times New Roman"/>
          <w:iCs/>
          <w:lang w:val="en-GB"/>
        </w:rPr>
        <w:t xml:space="preserve"> of </w:t>
      </w:r>
      <w:bookmarkStart w:id="14" w:name="_Hlk120342199"/>
      <w:r>
        <w:rPr>
          <w:rFonts w:ascii="Times New Roman" w:hAnsi="Times New Roman"/>
          <w:iCs/>
          <w:lang w:val="en-GB"/>
        </w:rPr>
        <w:t xml:space="preserve">visual acuity seemed to influence the VABS-II total score, as well as the communicative and social functioning domains: </w:t>
      </w:r>
      <w:bookmarkEnd w:id="14"/>
      <w:r>
        <w:rPr>
          <w:rFonts w:ascii="Times New Roman" w:hAnsi="Times New Roman"/>
          <w:iCs/>
          <w:lang w:val="en-US"/>
        </w:rPr>
        <w:t xml:space="preserve">subjects with marked visual impairment have greater adaptive difficulties. </w:t>
      </w:r>
      <w:r>
        <w:rPr>
          <w:rFonts w:ascii="Times New Roman" w:hAnsi="Times New Roman"/>
          <w:iCs/>
          <w:lang w:val="en-US"/>
        </w:rPr>
        <w:lastRenderedPageBreak/>
        <w:t xml:space="preserve">Different factors may contribute to this positive relation. First, children with a basic level of vision may have a </w:t>
      </w:r>
      <w:r w:rsidRPr="00CE68CC">
        <w:rPr>
          <w:rFonts w:ascii="Times New Roman" w:hAnsi="Times New Roman"/>
          <w:iCs/>
          <w:color w:val="auto"/>
          <w:lang w:val="en-US"/>
        </w:rPr>
        <w:t>protection to social communicative development compared to those with profound visual impairment [</w:t>
      </w:r>
      <w:r w:rsidR="004B681E" w:rsidRPr="0064235C">
        <w:rPr>
          <w:rFonts w:ascii="Times New Roman" w:hAnsi="Times New Roman"/>
          <w:iCs/>
          <w:strike/>
          <w:color w:val="FF0000"/>
          <w:lang w:val="en-US"/>
        </w:rPr>
        <w:t>64</w:t>
      </w:r>
      <w:r w:rsidR="0064235C" w:rsidRPr="0064235C">
        <w:rPr>
          <w:rFonts w:ascii="Times New Roman" w:hAnsi="Times New Roman"/>
          <w:iCs/>
          <w:color w:val="FF0000"/>
          <w:lang w:val="en-US"/>
        </w:rPr>
        <w:t xml:space="preserve"> 65</w:t>
      </w:r>
      <w:r w:rsidRPr="00CE68CC">
        <w:rPr>
          <w:rFonts w:ascii="Times New Roman" w:hAnsi="Times New Roman"/>
          <w:iCs/>
          <w:color w:val="auto"/>
          <w:lang w:val="en-US"/>
        </w:rPr>
        <w:t xml:space="preserve">]. In fact, vision could be considered as a mediator of verbal language development (as described above) as well as of non-verbal pragmatic behaviors of social </w:t>
      </w:r>
      <w:r w:rsidRPr="0064235C">
        <w:rPr>
          <w:rFonts w:ascii="Times New Roman" w:hAnsi="Times New Roman"/>
          <w:iCs/>
          <w:color w:val="auto"/>
          <w:lang w:val="en-US"/>
        </w:rPr>
        <w:t>interactions (such as eye contact, recognition of facial expression</w:t>
      </w:r>
      <w:r w:rsidRPr="00CE68CC">
        <w:rPr>
          <w:rFonts w:ascii="Times New Roman" w:hAnsi="Times New Roman"/>
          <w:iCs/>
          <w:color w:val="auto"/>
          <w:lang w:val="en-US"/>
        </w:rPr>
        <w:t>, and visual imitation) [</w:t>
      </w:r>
      <w:r w:rsidR="004B681E" w:rsidRPr="0064235C">
        <w:rPr>
          <w:rFonts w:ascii="Times New Roman" w:hAnsi="Times New Roman"/>
          <w:iCs/>
          <w:strike/>
          <w:color w:val="FF0000"/>
          <w:lang w:val="en-US"/>
        </w:rPr>
        <w:t>64; 6</w:t>
      </w:r>
      <w:r w:rsidR="00202FE0" w:rsidRPr="0064235C">
        <w:rPr>
          <w:rFonts w:ascii="Times New Roman" w:hAnsi="Times New Roman"/>
          <w:iCs/>
          <w:strike/>
          <w:color w:val="FF0000"/>
          <w:lang w:val="en-US"/>
        </w:rPr>
        <w:t>6</w:t>
      </w:r>
      <w:r w:rsidR="0064235C" w:rsidRPr="0064235C">
        <w:rPr>
          <w:rFonts w:ascii="Times New Roman" w:hAnsi="Times New Roman"/>
          <w:iCs/>
          <w:color w:val="FF0000"/>
          <w:lang w:val="en-US"/>
        </w:rPr>
        <w:t xml:space="preserve"> 65; 67</w:t>
      </w:r>
      <w:r w:rsidRPr="00CE68CC">
        <w:rPr>
          <w:rFonts w:ascii="Times New Roman" w:hAnsi="Times New Roman"/>
          <w:iCs/>
          <w:color w:val="auto"/>
          <w:lang w:val="en-US"/>
        </w:rPr>
        <w:t xml:space="preserve">]. Second, </w:t>
      </w:r>
      <w:r w:rsidRPr="00CE68CC">
        <w:rPr>
          <w:rFonts w:ascii="Times New Roman" w:hAnsi="Times New Roman"/>
          <w:color w:val="auto"/>
          <w:lang w:val="en-GB"/>
        </w:rPr>
        <w:t>out of school activities such as socializing, dancing, playing non-team sports, going to movies etc., depends on sensory input and, thus, impairments may lead to lower performance in daily life skills and socialization [</w:t>
      </w:r>
      <w:r w:rsidR="00D9361B" w:rsidRPr="0064235C">
        <w:rPr>
          <w:rFonts w:ascii="Times New Roman" w:hAnsi="Times New Roman"/>
          <w:strike/>
          <w:color w:val="FF0000"/>
          <w:lang w:val="en-GB"/>
        </w:rPr>
        <w:t>46; 61</w:t>
      </w:r>
      <w:r w:rsidR="0064235C" w:rsidRPr="0064235C">
        <w:rPr>
          <w:rFonts w:ascii="Times New Roman" w:hAnsi="Times New Roman"/>
          <w:color w:val="FF0000"/>
          <w:lang w:val="en-GB"/>
        </w:rPr>
        <w:t xml:space="preserve"> 47; 62</w:t>
      </w:r>
      <w:r w:rsidRPr="00CE68CC">
        <w:rPr>
          <w:rFonts w:ascii="Times New Roman" w:hAnsi="Times New Roman"/>
          <w:color w:val="auto"/>
          <w:lang w:val="en-GB"/>
        </w:rPr>
        <w:t xml:space="preserve">]. Furthermore, </w:t>
      </w:r>
      <w:r w:rsidRPr="00CE68CC">
        <w:rPr>
          <w:rFonts w:ascii="Times New Roman" w:hAnsi="Times New Roman"/>
          <w:iCs/>
          <w:color w:val="auto"/>
          <w:lang w:val="en-US"/>
        </w:rPr>
        <w:t xml:space="preserve">parents tend to be </w:t>
      </w:r>
      <w:r w:rsidRPr="0064235C">
        <w:rPr>
          <w:rFonts w:ascii="Times New Roman" w:hAnsi="Times New Roman"/>
          <w:iCs/>
          <w:color w:val="auto"/>
          <w:lang w:val="en-US"/>
        </w:rPr>
        <w:t xml:space="preserve">overprotective with their child, especially if blind, limiting them </w:t>
      </w:r>
      <w:r w:rsidRPr="0064235C">
        <w:rPr>
          <w:rFonts w:ascii="Times New Roman" w:hAnsi="Times New Roman"/>
          <w:iCs/>
          <w:color w:val="auto"/>
          <w:lang w:val="en-GB"/>
        </w:rPr>
        <w:t>in coping with tasks by themselves [</w:t>
      </w:r>
      <w:r w:rsidR="00D9361B" w:rsidRPr="0064235C">
        <w:rPr>
          <w:rFonts w:ascii="Times New Roman" w:hAnsi="Times New Roman"/>
          <w:iCs/>
          <w:strike/>
          <w:color w:val="FF0000"/>
          <w:lang w:val="en-GB"/>
        </w:rPr>
        <w:t>61; 63</w:t>
      </w:r>
      <w:r w:rsidR="0064235C" w:rsidRPr="0064235C">
        <w:rPr>
          <w:rFonts w:ascii="Times New Roman" w:hAnsi="Times New Roman"/>
          <w:iCs/>
          <w:color w:val="FF0000"/>
          <w:lang w:val="en-GB"/>
        </w:rPr>
        <w:t xml:space="preserve"> 62; 64</w:t>
      </w:r>
      <w:r w:rsidRPr="0064235C">
        <w:rPr>
          <w:rFonts w:ascii="Times New Roman" w:hAnsi="Times New Roman"/>
          <w:iCs/>
          <w:color w:val="auto"/>
          <w:lang w:val="en-GB"/>
        </w:rPr>
        <w:t>].</w:t>
      </w:r>
    </w:p>
    <w:p w14:paraId="389B79AE" w14:textId="277CF809" w:rsidR="0072478E" w:rsidRPr="00CE68CC" w:rsidRDefault="00D15C98" w:rsidP="00202FE0">
      <w:pPr>
        <w:spacing w:after="0" w:line="480" w:lineRule="auto"/>
        <w:ind w:left="1134"/>
        <w:jc w:val="both"/>
        <w:rPr>
          <w:rFonts w:ascii="Times New Roman" w:hAnsi="Times New Roman"/>
          <w:color w:val="auto"/>
          <w:lang w:val="en-GB"/>
        </w:rPr>
      </w:pPr>
      <w:bookmarkStart w:id="15" w:name="_Hlk120342744"/>
      <w:r>
        <w:rPr>
          <w:rFonts w:ascii="Times New Roman" w:hAnsi="Times New Roman"/>
          <w:lang w:val="en-GB"/>
        </w:rPr>
        <w:t xml:space="preserve">According to the CBCL, </w:t>
      </w:r>
      <w:r w:rsidRPr="00CE68CC">
        <w:rPr>
          <w:rFonts w:ascii="Times New Roman" w:hAnsi="Times New Roman"/>
          <w:color w:val="auto"/>
          <w:lang w:val="en-GB"/>
        </w:rPr>
        <w:t>33% of our children reached the clinical or subclinical range for internalizing problems, percentage that is higher than that observed in healthy</w:t>
      </w:r>
      <w:r w:rsidR="00E63254" w:rsidRPr="00CE68CC">
        <w:rPr>
          <w:rFonts w:ascii="Times New Roman" w:hAnsi="Times New Roman"/>
          <w:color w:val="auto"/>
          <w:lang w:val="en-GB"/>
        </w:rPr>
        <w:t xml:space="preserve"> pediatric</w:t>
      </w:r>
      <w:r w:rsidRPr="00CE68CC">
        <w:rPr>
          <w:rFonts w:ascii="Times New Roman" w:hAnsi="Times New Roman"/>
          <w:color w:val="auto"/>
          <w:lang w:val="en-GB"/>
        </w:rPr>
        <w:t xml:space="preserve"> population (anxiety disorders: </w:t>
      </w:r>
      <w:r w:rsidR="00D9361B" w:rsidRPr="00CE68CC">
        <w:rPr>
          <w:rFonts w:ascii="Times New Roman" w:hAnsi="Times New Roman"/>
          <w:color w:val="auto"/>
          <w:lang w:val="en-GB"/>
        </w:rPr>
        <w:t>6.5%, depressive disorder: 2.6%</w:t>
      </w:r>
      <w:r w:rsidRPr="00CE68CC">
        <w:rPr>
          <w:rFonts w:ascii="Times New Roman" w:hAnsi="Times New Roman"/>
          <w:color w:val="auto"/>
          <w:lang w:val="en-GB"/>
        </w:rPr>
        <w:t>)</w:t>
      </w:r>
      <w:r w:rsidR="00D9361B" w:rsidRPr="00CE68CC">
        <w:rPr>
          <w:rFonts w:ascii="Times New Roman" w:hAnsi="Times New Roman"/>
          <w:color w:val="auto"/>
          <w:lang w:val="en-GB"/>
        </w:rPr>
        <w:t xml:space="preserve"> [</w:t>
      </w:r>
      <w:r w:rsidR="00202FE0" w:rsidRPr="0064235C">
        <w:rPr>
          <w:rFonts w:ascii="Times New Roman" w:hAnsi="Times New Roman"/>
          <w:strike/>
          <w:color w:val="FF0000"/>
          <w:lang w:val="en-GB"/>
        </w:rPr>
        <w:t>67</w:t>
      </w:r>
      <w:r w:rsidR="0064235C" w:rsidRPr="0064235C">
        <w:rPr>
          <w:rFonts w:ascii="Times New Roman" w:hAnsi="Times New Roman"/>
          <w:color w:val="FF0000"/>
          <w:lang w:val="en-GB"/>
        </w:rPr>
        <w:t xml:space="preserve"> 68</w:t>
      </w:r>
      <w:r w:rsidR="00D9361B" w:rsidRPr="00CE68CC">
        <w:rPr>
          <w:rFonts w:ascii="Times New Roman" w:hAnsi="Times New Roman"/>
          <w:color w:val="auto"/>
          <w:lang w:val="en-GB"/>
        </w:rPr>
        <w:t>]</w:t>
      </w:r>
      <w:r w:rsidRPr="00CE68CC">
        <w:rPr>
          <w:rFonts w:ascii="Times New Roman" w:hAnsi="Times New Roman"/>
          <w:color w:val="auto"/>
          <w:lang w:val="en-GB"/>
        </w:rPr>
        <w:t>. Our findings mirrors previous studies that reported higher risk of emotionally reactive, anxiety, avoidant and withdrawal behaviours in peripheral visually impaired children (internalizing problems: 22.7%) [</w:t>
      </w:r>
      <w:r w:rsidR="00202FE0" w:rsidRPr="0064235C">
        <w:rPr>
          <w:rFonts w:ascii="Times New Roman" w:hAnsi="Times New Roman"/>
          <w:strike/>
          <w:color w:val="FF0000"/>
          <w:lang w:val="en-GB"/>
        </w:rPr>
        <w:t>68</w:t>
      </w:r>
      <w:r w:rsidR="0064235C" w:rsidRPr="0064235C">
        <w:rPr>
          <w:rFonts w:ascii="Times New Roman" w:hAnsi="Times New Roman"/>
          <w:color w:val="FF0000"/>
          <w:lang w:val="en-GB"/>
        </w:rPr>
        <w:t xml:space="preserve"> 69</w:t>
      </w:r>
      <w:r w:rsidRPr="00CE68CC">
        <w:rPr>
          <w:rFonts w:ascii="Times New Roman" w:hAnsi="Times New Roman"/>
          <w:color w:val="auto"/>
          <w:lang w:val="en-GB"/>
        </w:rPr>
        <w:t>]</w:t>
      </w:r>
      <w:bookmarkEnd w:id="15"/>
      <w:r w:rsidRPr="00CE68CC">
        <w:rPr>
          <w:rFonts w:ascii="Times New Roman" w:hAnsi="Times New Roman"/>
          <w:color w:val="auto"/>
          <w:lang w:val="en-GB"/>
        </w:rPr>
        <w:t xml:space="preserve">, although the exact mechanisms of this heightened risk are still unclear. It has been </w:t>
      </w:r>
      <w:r w:rsidR="00202FE0" w:rsidRPr="00CE68CC">
        <w:rPr>
          <w:rFonts w:ascii="Times New Roman" w:hAnsi="Times New Roman"/>
          <w:color w:val="auto"/>
          <w:lang w:val="en-GB"/>
        </w:rPr>
        <w:t>s</w:t>
      </w:r>
      <w:r w:rsidRPr="00CE68CC">
        <w:rPr>
          <w:rFonts w:ascii="Times New Roman" w:hAnsi="Times New Roman"/>
          <w:color w:val="auto"/>
          <w:lang w:val="en-GB"/>
        </w:rPr>
        <w:t>uggested that a visual reduction and</w:t>
      </w:r>
      <w:r>
        <w:rPr>
          <w:rFonts w:ascii="Times New Roman" w:hAnsi="Times New Roman"/>
          <w:lang w:val="en-GB"/>
        </w:rPr>
        <w:t xml:space="preserve"> the </w:t>
      </w:r>
      <w:r w:rsidRPr="0064235C">
        <w:rPr>
          <w:rFonts w:ascii="Times New Roman" w:hAnsi="Times New Roman"/>
          <w:lang w:val="en-GB"/>
        </w:rPr>
        <w:t>resulting limited sensory experiences may have a negative impact on emotional-behavioural self-</w:t>
      </w:r>
      <w:r w:rsidRPr="0064235C">
        <w:rPr>
          <w:rFonts w:ascii="Times New Roman" w:hAnsi="Times New Roman"/>
          <w:color w:val="auto"/>
          <w:lang w:val="en-GB"/>
        </w:rPr>
        <w:t>regulation [</w:t>
      </w:r>
      <w:r w:rsidR="00202FE0" w:rsidRPr="0064235C">
        <w:rPr>
          <w:rFonts w:ascii="Times New Roman" w:hAnsi="Times New Roman"/>
          <w:strike/>
          <w:color w:val="FF0000"/>
          <w:lang w:val="en-GB"/>
        </w:rPr>
        <w:t>69-70</w:t>
      </w:r>
      <w:r w:rsidR="0064235C" w:rsidRPr="0064235C">
        <w:rPr>
          <w:rFonts w:ascii="Times New Roman" w:hAnsi="Times New Roman"/>
          <w:color w:val="FF0000"/>
          <w:lang w:val="en-GB"/>
        </w:rPr>
        <w:t xml:space="preserve"> 70-71</w:t>
      </w:r>
      <w:r w:rsidRPr="0064235C">
        <w:rPr>
          <w:rFonts w:ascii="Times New Roman" w:hAnsi="Times New Roman"/>
          <w:color w:val="auto"/>
          <w:lang w:val="en-GB"/>
        </w:rPr>
        <w:t xml:space="preserve">]. </w:t>
      </w:r>
      <w:r w:rsidR="00C075CF" w:rsidRPr="0064235C">
        <w:rPr>
          <w:rFonts w:ascii="Times New Roman" w:hAnsi="Times New Roman"/>
          <w:color w:val="auto"/>
          <w:lang w:val="en-US"/>
        </w:rPr>
        <w:t>M</w:t>
      </w:r>
      <w:r w:rsidRPr="0064235C">
        <w:rPr>
          <w:rFonts w:ascii="Times New Roman" w:hAnsi="Times New Roman"/>
          <w:color w:val="auto"/>
          <w:lang w:val="en-US"/>
        </w:rPr>
        <w:t>ore than</w:t>
      </w:r>
      <w:r w:rsidRPr="00CE68CC">
        <w:rPr>
          <w:rFonts w:ascii="Times New Roman" w:hAnsi="Times New Roman"/>
          <w:color w:val="auto"/>
          <w:lang w:val="en-US"/>
        </w:rPr>
        <w:t xml:space="preserve"> half of our children (67%) showed one or </w:t>
      </w:r>
      <w:bookmarkStart w:id="16" w:name="_Hlk120343380"/>
      <w:r w:rsidRPr="00CE68CC">
        <w:rPr>
          <w:rFonts w:ascii="Times New Roman" w:hAnsi="Times New Roman"/>
          <w:color w:val="auto"/>
          <w:lang w:val="en-US"/>
        </w:rPr>
        <w:t xml:space="preserve">more </w:t>
      </w:r>
      <w:r w:rsidRPr="00CE68CC">
        <w:rPr>
          <w:rFonts w:ascii="Times New Roman" w:hAnsi="Times New Roman"/>
          <w:color w:val="auto"/>
          <w:lang w:val="en-GB"/>
        </w:rPr>
        <w:t>autism-like features</w:t>
      </w:r>
      <w:r w:rsidR="00C075CF" w:rsidRPr="00CE68CC">
        <w:rPr>
          <w:rFonts w:ascii="Times New Roman" w:hAnsi="Times New Roman"/>
          <w:color w:val="auto"/>
          <w:lang w:val="en-GB"/>
        </w:rPr>
        <w:t xml:space="preserve">. This prevalence is similar to that reported in children with </w:t>
      </w:r>
      <w:bookmarkStart w:id="17" w:name="_Hlk127819455"/>
      <w:r w:rsidR="00C075CF" w:rsidRPr="00CE68CC">
        <w:rPr>
          <w:rFonts w:ascii="Times New Roman" w:hAnsi="Times New Roman"/>
          <w:color w:val="auto"/>
          <w:lang w:val="en-GB"/>
        </w:rPr>
        <w:t xml:space="preserve">optic nerve hypoplasia and septo-optic </w:t>
      </w:r>
      <w:bookmarkEnd w:id="17"/>
      <w:r w:rsidR="00202FE0" w:rsidRPr="00CE68CC">
        <w:rPr>
          <w:rFonts w:ascii="Times New Roman" w:hAnsi="Times New Roman"/>
          <w:color w:val="auto"/>
          <w:lang w:val="en-GB"/>
        </w:rPr>
        <w:t>dysplasia (58%</w:t>
      </w:r>
      <w:r w:rsidR="00C075CF" w:rsidRPr="00CE68CC">
        <w:rPr>
          <w:rFonts w:ascii="Times New Roman" w:hAnsi="Times New Roman"/>
          <w:color w:val="auto"/>
          <w:lang w:val="en-GB"/>
        </w:rPr>
        <w:t>)</w:t>
      </w:r>
      <w:r w:rsidR="00202FE0" w:rsidRPr="00CE68CC">
        <w:rPr>
          <w:rFonts w:ascii="Times New Roman" w:hAnsi="Times New Roman"/>
          <w:color w:val="auto"/>
          <w:lang w:val="en-GB"/>
        </w:rPr>
        <w:t xml:space="preserve"> [</w:t>
      </w:r>
      <w:r w:rsidR="00202FE0" w:rsidRPr="0064235C">
        <w:rPr>
          <w:rFonts w:ascii="Times New Roman" w:hAnsi="Times New Roman"/>
          <w:strike/>
          <w:color w:val="FF0000"/>
          <w:lang w:val="en-GB"/>
        </w:rPr>
        <w:t>71</w:t>
      </w:r>
      <w:r w:rsidR="0064235C" w:rsidRPr="0064235C">
        <w:rPr>
          <w:rFonts w:ascii="Times New Roman" w:hAnsi="Times New Roman"/>
          <w:color w:val="FF0000"/>
          <w:lang w:val="en-GB"/>
        </w:rPr>
        <w:t xml:space="preserve"> 72</w:t>
      </w:r>
      <w:r w:rsidR="00202FE0" w:rsidRPr="00CE68CC">
        <w:rPr>
          <w:rFonts w:ascii="Times New Roman" w:hAnsi="Times New Roman"/>
          <w:color w:val="auto"/>
          <w:lang w:val="en-GB"/>
        </w:rPr>
        <w:t xml:space="preserve">] </w:t>
      </w:r>
      <w:r w:rsidR="00C075CF" w:rsidRPr="00CE68CC">
        <w:rPr>
          <w:rFonts w:ascii="Times New Roman" w:hAnsi="Times New Roman"/>
          <w:color w:val="auto"/>
          <w:lang w:val="en-GB"/>
        </w:rPr>
        <w:t>and higher compared to congenital</w:t>
      </w:r>
      <w:r w:rsidR="00C075CF" w:rsidRPr="00CE68CC">
        <w:rPr>
          <w:color w:val="auto"/>
          <w:lang w:val="en-US"/>
        </w:rPr>
        <w:t xml:space="preserve"> </w:t>
      </w:r>
      <w:r w:rsidR="00C075CF" w:rsidRPr="00CE68CC">
        <w:rPr>
          <w:rFonts w:ascii="Times New Roman" w:hAnsi="Times New Roman"/>
          <w:color w:val="auto"/>
          <w:lang w:val="en-GB"/>
        </w:rPr>
        <w:t xml:space="preserve">disorders of the peripheral </w:t>
      </w:r>
      <w:r w:rsidR="00C075CF" w:rsidRPr="00E8213D">
        <w:rPr>
          <w:rFonts w:ascii="Times New Roman" w:hAnsi="Times New Roman"/>
          <w:color w:val="auto"/>
          <w:lang w:val="en-GB"/>
        </w:rPr>
        <w:t xml:space="preserve">visual system </w:t>
      </w:r>
      <w:r w:rsidR="00202FE0" w:rsidRPr="00E8213D">
        <w:rPr>
          <w:rFonts w:ascii="Times New Roman" w:hAnsi="Times New Roman"/>
          <w:color w:val="auto"/>
          <w:lang w:val="en-GB"/>
        </w:rPr>
        <w:t>(20%) [</w:t>
      </w:r>
      <w:r w:rsidR="00202FE0" w:rsidRPr="00E8213D">
        <w:rPr>
          <w:rFonts w:ascii="Times New Roman" w:hAnsi="Times New Roman"/>
          <w:strike/>
          <w:color w:val="FF0000"/>
          <w:lang w:val="en-GB"/>
        </w:rPr>
        <w:t>37</w:t>
      </w:r>
      <w:r w:rsidR="00E8213D" w:rsidRPr="00E8213D">
        <w:rPr>
          <w:rFonts w:ascii="Times New Roman" w:hAnsi="Times New Roman"/>
          <w:color w:val="FF0000"/>
          <w:lang w:val="en-GB"/>
        </w:rPr>
        <w:t xml:space="preserve"> 38</w:t>
      </w:r>
      <w:r w:rsidR="00202FE0" w:rsidRPr="00E8213D">
        <w:rPr>
          <w:rFonts w:ascii="Times New Roman" w:hAnsi="Times New Roman"/>
          <w:color w:val="auto"/>
          <w:lang w:val="en-GB"/>
        </w:rPr>
        <w:t>]</w:t>
      </w:r>
      <w:r w:rsidR="00C075CF" w:rsidRPr="00E8213D">
        <w:rPr>
          <w:rFonts w:ascii="Times New Roman" w:hAnsi="Times New Roman"/>
          <w:color w:val="auto"/>
          <w:lang w:val="en-GB"/>
        </w:rPr>
        <w:t xml:space="preserve">, and </w:t>
      </w:r>
      <w:r w:rsidR="00E63254" w:rsidRPr="00E8213D">
        <w:rPr>
          <w:rFonts w:ascii="Times New Roman" w:hAnsi="Times New Roman"/>
          <w:color w:val="auto"/>
          <w:lang w:val="en-GB"/>
        </w:rPr>
        <w:t>p</w:t>
      </w:r>
      <w:r w:rsidR="00C075CF" w:rsidRPr="00E8213D">
        <w:rPr>
          <w:rFonts w:ascii="Times New Roman" w:hAnsi="Times New Roman"/>
          <w:color w:val="auto"/>
          <w:lang w:val="en-GB"/>
        </w:rPr>
        <w:t>ediatric population (12.5%) [</w:t>
      </w:r>
      <w:r w:rsidR="00C075CF" w:rsidRPr="00E8213D">
        <w:rPr>
          <w:rFonts w:ascii="Times New Roman" w:hAnsi="Times New Roman"/>
          <w:strike/>
          <w:color w:val="FF0000"/>
          <w:lang w:val="en-GB"/>
        </w:rPr>
        <w:t>7</w:t>
      </w:r>
      <w:r w:rsidR="00202FE0" w:rsidRPr="00E8213D">
        <w:rPr>
          <w:rFonts w:ascii="Times New Roman" w:hAnsi="Times New Roman"/>
          <w:strike/>
          <w:color w:val="FF0000"/>
          <w:lang w:val="en-GB"/>
        </w:rPr>
        <w:t>2</w:t>
      </w:r>
      <w:r w:rsidR="00E8213D" w:rsidRPr="00E8213D">
        <w:rPr>
          <w:rFonts w:ascii="Times New Roman" w:hAnsi="Times New Roman"/>
          <w:color w:val="FF0000"/>
          <w:lang w:val="en-GB"/>
        </w:rPr>
        <w:t xml:space="preserve"> 73</w:t>
      </w:r>
      <w:r w:rsidR="00C075CF" w:rsidRPr="00E8213D">
        <w:rPr>
          <w:rFonts w:ascii="Times New Roman" w:hAnsi="Times New Roman"/>
          <w:color w:val="auto"/>
          <w:lang w:val="en-GB"/>
        </w:rPr>
        <w:t>]. However, none of our patients reached</w:t>
      </w:r>
      <w:r w:rsidR="00C075CF" w:rsidRPr="00CE68CC">
        <w:rPr>
          <w:rFonts w:ascii="Times New Roman" w:hAnsi="Times New Roman"/>
          <w:color w:val="auto"/>
          <w:lang w:val="en-GB"/>
        </w:rPr>
        <w:t xml:space="preserve"> the cut-off criteria at CASD questionnaire for an AS</w:t>
      </w:r>
      <w:r w:rsidR="00CE68CC" w:rsidRPr="00CE68CC">
        <w:rPr>
          <w:rFonts w:ascii="Times New Roman" w:hAnsi="Times New Roman"/>
          <w:color w:val="auto"/>
          <w:lang w:val="en-GB"/>
        </w:rPr>
        <w:t xml:space="preserve">D. </w:t>
      </w:r>
      <w:r w:rsidR="00C075CF" w:rsidRPr="00CE68CC">
        <w:rPr>
          <w:rFonts w:ascii="Times New Roman" w:hAnsi="Times New Roman"/>
          <w:color w:val="auto"/>
          <w:lang w:val="en-GB"/>
        </w:rPr>
        <w:t>The presence of a diagnosis of ASD in visually impaired children greatly varies among studies, and has been reported in 31% of subjects with optic nerve hypoplasia and septo-opti</w:t>
      </w:r>
      <w:r w:rsidR="00892C83" w:rsidRPr="00CE68CC">
        <w:rPr>
          <w:rFonts w:ascii="Times New Roman" w:hAnsi="Times New Roman"/>
          <w:color w:val="auto"/>
          <w:lang w:val="en-GB"/>
        </w:rPr>
        <w:t>c dysplasia</w:t>
      </w:r>
      <w:r w:rsidR="00202FE0" w:rsidRPr="00CE68CC">
        <w:rPr>
          <w:rFonts w:ascii="Times New Roman" w:hAnsi="Times New Roman"/>
          <w:color w:val="auto"/>
          <w:lang w:val="en-GB"/>
        </w:rPr>
        <w:t xml:space="preserve"> [</w:t>
      </w:r>
      <w:r w:rsidR="00202FE0" w:rsidRPr="00E8213D">
        <w:rPr>
          <w:rFonts w:ascii="Times New Roman" w:hAnsi="Times New Roman"/>
          <w:strike/>
          <w:color w:val="FF0000"/>
          <w:lang w:val="en-GB"/>
        </w:rPr>
        <w:t>71</w:t>
      </w:r>
      <w:r w:rsidR="00E8213D" w:rsidRPr="00E8213D">
        <w:rPr>
          <w:rFonts w:ascii="Times New Roman" w:hAnsi="Times New Roman"/>
          <w:color w:val="FF0000"/>
          <w:lang w:val="en-GB"/>
        </w:rPr>
        <w:t xml:space="preserve"> 72</w:t>
      </w:r>
      <w:r w:rsidR="00202FE0" w:rsidRPr="00CE68CC">
        <w:rPr>
          <w:rFonts w:ascii="Times New Roman" w:hAnsi="Times New Roman"/>
          <w:color w:val="auto"/>
          <w:lang w:val="en-GB"/>
        </w:rPr>
        <w:t>]</w:t>
      </w:r>
      <w:r w:rsidR="00892C83" w:rsidRPr="00CE68CC">
        <w:rPr>
          <w:rFonts w:ascii="Times New Roman" w:hAnsi="Times New Roman"/>
          <w:color w:val="auto"/>
          <w:lang w:val="en-GB"/>
        </w:rPr>
        <w:t xml:space="preserve">, </w:t>
      </w:r>
      <w:r w:rsidR="00C075CF" w:rsidRPr="00CE68CC">
        <w:rPr>
          <w:rFonts w:ascii="Times New Roman" w:hAnsi="Times New Roman"/>
          <w:color w:val="auto"/>
          <w:lang w:val="en-GB"/>
        </w:rPr>
        <w:t xml:space="preserve">8-12% of children with congenital </w:t>
      </w:r>
      <w:bookmarkStart w:id="18" w:name="_Hlk1278188571"/>
      <w:r w:rsidR="00C075CF" w:rsidRPr="00CE68CC">
        <w:rPr>
          <w:rFonts w:ascii="Times New Roman" w:hAnsi="Times New Roman"/>
          <w:color w:val="auto"/>
          <w:lang w:val="en-GB"/>
        </w:rPr>
        <w:t xml:space="preserve">disorders of the peripheral visual system </w:t>
      </w:r>
      <w:bookmarkEnd w:id="18"/>
      <w:r w:rsidR="00202FE0" w:rsidRPr="00CE68CC">
        <w:rPr>
          <w:rFonts w:ascii="Times New Roman" w:hAnsi="Times New Roman"/>
          <w:color w:val="auto"/>
          <w:lang w:val="en-GB"/>
        </w:rPr>
        <w:t>[</w:t>
      </w:r>
      <w:r w:rsidR="00202FE0" w:rsidRPr="00E8213D">
        <w:rPr>
          <w:rFonts w:ascii="Times New Roman" w:hAnsi="Times New Roman"/>
          <w:strike/>
          <w:color w:val="FF0000"/>
          <w:lang w:val="en-GB"/>
        </w:rPr>
        <w:t>37</w:t>
      </w:r>
      <w:r w:rsidR="00E8213D">
        <w:rPr>
          <w:rFonts w:ascii="Times New Roman" w:hAnsi="Times New Roman"/>
          <w:strike/>
          <w:color w:val="FF0000"/>
          <w:lang w:val="en-GB"/>
        </w:rPr>
        <w:t>;</w:t>
      </w:r>
      <w:r w:rsidR="00202FE0" w:rsidRPr="00E8213D">
        <w:rPr>
          <w:rFonts w:ascii="Times New Roman" w:hAnsi="Times New Roman"/>
          <w:strike/>
          <w:color w:val="FF0000"/>
          <w:lang w:val="en-GB"/>
        </w:rPr>
        <w:t>73</w:t>
      </w:r>
      <w:r w:rsidR="00E8213D" w:rsidRPr="00E8213D">
        <w:rPr>
          <w:rFonts w:ascii="Times New Roman" w:hAnsi="Times New Roman"/>
          <w:color w:val="FF0000"/>
          <w:lang w:val="en-GB"/>
        </w:rPr>
        <w:t xml:space="preserve"> 38; 74</w:t>
      </w:r>
      <w:r w:rsidR="00202FE0" w:rsidRPr="00CE68CC">
        <w:rPr>
          <w:rFonts w:ascii="Times New Roman" w:hAnsi="Times New Roman"/>
          <w:color w:val="auto"/>
          <w:lang w:val="en-GB"/>
        </w:rPr>
        <w:t>]</w:t>
      </w:r>
      <w:r w:rsidR="00892C83" w:rsidRPr="00CE68CC">
        <w:rPr>
          <w:rFonts w:ascii="Times New Roman" w:hAnsi="Times New Roman"/>
          <w:color w:val="auto"/>
          <w:lang w:val="en-GB"/>
        </w:rPr>
        <w:t>, and in 1% of general population [</w:t>
      </w:r>
      <w:r w:rsidR="00892C83" w:rsidRPr="00E8213D">
        <w:rPr>
          <w:rFonts w:ascii="Times New Roman" w:hAnsi="Times New Roman"/>
          <w:strike/>
          <w:color w:val="FF0000"/>
          <w:lang w:val="en-GB"/>
        </w:rPr>
        <w:t>7</w:t>
      </w:r>
      <w:r w:rsidR="00202FE0" w:rsidRPr="00E8213D">
        <w:rPr>
          <w:rFonts w:ascii="Times New Roman" w:hAnsi="Times New Roman"/>
          <w:strike/>
          <w:color w:val="FF0000"/>
          <w:lang w:val="en-GB"/>
        </w:rPr>
        <w:t>4</w:t>
      </w:r>
      <w:r w:rsidR="00E8213D" w:rsidRPr="00E8213D">
        <w:rPr>
          <w:rFonts w:ascii="Times New Roman" w:hAnsi="Times New Roman"/>
          <w:color w:val="FF0000"/>
          <w:lang w:val="en-GB"/>
        </w:rPr>
        <w:t xml:space="preserve"> 75</w:t>
      </w:r>
      <w:r w:rsidR="00892C83" w:rsidRPr="00CE68CC">
        <w:rPr>
          <w:rFonts w:ascii="Times New Roman" w:hAnsi="Times New Roman"/>
          <w:color w:val="auto"/>
          <w:lang w:val="en-GB"/>
        </w:rPr>
        <w:t>]</w:t>
      </w:r>
      <w:r w:rsidR="00C075CF" w:rsidRPr="00CE68CC">
        <w:rPr>
          <w:rFonts w:ascii="Times New Roman" w:hAnsi="Times New Roman"/>
          <w:color w:val="auto"/>
          <w:lang w:val="en-GB"/>
        </w:rPr>
        <w:t>. These differences may be explained by methodological heterogeneity (different instruments for evaluating autistic-related behaviours) and by the characteristics of sample</w:t>
      </w:r>
      <w:r w:rsidR="00E63254" w:rsidRPr="00CE68CC">
        <w:rPr>
          <w:rFonts w:ascii="Times New Roman" w:hAnsi="Times New Roman"/>
          <w:color w:val="auto"/>
          <w:lang w:val="en-GB"/>
        </w:rPr>
        <w:t>s</w:t>
      </w:r>
      <w:r w:rsidR="00C075CF" w:rsidRPr="00CE68CC">
        <w:rPr>
          <w:rFonts w:ascii="Times New Roman" w:hAnsi="Times New Roman"/>
          <w:color w:val="auto"/>
          <w:lang w:val="en-GB"/>
        </w:rPr>
        <w:t xml:space="preserve"> (all children with </w:t>
      </w:r>
      <w:r w:rsidR="00C075CF" w:rsidRPr="00CE68CC">
        <w:rPr>
          <w:rFonts w:ascii="Times New Roman" w:hAnsi="Times New Roman"/>
          <w:color w:val="auto"/>
          <w:lang w:val="en-GB"/>
        </w:rPr>
        <w:lastRenderedPageBreak/>
        <w:t>albinism in our cohort and mixed form of peripheral visual imp</w:t>
      </w:r>
      <w:r w:rsidR="00892C83" w:rsidRPr="00CE68CC">
        <w:rPr>
          <w:rFonts w:ascii="Times New Roman" w:hAnsi="Times New Roman"/>
          <w:color w:val="auto"/>
          <w:lang w:val="en-GB"/>
        </w:rPr>
        <w:t xml:space="preserve">airment in the other studies). Given the occurrence of autistic-like features in visually impaired children, we hypothesis that these traits </w:t>
      </w:r>
      <w:r w:rsidR="00892C83" w:rsidRPr="00CE68CC">
        <w:rPr>
          <w:rFonts w:ascii="Times New Roman" w:hAnsi="Times New Roman"/>
          <w:color w:val="auto"/>
          <w:lang w:val="en-US"/>
        </w:rPr>
        <w:t xml:space="preserve">may reflect a blind-specific developmental problem </w:t>
      </w:r>
      <w:bookmarkStart w:id="19" w:name="_Hlk120344034"/>
      <w:r w:rsidR="00892C83" w:rsidRPr="00CE68CC">
        <w:rPr>
          <w:rFonts w:ascii="Times New Roman" w:hAnsi="Times New Roman"/>
          <w:color w:val="auto"/>
          <w:lang w:val="en-US"/>
        </w:rPr>
        <w:t>in the acquisition of socio-cognitive abilities rather than a specific ASD</w:t>
      </w:r>
      <w:bookmarkEnd w:id="19"/>
      <w:r w:rsidR="00892C83" w:rsidRPr="00CE68CC">
        <w:rPr>
          <w:rFonts w:ascii="Times New Roman" w:hAnsi="Times New Roman"/>
          <w:color w:val="auto"/>
          <w:lang w:val="en-US"/>
        </w:rPr>
        <w:t xml:space="preserve"> [</w:t>
      </w:r>
      <w:r w:rsidR="00FA11A2">
        <w:rPr>
          <w:rFonts w:ascii="Times New Roman" w:hAnsi="Times New Roman"/>
          <w:strike/>
          <w:color w:val="FF0000"/>
          <w:lang w:val="en-US"/>
        </w:rPr>
        <w:t>21;37;</w:t>
      </w:r>
      <w:r w:rsidR="0072478E" w:rsidRPr="00FA11A2">
        <w:rPr>
          <w:rFonts w:ascii="Times New Roman" w:hAnsi="Times New Roman"/>
          <w:strike/>
          <w:color w:val="FF0000"/>
          <w:lang w:val="en-US"/>
        </w:rPr>
        <w:t>75</w:t>
      </w:r>
      <w:r w:rsidR="00FA11A2" w:rsidRPr="00FA11A2">
        <w:rPr>
          <w:rFonts w:ascii="Times New Roman" w:hAnsi="Times New Roman"/>
          <w:color w:val="FF0000"/>
          <w:lang w:val="en-US"/>
        </w:rPr>
        <w:t xml:space="preserve"> 22; 38;</w:t>
      </w:r>
      <w:r w:rsidR="00FA11A2">
        <w:rPr>
          <w:rFonts w:ascii="Times New Roman" w:hAnsi="Times New Roman"/>
          <w:color w:val="FF0000"/>
          <w:lang w:val="en-US"/>
        </w:rPr>
        <w:t xml:space="preserve"> 76</w:t>
      </w:r>
      <w:r w:rsidR="00892C83" w:rsidRPr="00CE68CC">
        <w:rPr>
          <w:rFonts w:ascii="Times New Roman" w:hAnsi="Times New Roman"/>
          <w:color w:val="auto"/>
          <w:lang w:val="en-US"/>
        </w:rPr>
        <w:t>]</w:t>
      </w:r>
      <w:bookmarkEnd w:id="16"/>
      <w:r w:rsidR="00892C83" w:rsidRPr="00CE68CC">
        <w:rPr>
          <w:rFonts w:ascii="Times New Roman" w:hAnsi="Times New Roman"/>
          <w:color w:val="auto"/>
          <w:lang w:val="en-US"/>
        </w:rPr>
        <w:t>.</w:t>
      </w:r>
    </w:p>
    <w:p w14:paraId="3F97CECB" w14:textId="5248CE88" w:rsidR="006170EB" w:rsidRPr="00CE68CC" w:rsidRDefault="00D15C98">
      <w:pPr>
        <w:spacing w:after="0" w:line="480" w:lineRule="auto"/>
        <w:ind w:left="1134"/>
        <w:jc w:val="both"/>
        <w:rPr>
          <w:rFonts w:ascii="Times New Roman" w:hAnsi="Times New Roman"/>
          <w:strike/>
          <w:color w:val="auto"/>
          <w:lang w:val="en-US"/>
        </w:rPr>
      </w:pPr>
      <w:r w:rsidRPr="00CE68CC">
        <w:rPr>
          <w:rFonts w:ascii="Times New Roman" w:hAnsi="Times New Roman"/>
          <w:color w:val="auto"/>
          <w:lang w:val="en-US"/>
        </w:rPr>
        <w:t xml:space="preserve">Finally, we did not </w:t>
      </w:r>
      <w:r w:rsidRPr="00FA11A2">
        <w:rPr>
          <w:rFonts w:ascii="Times New Roman" w:hAnsi="Times New Roman"/>
          <w:color w:val="auto"/>
          <w:lang w:val="en-US"/>
        </w:rPr>
        <w:t xml:space="preserve">find a specific neurodevelopmental, cognitive, adaptive, and behavioral profile according to the genetic defect (OCA1 </w:t>
      </w:r>
      <w:r w:rsidRPr="00FA11A2">
        <w:rPr>
          <w:rFonts w:ascii="Times New Roman" w:hAnsi="Times New Roman"/>
          <w:i/>
          <w:color w:val="auto"/>
          <w:lang w:val="en-US"/>
        </w:rPr>
        <w:t xml:space="preserve">vs </w:t>
      </w:r>
      <w:r w:rsidRPr="00FA11A2">
        <w:rPr>
          <w:rFonts w:ascii="Times New Roman" w:hAnsi="Times New Roman"/>
          <w:color w:val="auto"/>
          <w:lang w:val="en-US"/>
        </w:rPr>
        <w:t>OCA2). The absence of significant genotype-phenotype correlations has been also reported in a recent study conducted by Dumitrescu and colleagues (2021) on visual features in a cohort of patients with</w:t>
      </w:r>
      <w:r w:rsidRPr="00CE68CC">
        <w:rPr>
          <w:rFonts w:ascii="Times New Roman" w:hAnsi="Times New Roman"/>
          <w:color w:val="auto"/>
          <w:lang w:val="en-US"/>
        </w:rPr>
        <w:t xml:space="preserve"> </w:t>
      </w:r>
      <w:r w:rsidR="00E63254" w:rsidRPr="00CE68CC">
        <w:rPr>
          <w:rFonts w:ascii="Times New Roman" w:hAnsi="Times New Roman"/>
          <w:color w:val="auto"/>
          <w:lang w:val="en-US"/>
        </w:rPr>
        <w:t>OCA</w:t>
      </w:r>
      <w:r w:rsidR="0072478E" w:rsidRPr="00CE68CC">
        <w:rPr>
          <w:rFonts w:ascii="Times New Roman" w:hAnsi="Times New Roman"/>
          <w:color w:val="auto"/>
          <w:lang w:val="en-US"/>
        </w:rPr>
        <w:t xml:space="preserve"> [</w:t>
      </w:r>
      <w:r w:rsidR="0072478E" w:rsidRPr="00FA11A2">
        <w:rPr>
          <w:rFonts w:ascii="Times New Roman" w:hAnsi="Times New Roman"/>
          <w:strike/>
          <w:color w:val="FF0000"/>
          <w:lang w:val="en-US"/>
        </w:rPr>
        <w:t>76</w:t>
      </w:r>
      <w:r w:rsidR="00FA11A2" w:rsidRPr="00FA11A2">
        <w:rPr>
          <w:rFonts w:ascii="Times New Roman" w:hAnsi="Times New Roman"/>
          <w:color w:val="FF0000"/>
          <w:lang w:val="en-US"/>
        </w:rPr>
        <w:t xml:space="preserve"> 77</w:t>
      </w:r>
      <w:r w:rsidR="0072478E" w:rsidRPr="00CE68CC">
        <w:rPr>
          <w:rFonts w:ascii="Times New Roman" w:hAnsi="Times New Roman"/>
          <w:color w:val="auto"/>
          <w:lang w:val="en-US"/>
        </w:rPr>
        <w:t>]</w:t>
      </w:r>
      <w:r w:rsidRPr="00CE68CC">
        <w:rPr>
          <w:rFonts w:ascii="Times New Roman" w:hAnsi="Times New Roman"/>
          <w:color w:val="auto"/>
          <w:lang w:val="en-US"/>
        </w:rPr>
        <w:t>.</w:t>
      </w:r>
      <w:r w:rsidR="0072478E" w:rsidRPr="00CE68CC">
        <w:rPr>
          <w:rFonts w:ascii="Times New Roman" w:hAnsi="Times New Roman"/>
          <w:color w:val="auto"/>
          <w:lang w:val="en-US"/>
        </w:rPr>
        <w:t xml:space="preserve"> </w:t>
      </w:r>
    </w:p>
    <w:p w14:paraId="3DE51FA2" w14:textId="27EDB28E" w:rsidR="006170EB" w:rsidRPr="00CE68CC" w:rsidRDefault="00F922BC" w:rsidP="00380B58">
      <w:pPr>
        <w:spacing w:after="0" w:line="480" w:lineRule="auto"/>
        <w:ind w:left="1134"/>
        <w:jc w:val="both"/>
        <w:rPr>
          <w:rFonts w:ascii="Times New Roman" w:hAnsi="Times New Roman"/>
          <w:color w:val="auto"/>
          <w:lang w:val="en-US"/>
        </w:rPr>
      </w:pPr>
      <w:r w:rsidRPr="00CE68CC">
        <w:rPr>
          <w:rFonts w:ascii="Times New Roman" w:hAnsi="Times New Roman"/>
          <w:color w:val="auto"/>
          <w:lang w:val="en-US"/>
        </w:rPr>
        <w:t>In conclusion, o</w:t>
      </w:r>
      <w:r w:rsidR="00D15C98" w:rsidRPr="00CE68CC">
        <w:rPr>
          <w:rFonts w:ascii="Times New Roman" w:hAnsi="Times New Roman"/>
          <w:color w:val="auto"/>
          <w:lang w:val="en-US"/>
        </w:rPr>
        <w:t>ur findings suggest that children with OCA may present an early neurodevelopmental delay that tend to be solved with age.  The adaptive functioning seemed to be spared but the level of visual acuity may influence the communicative and social abilities as well as the global adaptive behavior. Subjects may show risks for emotional-behavioral problems, as well as autistic-like features that need to be correctly judged to avoid an improper diagnosis [</w:t>
      </w:r>
      <w:r w:rsidR="00FA11A2">
        <w:rPr>
          <w:rFonts w:ascii="Times New Roman" w:hAnsi="Times New Roman"/>
          <w:strike/>
          <w:color w:val="FF0000"/>
          <w:lang w:val="en-US"/>
        </w:rPr>
        <w:t>37;</w:t>
      </w:r>
      <w:r w:rsidR="0072478E" w:rsidRPr="00FA11A2">
        <w:rPr>
          <w:rFonts w:ascii="Times New Roman" w:hAnsi="Times New Roman"/>
          <w:strike/>
          <w:color w:val="FF0000"/>
          <w:lang w:val="en-US"/>
        </w:rPr>
        <w:t>75</w:t>
      </w:r>
      <w:r w:rsidR="00FA11A2" w:rsidRPr="00FA11A2">
        <w:rPr>
          <w:rFonts w:ascii="Times New Roman" w:hAnsi="Times New Roman"/>
          <w:color w:val="FF0000"/>
          <w:lang w:val="en-US"/>
        </w:rPr>
        <w:t xml:space="preserve"> 38; 76</w:t>
      </w:r>
      <w:r w:rsidR="003E2D96" w:rsidRPr="00CE68CC">
        <w:rPr>
          <w:rFonts w:ascii="Times New Roman" w:hAnsi="Times New Roman"/>
          <w:color w:val="auto"/>
          <w:lang w:val="en-US"/>
        </w:rPr>
        <w:t>]</w:t>
      </w:r>
      <w:r w:rsidR="00D15C98" w:rsidRPr="00CE68CC">
        <w:rPr>
          <w:rFonts w:ascii="Times New Roman" w:hAnsi="Times New Roman"/>
          <w:color w:val="auto"/>
          <w:lang w:val="en-US"/>
        </w:rPr>
        <w:t xml:space="preserve">. </w:t>
      </w:r>
      <w:r w:rsidR="00267403" w:rsidRPr="00CE68CC">
        <w:rPr>
          <w:rFonts w:ascii="Times New Roman" w:hAnsi="Times New Roman"/>
          <w:color w:val="auto"/>
          <w:lang w:val="en-US"/>
        </w:rPr>
        <w:t>We are aware that</w:t>
      </w:r>
      <w:r w:rsidR="00075CF4" w:rsidRPr="00CE68CC">
        <w:rPr>
          <w:rFonts w:ascii="Times New Roman" w:hAnsi="Times New Roman"/>
          <w:color w:val="auto"/>
          <w:lang w:val="en-US"/>
        </w:rPr>
        <w:t xml:space="preserve"> it is difficult to compare data due to differences in methodologies among studies, </w:t>
      </w:r>
      <w:r w:rsidR="00267403" w:rsidRPr="00CE68CC">
        <w:rPr>
          <w:rFonts w:ascii="Times New Roman" w:hAnsi="Times New Roman"/>
          <w:color w:val="auto"/>
          <w:lang w:val="en-US"/>
        </w:rPr>
        <w:t xml:space="preserve">but the </w:t>
      </w:r>
      <w:r w:rsidR="00075CF4" w:rsidRPr="00CE68CC">
        <w:rPr>
          <w:rFonts w:ascii="Times New Roman" w:hAnsi="Times New Roman"/>
          <w:color w:val="auto"/>
          <w:lang w:val="en-US"/>
        </w:rPr>
        <w:t xml:space="preserve">neurocognitive </w:t>
      </w:r>
      <w:r w:rsidR="00267403" w:rsidRPr="00CE68CC">
        <w:rPr>
          <w:rFonts w:ascii="Times New Roman" w:hAnsi="Times New Roman"/>
          <w:color w:val="auto"/>
          <w:lang w:val="en-US"/>
        </w:rPr>
        <w:t>difficulties</w:t>
      </w:r>
      <w:r w:rsidR="00075CF4" w:rsidRPr="00CE68CC">
        <w:rPr>
          <w:rFonts w:ascii="Times New Roman" w:hAnsi="Times New Roman"/>
          <w:color w:val="auto"/>
          <w:lang w:val="en-US"/>
        </w:rPr>
        <w:t xml:space="preserve"> </w:t>
      </w:r>
      <w:r w:rsidR="00267403" w:rsidRPr="00CE68CC">
        <w:rPr>
          <w:rFonts w:ascii="Times New Roman" w:hAnsi="Times New Roman"/>
          <w:color w:val="auto"/>
          <w:lang w:val="en-US"/>
        </w:rPr>
        <w:t>found in our sample are</w:t>
      </w:r>
      <w:r w:rsidR="00075CF4" w:rsidRPr="00CE68CC">
        <w:rPr>
          <w:rFonts w:ascii="Times New Roman" w:hAnsi="Times New Roman"/>
          <w:color w:val="auto"/>
          <w:lang w:val="en-US"/>
        </w:rPr>
        <w:t xml:space="preserve"> similar to </w:t>
      </w:r>
      <w:r w:rsidR="00267403" w:rsidRPr="00CE68CC">
        <w:rPr>
          <w:rFonts w:ascii="Times New Roman" w:hAnsi="Times New Roman"/>
          <w:color w:val="auto"/>
          <w:lang w:val="en-US"/>
        </w:rPr>
        <w:t>those</w:t>
      </w:r>
      <w:r w:rsidR="00075CF4" w:rsidRPr="00CE68CC">
        <w:rPr>
          <w:rFonts w:ascii="Times New Roman" w:hAnsi="Times New Roman"/>
          <w:color w:val="auto"/>
          <w:lang w:val="en-US"/>
        </w:rPr>
        <w:t xml:space="preserve"> </w:t>
      </w:r>
      <w:r w:rsidR="00267403" w:rsidRPr="00CE68CC">
        <w:rPr>
          <w:rFonts w:ascii="Times New Roman" w:hAnsi="Times New Roman"/>
          <w:color w:val="auto"/>
          <w:lang w:val="en-US"/>
        </w:rPr>
        <w:t xml:space="preserve">of </w:t>
      </w:r>
      <w:r w:rsidR="00075CF4" w:rsidRPr="00CE68CC">
        <w:rPr>
          <w:rFonts w:ascii="Times New Roman" w:hAnsi="Times New Roman"/>
          <w:color w:val="auto"/>
          <w:lang w:val="en-US"/>
        </w:rPr>
        <w:t xml:space="preserve">children with peripheral visual impairment. </w:t>
      </w:r>
      <w:r w:rsidR="00143E22" w:rsidRPr="00CE68CC">
        <w:rPr>
          <w:rFonts w:ascii="Times New Roman" w:hAnsi="Times New Roman"/>
          <w:color w:val="auto"/>
          <w:lang w:val="en-US"/>
        </w:rPr>
        <w:t>Furthermore, it has been demonstrated the presence of CNS anomalies in albino subjects, such as an increase in cortical thickness of the occipital cortex similar to that found in peripherally blind subjects, suggesting an association between degraded visual input and changes in brain morphology</w:t>
      </w:r>
      <w:r w:rsidR="0072478E" w:rsidRPr="00CE68CC">
        <w:rPr>
          <w:rFonts w:ascii="Times New Roman" w:hAnsi="Times New Roman"/>
          <w:color w:val="auto"/>
          <w:lang w:val="en-US"/>
        </w:rPr>
        <w:t xml:space="preserve"> [</w:t>
      </w:r>
      <w:r w:rsidR="0072478E" w:rsidRPr="00FA11A2">
        <w:rPr>
          <w:rFonts w:ascii="Times New Roman" w:hAnsi="Times New Roman"/>
          <w:strike/>
          <w:color w:val="FF0000"/>
          <w:lang w:val="en-US"/>
        </w:rPr>
        <w:t>77</w:t>
      </w:r>
      <w:r w:rsidR="00FA11A2" w:rsidRPr="00FA11A2">
        <w:rPr>
          <w:rFonts w:ascii="Times New Roman" w:hAnsi="Times New Roman"/>
          <w:color w:val="FF0000"/>
          <w:lang w:val="en-US"/>
        </w:rPr>
        <w:t xml:space="preserve"> 78</w:t>
      </w:r>
      <w:r w:rsidR="0072478E" w:rsidRPr="00CE68CC">
        <w:rPr>
          <w:rFonts w:ascii="Times New Roman" w:hAnsi="Times New Roman"/>
          <w:color w:val="auto"/>
          <w:lang w:val="en-US"/>
        </w:rPr>
        <w:t xml:space="preserve">]. </w:t>
      </w:r>
      <w:r w:rsidR="00075CF4" w:rsidRPr="00CE68CC">
        <w:rPr>
          <w:rFonts w:ascii="Times New Roman" w:hAnsi="Times New Roman"/>
          <w:color w:val="auto"/>
          <w:lang w:val="en-US"/>
        </w:rPr>
        <w:t>Therefore,</w:t>
      </w:r>
      <w:r w:rsidR="00075CF4">
        <w:rPr>
          <w:rFonts w:ascii="Times New Roman" w:hAnsi="Times New Roman"/>
          <w:color w:val="FF0000"/>
          <w:lang w:val="en-US"/>
        </w:rPr>
        <w:t xml:space="preserve"> </w:t>
      </w:r>
      <w:r w:rsidR="00075CF4" w:rsidRPr="00CE68CC">
        <w:rPr>
          <w:rFonts w:ascii="Times New Roman" w:hAnsi="Times New Roman"/>
          <w:color w:val="auto"/>
          <w:lang w:val="en-US"/>
        </w:rPr>
        <w:t>we hyp</w:t>
      </w:r>
      <w:r w:rsidR="00267403" w:rsidRPr="00CE68CC">
        <w:rPr>
          <w:rFonts w:ascii="Times New Roman" w:hAnsi="Times New Roman"/>
          <w:color w:val="auto"/>
          <w:lang w:val="en-US"/>
        </w:rPr>
        <w:t>othesi</w:t>
      </w:r>
      <w:r w:rsidR="00143E22" w:rsidRPr="00CE68CC">
        <w:rPr>
          <w:rFonts w:ascii="Times New Roman" w:hAnsi="Times New Roman"/>
          <w:color w:val="auto"/>
          <w:lang w:val="en-US"/>
        </w:rPr>
        <w:t>ze</w:t>
      </w:r>
      <w:r w:rsidR="00267403" w:rsidRPr="00CE68CC">
        <w:rPr>
          <w:rFonts w:ascii="Times New Roman" w:hAnsi="Times New Roman"/>
          <w:color w:val="auto"/>
          <w:lang w:val="en-US"/>
        </w:rPr>
        <w:t xml:space="preserve"> that </w:t>
      </w:r>
      <w:r w:rsidR="00143E22" w:rsidRPr="00CE68CC">
        <w:rPr>
          <w:rFonts w:ascii="Times New Roman" w:hAnsi="Times New Roman"/>
          <w:color w:val="auto"/>
          <w:lang w:val="en-US"/>
        </w:rPr>
        <w:t>brain</w:t>
      </w:r>
      <w:r w:rsidR="00112AD1" w:rsidRPr="00CE68CC">
        <w:rPr>
          <w:rFonts w:ascii="Times New Roman" w:hAnsi="Times New Roman"/>
          <w:color w:val="auto"/>
          <w:lang w:val="en-US"/>
        </w:rPr>
        <w:t xml:space="preserve"> is particularly vulnerable to the effects of visual </w:t>
      </w:r>
      <w:r w:rsidR="00143E22" w:rsidRPr="00CE68CC">
        <w:rPr>
          <w:rFonts w:ascii="Times New Roman" w:hAnsi="Times New Roman"/>
          <w:color w:val="auto"/>
          <w:lang w:val="en-US"/>
        </w:rPr>
        <w:t>impairment</w:t>
      </w:r>
      <w:r w:rsidR="00112AD1" w:rsidRPr="00CE68CC">
        <w:rPr>
          <w:rFonts w:ascii="Times New Roman" w:hAnsi="Times New Roman"/>
          <w:color w:val="auto"/>
          <w:lang w:val="en-US"/>
        </w:rPr>
        <w:t xml:space="preserve">. </w:t>
      </w:r>
      <w:r w:rsidR="00143E22" w:rsidRPr="00CE68CC">
        <w:rPr>
          <w:rFonts w:ascii="Times New Roman" w:hAnsi="Times New Roman"/>
          <w:color w:val="auto"/>
          <w:lang w:val="en-US"/>
        </w:rPr>
        <w:t>Nonethe</w:t>
      </w:r>
      <w:r w:rsidR="003E2D96" w:rsidRPr="00CE68CC">
        <w:rPr>
          <w:rFonts w:ascii="Times New Roman" w:hAnsi="Times New Roman"/>
          <w:color w:val="auto"/>
          <w:lang w:val="en-US"/>
        </w:rPr>
        <w:t>less, alterations of the genes</w:t>
      </w:r>
      <w:r w:rsidR="00143E22" w:rsidRPr="00CE68CC">
        <w:rPr>
          <w:rFonts w:ascii="Times New Roman" w:hAnsi="Times New Roman"/>
          <w:color w:val="auto"/>
          <w:lang w:val="en-US"/>
        </w:rPr>
        <w:t xml:space="preserve"> </w:t>
      </w:r>
      <w:r w:rsidR="003E2D96" w:rsidRPr="00CE68CC">
        <w:rPr>
          <w:rFonts w:ascii="Times New Roman" w:hAnsi="Times New Roman"/>
          <w:color w:val="auto"/>
          <w:lang w:val="en-US"/>
        </w:rPr>
        <w:t xml:space="preserve">involved in </w:t>
      </w:r>
      <w:r w:rsidR="00143E22" w:rsidRPr="00CE68CC">
        <w:rPr>
          <w:rFonts w:ascii="Times New Roman" w:hAnsi="Times New Roman"/>
          <w:color w:val="auto"/>
          <w:lang w:val="en-US"/>
        </w:rPr>
        <w:t xml:space="preserve">albinism may </w:t>
      </w:r>
      <w:r w:rsidR="003E2D96" w:rsidRPr="00CE68CC">
        <w:rPr>
          <w:rFonts w:ascii="Times New Roman" w:hAnsi="Times New Roman"/>
          <w:color w:val="auto"/>
          <w:lang w:val="en-US"/>
        </w:rPr>
        <w:t>play a role in the neurodevelopmental problems, since it has been documented their expression also in CNS [</w:t>
      </w:r>
      <w:r w:rsidR="003E2D96" w:rsidRPr="00FA11A2">
        <w:rPr>
          <w:rFonts w:ascii="Times New Roman" w:hAnsi="Times New Roman"/>
          <w:strike/>
          <w:color w:val="FF0000"/>
          <w:lang w:val="en-US"/>
        </w:rPr>
        <w:t>78-79</w:t>
      </w:r>
      <w:r w:rsidR="00FA11A2" w:rsidRPr="00FA11A2">
        <w:rPr>
          <w:rFonts w:ascii="Times New Roman" w:hAnsi="Times New Roman"/>
          <w:color w:val="FF0000"/>
          <w:lang w:val="en-US"/>
        </w:rPr>
        <w:t xml:space="preserve"> 79-80</w:t>
      </w:r>
      <w:r w:rsidR="003E2D96" w:rsidRPr="00CE68CC">
        <w:rPr>
          <w:rFonts w:ascii="Times New Roman" w:hAnsi="Times New Roman"/>
          <w:color w:val="auto"/>
          <w:lang w:val="en-US"/>
        </w:rPr>
        <w:t xml:space="preserve">], </w:t>
      </w:r>
      <w:r w:rsidR="00380B58" w:rsidRPr="00CE68CC">
        <w:rPr>
          <w:rFonts w:ascii="Times New Roman" w:hAnsi="Times New Roman"/>
          <w:color w:val="auto"/>
          <w:lang w:val="en-US"/>
        </w:rPr>
        <w:t>but</w:t>
      </w:r>
      <w:r w:rsidR="003D35D5" w:rsidRPr="00CE68CC">
        <w:rPr>
          <w:rFonts w:ascii="Times New Roman" w:hAnsi="Times New Roman"/>
          <w:color w:val="auto"/>
          <w:lang w:val="en-US"/>
        </w:rPr>
        <w:t xml:space="preserve"> their role has no</w:t>
      </w:r>
      <w:r w:rsidR="006E697A" w:rsidRPr="00CE68CC">
        <w:rPr>
          <w:rFonts w:ascii="Times New Roman" w:hAnsi="Times New Roman"/>
          <w:color w:val="auto"/>
          <w:lang w:val="en-US"/>
        </w:rPr>
        <w:t xml:space="preserve">t yet been clearly </w:t>
      </w:r>
      <w:r w:rsidR="002C172B" w:rsidRPr="00CE68CC">
        <w:rPr>
          <w:rFonts w:ascii="Times New Roman" w:hAnsi="Times New Roman"/>
          <w:color w:val="auto"/>
          <w:lang w:val="en-US"/>
        </w:rPr>
        <w:t>understood</w:t>
      </w:r>
      <w:r w:rsidR="006E697A" w:rsidRPr="00CE68CC">
        <w:rPr>
          <w:rFonts w:ascii="Times New Roman" w:hAnsi="Times New Roman"/>
          <w:color w:val="auto"/>
          <w:lang w:val="en-US"/>
        </w:rPr>
        <w:t>.</w:t>
      </w:r>
      <w:r w:rsidR="003D35D5" w:rsidRPr="00CE68CC">
        <w:rPr>
          <w:rFonts w:ascii="Times New Roman" w:hAnsi="Times New Roman"/>
          <w:color w:val="auto"/>
          <w:lang w:val="en-US"/>
        </w:rPr>
        <w:t xml:space="preserve"> </w:t>
      </w:r>
      <w:r w:rsidR="00380B58" w:rsidRPr="00CE68CC">
        <w:rPr>
          <w:rFonts w:ascii="Times New Roman" w:hAnsi="Times New Roman"/>
          <w:color w:val="auto"/>
          <w:lang w:val="en-US"/>
        </w:rPr>
        <w:t>Although it has been described that the association between OCA and neurodevelopmental delay might indicate the presence of Prader-Willi (PWS) or Angelman syndrome (AS) [</w:t>
      </w:r>
      <w:r w:rsidR="00380B58" w:rsidRPr="00FA11A2">
        <w:rPr>
          <w:rFonts w:ascii="Times New Roman" w:hAnsi="Times New Roman"/>
          <w:strike/>
          <w:color w:val="FF0000"/>
          <w:lang w:val="en-US"/>
        </w:rPr>
        <w:t>80</w:t>
      </w:r>
      <w:r w:rsidR="00FA11A2" w:rsidRPr="00FA11A2">
        <w:rPr>
          <w:rFonts w:ascii="Times New Roman" w:hAnsi="Times New Roman"/>
          <w:color w:val="FF0000"/>
          <w:lang w:val="en-US"/>
        </w:rPr>
        <w:t xml:space="preserve"> 81</w:t>
      </w:r>
      <w:r w:rsidR="00380B58" w:rsidRPr="00CE68CC">
        <w:rPr>
          <w:rFonts w:ascii="Times New Roman" w:hAnsi="Times New Roman"/>
          <w:color w:val="auto"/>
          <w:lang w:val="en-US"/>
        </w:rPr>
        <w:t xml:space="preserve">], due to the adjacency of </w:t>
      </w:r>
      <w:r w:rsidR="00380B58" w:rsidRPr="001B214A">
        <w:rPr>
          <w:rFonts w:ascii="Times New Roman" w:hAnsi="Times New Roman"/>
          <w:i/>
          <w:color w:val="auto"/>
          <w:lang w:val="en-US"/>
        </w:rPr>
        <w:t>OCA2</w:t>
      </w:r>
      <w:r w:rsidR="00380B58" w:rsidRPr="00CE68CC">
        <w:rPr>
          <w:rFonts w:ascii="Times New Roman" w:hAnsi="Times New Roman"/>
          <w:color w:val="auto"/>
          <w:lang w:val="en-US"/>
        </w:rPr>
        <w:t xml:space="preserve"> and </w:t>
      </w:r>
      <w:r w:rsidR="00380B58" w:rsidRPr="001B214A">
        <w:rPr>
          <w:rFonts w:ascii="Times New Roman" w:hAnsi="Times New Roman"/>
          <w:i/>
          <w:color w:val="auto"/>
          <w:lang w:val="en-US"/>
        </w:rPr>
        <w:t>UBE3A</w:t>
      </w:r>
      <w:r w:rsidR="00380B58" w:rsidRPr="00CE68CC">
        <w:rPr>
          <w:rFonts w:ascii="Times New Roman" w:hAnsi="Times New Roman"/>
          <w:color w:val="auto"/>
          <w:lang w:val="en-US"/>
        </w:rPr>
        <w:t xml:space="preserve"> gene on chromosome 15, w</w:t>
      </w:r>
      <w:r w:rsidR="003D35D5" w:rsidRPr="00CE68CC">
        <w:rPr>
          <w:rFonts w:ascii="Times New Roman" w:hAnsi="Times New Roman"/>
          <w:color w:val="auto"/>
          <w:lang w:val="en-US"/>
        </w:rPr>
        <w:t xml:space="preserve">e exclude that </w:t>
      </w:r>
      <w:r w:rsidR="00EA2D2F" w:rsidRPr="00CE68CC">
        <w:rPr>
          <w:rFonts w:ascii="Times New Roman" w:hAnsi="Times New Roman"/>
          <w:color w:val="auto"/>
          <w:lang w:val="en-US"/>
        </w:rPr>
        <w:t>neurocognitive profile</w:t>
      </w:r>
      <w:r w:rsidR="003D35D5" w:rsidRPr="00CE68CC">
        <w:rPr>
          <w:rFonts w:ascii="Times New Roman" w:hAnsi="Times New Roman"/>
          <w:color w:val="auto"/>
          <w:lang w:val="en-US"/>
        </w:rPr>
        <w:t xml:space="preserve"> observed in our children may be related to </w:t>
      </w:r>
      <w:r w:rsidR="00380B58" w:rsidRPr="00CE68CC">
        <w:rPr>
          <w:rFonts w:ascii="Times New Roman" w:hAnsi="Times New Roman"/>
          <w:color w:val="auto"/>
          <w:lang w:val="en-US"/>
        </w:rPr>
        <w:t>these</w:t>
      </w:r>
      <w:r w:rsidR="00EA2D2F" w:rsidRPr="00CE68CC">
        <w:rPr>
          <w:rFonts w:ascii="Times New Roman" w:hAnsi="Times New Roman"/>
          <w:color w:val="auto"/>
          <w:lang w:val="en-US"/>
        </w:rPr>
        <w:t xml:space="preserve"> condition</w:t>
      </w:r>
      <w:r w:rsidR="00380B58" w:rsidRPr="00CE68CC">
        <w:rPr>
          <w:rFonts w:ascii="Times New Roman" w:hAnsi="Times New Roman"/>
          <w:color w:val="auto"/>
          <w:lang w:val="en-US"/>
        </w:rPr>
        <w:t>s, because we found</w:t>
      </w:r>
      <w:r w:rsidR="00D15C98" w:rsidRPr="00CE68CC">
        <w:rPr>
          <w:rFonts w:ascii="Times New Roman" w:hAnsi="Times New Roman"/>
          <w:color w:val="auto"/>
          <w:lang w:val="en-US"/>
        </w:rPr>
        <w:t>: 1) uneventful perinatal period (feeding problems and failure to thrive is reported in P</w:t>
      </w:r>
      <w:r w:rsidR="00C3254B" w:rsidRPr="00CE68CC">
        <w:rPr>
          <w:rFonts w:ascii="Times New Roman" w:hAnsi="Times New Roman"/>
          <w:color w:val="auto"/>
          <w:lang w:val="en-US"/>
        </w:rPr>
        <w:t>WS</w:t>
      </w:r>
      <w:r w:rsidR="00D15C98" w:rsidRPr="00CE68CC">
        <w:rPr>
          <w:rFonts w:ascii="Times New Roman" w:hAnsi="Times New Roman"/>
          <w:color w:val="auto"/>
          <w:lang w:val="en-US"/>
        </w:rPr>
        <w:t xml:space="preserve">); 2) mild motor, language and </w:t>
      </w:r>
      <w:r w:rsidR="00D15C98" w:rsidRPr="00CE68CC">
        <w:rPr>
          <w:rFonts w:ascii="Times New Roman" w:hAnsi="Times New Roman"/>
          <w:color w:val="auto"/>
          <w:lang w:val="en-US"/>
        </w:rPr>
        <w:lastRenderedPageBreak/>
        <w:t>neurodevelopmental delay (“severe” in AS); 3) absence of intellectual disability (one of the</w:t>
      </w:r>
      <w:r w:rsidR="00D15C98" w:rsidRPr="00A71AEC">
        <w:rPr>
          <w:rFonts w:ascii="Times New Roman" w:hAnsi="Times New Roman"/>
          <w:color w:val="FF0000"/>
          <w:lang w:val="en-US"/>
        </w:rPr>
        <w:t xml:space="preserve"> </w:t>
      </w:r>
      <w:r w:rsidR="00D15C98" w:rsidRPr="00CE68CC">
        <w:rPr>
          <w:rFonts w:ascii="Times New Roman" w:hAnsi="Times New Roman"/>
          <w:color w:val="auto"/>
          <w:lang w:val="en-US"/>
        </w:rPr>
        <w:t>hallmarks of AS and PWS); 4) no dysmorphic features and/or neurological signs and symptoms (such as hypotonia reported in PWS or microcephaly and movement or balance disorders in AS)</w:t>
      </w:r>
      <w:r w:rsidR="00641F09" w:rsidRPr="00CE68CC">
        <w:rPr>
          <w:rFonts w:ascii="Times New Roman" w:hAnsi="Times New Roman"/>
          <w:color w:val="auto"/>
          <w:lang w:val="en-US"/>
        </w:rPr>
        <w:t xml:space="preserve"> [</w:t>
      </w:r>
      <w:r w:rsidR="00641F09" w:rsidRPr="009838E1">
        <w:rPr>
          <w:rFonts w:ascii="Times New Roman" w:hAnsi="Times New Roman"/>
          <w:strike/>
          <w:color w:val="FF0000"/>
          <w:lang w:val="en-US"/>
        </w:rPr>
        <w:t>81</w:t>
      </w:r>
      <w:r w:rsidR="00C05C47" w:rsidRPr="009838E1">
        <w:rPr>
          <w:rFonts w:ascii="Times New Roman" w:hAnsi="Times New Roman"/>
          <w:strike/>
          <w:color w:val="FF0000"/>
          <w:lang w:val="en-US"/>
        </w:rPr>
        <w:t>-82</w:t>
      </w:r>
      <w:r w:rsidR="009838E1" w:rsidRPr="009838E1">
        <w:rPr>
          <w:rFonts w:ascii="Times New Roman" w:hAnsi="Times New Roman"/>
          <w:color w:val="FF0000"/>
          <w:lang w:val="en-US"/>
        </w:rPr>
        <w:t xml:space="preserve"> 82-83</w:t>
      </w:r>
      <w:r w:rsidR="00641F09" w:rsidRPr="00CE68CC">
        <w:rPr>
          <w:rFonts w:ascii="Times New Roman" w:hAnsi="Times New Roman"/>
          <w:color w:val="auto"/>
          <w:lang w:val="en-US"/>
        </w:rPr>
        <w:t>]</w:t>
      </w:r>
      <w:r w:rsidR="00D15C98" w:rsidRPr="00CE68CC">
        <w:rPr>
          <w:rFonts w:ascii="Times New Roman" w:hAnsi="Times New Roman"/>
          <w:color w:val="auto"/>
          <w:lang w:val="en-US"/>
        </w:rPr>
        <w:t xml:space="preserve">. </w:t>
      </w:r>
      <w:r w:rsidR="006E697A" w:rsidRPr="00CE68CC">
        <w:rPr>
          <w:rFonts w:ascii="Times New Roman" w:hAnsi="Times New Roman"/>
          <w:color w:val="auto"/>
          <w:lang w:val="en-US"/>
        </w:rPr>
        <w:t>The neurocognitive signs observed in our cohort</w:t>
      </w:r>
      <w:r w:rsidR="00D15C98" w:rsidRPr="00CE68CC">
        <w:rPr>
          <w:rFonts w:ascii="Times New Roman" w:hAnsi="Times New Roman"/>
          <w:color w:val="auto"/>
          <w:lang w:val="en-US"/>
        </w:rPr>
        <w:t xml:space="preserve"> underline the importance of an early neuropsychiatric evaluation to identify those children with neurodevelopmental/psychological difficulties and to adopt habilitative interventions.  </w:t>
      </w:r>
    </w:p>
    <w:p w14:paraId="5DD4131C" w14:textId="08D56EBB" w:rsidR="00E63254" w:rsidRPr="00CE68CC" w:rsidRDefault="00E63254" w:rsidP="00E63254">
      <w:pPr>
        <w:spacing w:after="0" w:line="480" w:lineRule="auto"/>
        <w:ind w:left="1134"/>
        <w:jc w:val="both"/>
        <w:rPr>
          <w:rFonts w:ascii="Times New Roman" w:hAnsi="Times New Roman"/>
          <w:color w:val="auto"/>
          <w:lang w:val="en-US"/>
        </w:rPr>
      </w:pPr>
      <w:r w:rsidRPr="00CE68CC">
        <w:rPr>
          <w:rFonts w:ascii="Times New Roman" w:hAnsi="Times New Roman"/>
          <w:color w:val="auto"/>
          <w:lang w:val="en-US"/>
        </w:rPr>
        <w:t>The small sample size and the heterogeneity regarding age are the two main limitations of the present study that do not allow the generalization of the findings. Although OCA is a rare genetic disease, future studies should be conducted in a larger cohort of participants to better characterize these aspects.</w:t>
      </w:r>
    </w:p>
    <w:p w14:paraId="070DBC61" w14:textId="77777777" w:rsidR="00E63254" w:rsidRPr="006E697A" w:rsidRDefault="00E63254" w:rsidP="0072478E">
      <w:pPr>
        <w:spacing w:after="0" w:line="480" w:lineRule="auto"/>
        <w:ind w:left="1134"/>
        <w:jc w:val="both"/>
        <w:rPr>
          <w:rFonts w:ascii="Times New Roman" w:hAnsi="Times New Roman"/>
          <w:color w:val="FF0000"/>
          <w:lang w:val="en-US"/>
        </w:rPr>
      </w:pPr>
    </w:p>
    <w:p w14:paraId="19FB542F" w14:textId="77777777" w:rsidR="006170EB" w:rsidRDefault="00D15C98">
      <w:pPr>
        <w:spacing w:after="0" w:line="480" w:lineRule="auto"/>
        <w:ind w:left="1134"/>
        <w:jc w:val="both"/>
        <w:rPr>
          <w:rFonts w:ascii="Times New Roman" w:hAnsi="Times New Roman"/>
          <w:lang w:val="en-US"/>
        </w:rPr>
      </w:pPr>
      <w:r>
        <w:rPr>
          <w:rFonts w:ascii="Times New Roman" w:hAnsi="Times New Roman"/>
          <w:b/>
          <w:bCs/>
          <w:lang w:val="en-US"/>
        </w:rPr>
        <w:t>Declarations</w:t>
      </w:r>
    </w:p>
    <w:p w14:paraId="59D949BE"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Funding</w:t>
      </w:r>
    </w:p>
    <w:p w14:paraId="7FEEE07A" w14:textId="77777777" w:rsidR="006170EB" w:rsidRDefault="00D15C98">
      <w:pPr>
        <w:spacing w:after="0" w:line="480" w:lineRule="auto"/>
        <w:ind w:left="1134"/>
        <w:jc w:val="both"/>
        <w:rPr>
          <w:rFonts w:ascii="Times New Roman" w:hAnsi="Times New Roman"/>
          <w:bCs/>
          <w:lang w:val="en-US"/>
        </w:rPr>
      </w:pPr>
      <w:r>
        <w:rPr>
          <w:rFonts w:ascii="Times New Roman" w:hAnsi="Times New Roman"/>
          <w:bCs/>
          <w:lang w:val="en-US"/>
        </w:rPr>
        <w:t>The authors declare that no funds, grants, or other support were received during the preparation of this manuscript.</w:t>
      </w:r>
    </w:p>
    <w:p w14:paraId="0A269C17"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 xml:space="preserve">Conflict of interest </w:t>
      </w:r>
    </w:p>
    <w:p w14:paraId="063EC3E6" w14:textId="77777777" w:rsidR="006170EB" w:rsidRDefault="00D15C98">
      <w:pPr>
        <w:spacing w:after="0" w:line="480" w:lineRule="auto"/>
        <w:ind w:left="1134"/>
        <w:jc w:val="both"/>
        <w:rPr>
          <w:rFonts w:ascii="Times New Roman" w:hAnsi="Times New Roman"/>
          <w:bCs/>
          <w:lang w:val="en-US"/>
        </w:rPr>
      </w:pPr>
      <w:r>
        <w:rPr>
          <w:rFonts w:ascii="Times New Roman" w:hAnsi="Times New Roman"/>
          <w:bCs/>
          <w:lang w:val="en-US"/>
        </w:rPr>
        <w:t>The authors declare no competing interests.</w:t>
      </w:r>
    </w:p>
    <w:p w14:paraId="30EE021B" w14:textId="77777777" w:rsidR="006170EB" w:rsidRDefault="00D15C98">
      <w:pPr>
        <w:spacing w:after="0" w:line="480" w:lineRule="auto"/>
        <w:ind w:left="1134"/>
        <w:jc w:val="both"/>
        <w:rPr>
          <w:rFonts w:ascii="Times New Roman" w:hAnsi="Times New Roman"/>
          <w:b/>
          <w:lang w:val="en-US"/>
        </w:rPr>
      </w:pPr>
      <w:r>
        <w:rPr>
          <w:rFonts w:ascii="Times New Roman" w:hAnsi="Times New Roman"/>
          <w:b/>
          <w:lang w:val="en-US"/>
        </w:rPr>
        <w:t>Author Contributions</w:t>
      </w:r>
    </w:p>
    <w:p w14:paraId="35D39E73" w14:textId="77777777" w:rsidR="006170EB" w:rsidRDefault="00D15C98">
      <w:pPr>
        <w:spacing w:after="0" w:line="480" w:lineRule="auto"/>
        <w:ind w:left="1134"/>
        <w:jc w:val="both"/>
        <w:rPr>
          <w:rFonts w:ascii="Times New Roman" w:hAnsi="Times New Roman"/>
          <w:bCs/>
          <w:lang w:val="en-US"/>
        </w:rPr>
      </w:pPr>
      <w:r>
        <w:rPr>
          <w:rFonts w:ascii="Times New Roman" w:hAnsi="Times New Roman"/>
          <w:bCs/>
          <w:lang w:val="en-US"/>
        </w:rPr>
        <w:t>JG, EF designed the study. JG, EL, LD collected data and drafted the manuscript. EL performed the statistical analysis. JG, AR enrolled the patients. JG, ND performed the visual evaluation, VS the cognitive evaluation and LM the genetic analyses. EF supervised the study. All authors read and approved the final manuscript.</w:t>
      </w:r>
    </w:p>
    <w:p w14:paraId="1272770D" w14:textId="77777777" w:rsidR="006170EB" w:rsidRDefault="00D15C98">
      <w:pPr>
        <w:spacing w:after="0" w:line="480" w:lineRule="auto"/>
        <w:ind w:left="1134"/>
        <w:jc w:val="both"/>
        <w:rPr>
          <w:rFonts w:ascii="Times New Roman" w:hAnsi="Times New Roman"/>
          <w:bCs/>
          <w:lang w:val="en-US"/>
        </w:rPr>
      </w:pPr>
      <w:r>
        <w:rPr>
          <w:rFonts w:ascii="Times New Roman" w:hAnsi="Times New Roman"/>
          <w:b/>
          <w:lang w:val="en-US"/>
        </w:rPr>
        <w:t>Acknowledgments</w:t>
      </w:r>
    </w:p>
    <w:p w14:paraId="4C4DD5F5" w14:textId="77777777" w:rsidR="006170EB" w:rsidRDefault="00D15C98">
      <w:pPr>
        <w:spacing w:after="0" w:line="480" w:lineRule="auto"/>
        <w:ind w:left="1134"/>
        <w:jc w:val="both"/>
        <w:rPr>
          <w:rFonts w:ascii="Times New Roman" w:hAnsi="Times New Roman"/>
          <w:lang w:val="en-US"/>
        </w:rPr>
      </w:pPr>
      <w:r>
        <w:rPr>
          <w:rFonts w:ascii="Times New Roman" w:hAnsi="Times New Roman"/>
          <w:lang w:val="en-US"/>
        </w:rPr>
        <w:t>We thank children affected by oculocutaneous albinism and their care providers for participating and Albinit APS as well. The authors are grateful to Anna Alessandrini, Alice Bertoletti, Nicole D’Adda, Alessandra Franzoni, and Melissa Marras for their valuable help in evaluating the children included in this study.</w:t>
      </w:r>
    </w:p>
    <w:p w14:paraId="61160699" w14:textId="77777777" w:rsidR="006170EB" w:rsidRDefault="00D15C98">
      <w:pPr>
        <w:spacing w:after="0" w:line="480" w:lineRule="auto"/>
        <w:ind w:left="1134"/>
        <w:jc w:val="both"/>
        <w:rPr>
          <w:rFonts w:ascii="Times New Roman" w:hAnsi="Times New Roman"/>
          <w:b/>
          <w:bCs/>
          <w:lang w:val="en-US"/>
        </w:rPr>
      </w:pPr>
      <w:r>
        <w:rPr>
          <w:rFonts w:ascii="Times New Roman" w:hAnsi="Times New Roman"/>
          <w:b/>
          <w:bCs/>
          <w:lang w:val="en-US"/>
        </w:rPr>
        <w:t>Ethical approval and informed consent</w:t>
      </w:r>
    </w:p>
    <w:p w14:paraId="2507F952" w14:textId="77777777" w:rsidR="006170EB" w:rsidRDefault="00D15C98">
      <w:pPr>
        <w:spacing w:after="0" w:line="480" w:lineRule="auto"/>
        <w:ind w:left="1134"/>
        <w:jc w:val="both"/>
        <w:rPr>
          <w:rFonts w:ascii="Times New Roman" w:hAnsi="Times New Roman"/>
          <w:lang w:val="en-US"/>
        </w:rPr>
        <w:sectPr w:rsidR="006170EB">
          <w:footerReference w:type="default" r:id="rId8"/>
          <w:pgSz w:w="11906" w:h="16838"/>
          <w:pgMar w:top="1417" w:right="1134" w:bottom="1134" w:left="1134" w:header="0" w:footer="0" w:gutter="0"/>
          <w:lnNumType w:countBy="1" w:distance="283" w:restart="continuous"/>
          <w:cols w:space="720"/>
          <w:formProt w:val="0"/>
          <w:docGrid w:linePitch="360" w:charSpace="-2458"/>
        </w:sectPr>
      </w:pPr>
      <w:r>
        <w:rPr>
          <w:rFonts w:ascii="Times New Roman" w:hAnsi="Times New Roman"/>
          <w:lang w:val="en-US"/>
        </w:rPr>
        <w:lastRenderedPageBreak/>
        <w:t>The study was approved by the Ethical Committee of ASST Spedali Civili in Brescia, Italy (NP 5523). Written informed consent was obtained from parents/caregivers of the children.</w:t>
      </w:r>
    </w:p>
    <w:p w14:paraId="3DF47B2F" w14:textId="77777777" w:rsidR="00641F09" w:rsidRPr="00641F09" w:rsidRDefault="00641F09" w:rsidP="00641F09">
      <w:pPr>
        <w:spacing w:line="480" w:lineRule="auto"/>
        <w:ind w:left="1134"/>
        <w:rPr>
          <w:rFonts w:ascii="Times New Roman" w:hAnsi="Times New Roman"/>
          <w:b/>
          <w:bCs/>
        </w:rPr>
      </w:pPr>
      <w:r w:rsidRPr="00641F09">
        <w:rPr>
          <w:rFonts w:ascii="Times New Roman" w:hAnsi="Times New Roman"/>
          <w:b/>
          <w:bCs/>
        </w:rPr>
        <w:lastRenderedPageBreak/>
        <w:t>REFERENCES</w:t>
      </w:r>
    </w:p>
    <w:p w14:paraId="67267CFC" w14:textId="77777777" w:rsidR="00641F09" w:rsidRPr="00641F09" w:rsidRDefault="00641F09" w:rsidP="00641F09">
      <w:pPr>
        <w:numPr>
          <w:ilvl w:val="0"/>
          <w:numId w:val="1"/>
        </w:numPr>
        <w:suppressAutoHyphens w:val="0"/>
        <w:spacing w:before="100" w:beforeAutospacing="1" w:after="0" w:afterAutospacing="1" w:line="360" w:lineRule="auto"/>
        <w:jc w:val="both"/>
        <w:rPr>
          <w:rFonts w:ascii="Times New Roman" w:eastAsia="Times New Roman" w:hAnsi="Times New Roman"/>
          <w:lang w:eastAsia="it-IT"/>
        </w:rPr>
      </w:pPr>
      <w:r w:rsidRPr="00641F09">
        <w:rPr>
          <w:rFonts w:ascii="Times New Roman" w:hAnsi="Times New Roman"/>
          <w:lang w:val="en-US"/>
        </w:rPr>
        <w:t>David CV (2013) Oculocutaneous albinism. Cutis, 91(5), E1–E4.</w:t>
      </w:r>
    </w:p>
    <w:p w14:paraId="4A95B141"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641F09">
        <w:rPr>
          <w:rFonts w:ascii="Times New Roman" w:hAnsi="Times New Roman"/>
          <w:lang w:val="en-US"/>
        </w:rPr>
        <w:t xml:space="preserve">Ma EZ, Zhou AE, Hoegler KM, Khachemoune A (2022) Oculocutaneous albinism: epidemiology, genetics, skin manifestation, and psychosocial issues. Archives of dermatological </w:t>
      </w:r>
      <w:r w:rsidRPr="00CE68CC">
        <w:rPr>
          <w:rFonts w:ascii="Times New Roman" w:hAnsi="Times New Roman"/>
          <w:color w:val="auto"/>
          <w:lang w:val="en-US"/>
        </w:rPr>
        <w:t>research, 10.1007/s00403-022-02335-1. Advance online publication. https://doi.org/10.1007/s00403-022-02335-1</w:t>
      </w:r>
    </w:p>
    <w:p w14:paraId="6BBDDF0E"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Marçon CR, Maia M (2019) Albinism: epidemiology, genetics, cutaneous characterization, psychosocial factors. Anais brasileiros de dermatologia, 94(5), 503–520. https://doi.org/10.1016/j.abd.2019.09.023</w:t>
      </w:r>
    </w:p>
    <w:p w14:paraId="6E23111F"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Grønskov K, Ek J, Brondum-Nielsen K (2007) Oculocutaneous albinism. Orphanet journal of rare diseases, 2, 43. https://doi.org/10.1186/1750-1172-2-43</w:t>
      </w:r>
    </w:p>
    <w:p w14:paraId="5254C7F9"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CE68CC">
        <w:rPr>
          <w:rFonts w:ascii="Times New Roman" w:hAnsi="Times New Roman"/>
          <w:color w:val="auto"/>
          <w:lang w:val="en-US"/>
        </w:rPr>
        <w:t>Kirkwood BJ (2009) Albinism and its implications with vision. Insight (American Society of Ophthalmic Registered Nurses), 34(2), 13–16.</w:t>
      </w:r>
    </w:p>
    <w:p w14:paraId="19888316"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Kruijt CC, de Wit GC, Bergen AA, Florijn RJ, Schalij-Delfos NE, van Genderen MM (2018) The Phenotypic Spectrum of Albinism. Ophthalmology, 125(12), 1953–1960. https://doi.org/10.1016/j.ophtha.2018.08.003</w:t>
      </w:r>
    </w:p>
    <w:p w14:paraId="25199E7D"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 xml:space="preserve">Oetting WS, King RA (1999) Molecular basis of albinism: mutations and polymorphisms of pigmentation genes associated with albinism. Human mutation, 13(2), 99–115. https://doi.org/10.1002/(SICI)1098-1004(1999)13:2&lt;99::AID-HUMU2&gt;3.0.CO;2-C </w:t>
      </w:r>
    </w:p>
    <w:p w14:paraId="62E1DD6D"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Wei AH, Zang DJ, Zhang Z, Liu XZ, He X, Yang L et al (2013) Exome sequencing identifies SLC24A5 as a candidate gene for nonsyndromic oculocutaneous albinism. The Journal of investigative dermatology, 133(7), 1834–1840. https://doi.org/10.1038/jid.2013.49</w:t>
      </w:r>
    </w:p>
    <w:p w14:paraId="0DF88B66" w14:textId="5D7A043B" w:rsidR="00641F09" w:rsidRPr="00E239FA"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CE68CC">
        <w:rPr>
          <w:rFonts w:ascii="Times New Roman" w:hAnsi="Times New Roman"/>
          <w:color w:val="auto"/>
          <w:lang w:val="en-US"/>
        </w:rPr>
        <w:t xml:space="preserve">Grønskov K, Dooley CM, Østergaard E, Kelsh RN, Hansen L, Levesque MP et al (2013) Mutations in c10orf11, a melanocyte-differentiation gene, cause autosomal-recessive albinism. American journal of human genetics, 92(3), 415–421. </w:t>
      </w:r>
      <w:hyperlink r:id="rId9" w:history="1">
        <w:r w:rsidR="00E239FA" w:rsidRPr="00E239FA">
          <w:rPr>
            <w:rFonts w:ascii="Times New Roman" w:hAnsi="Times New Roman"/>
            <w:color w:val="auto"/>
            <w:lang w:val="en-US"/>
          </w:rPr>
          <w:t>https://doi.org/10.1016/j.ajhg.2013.01.006</w:t>
        </w:r>
      </w:hyperlink>
    </w:p>
    <w:p w14:paraId="1885C295" w14:textId="028EF078" w:rsidR="00E239FA" w:rsidRPr="00E239FA" w:rsidRDefault="00E239FA" w:rsidP="00E239FA">
      <w:pPr>
        <w:numPr>
          <w:ilvl w:val="0"/>
          <w:numId w:val="1"/>
        </w:numPr>
        <w:suppressAutoHyphens w:val="0"/>
        <w:spacing w:after="0" w:line="360" w:lineRule="auto"/>
        <w:jc w:val="both"/>
        <w:rPr>
          <w:rFonts w:ascii="Times New Roman" w:hAnsi="Times New Roman"/>
          <w:color w:val="FF0000"/>
          <w:lang w:val="en-US"/>
        </w:rPr>
      </w:pPr>
      <w:r w:rsidRPr="00445199">
        <w:rPr>
          <w:rFonts w:ascii="Times New Roman" w:hAnsi="Times New Roman"/>
          <w:color w:val="FF0000"/>
          <w:lang w:val="en-US"/>
        </w:rPr>
        <w:t>Pennamen P, Tingaud-Sequeira A, Gazova I, Keighren M, McKie L, Marlin S, et al (2021) Dopachrome tautomerase variants in patients with oculocutaneous albinism. Genetics in medicine : official journal of the American College of Medical Genetics, 23(3), 479–487.</w:t>
      </w:r>
    </w:p>
    <w:p w14:paraId="130871A5"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eastAsia="it-IT"/>
        </w:rPr>
      </w:pPr>
      <w:r w:rsidRPr="00CE68CC">
        <w:rPr>
          <w:rFonts w:ascii="Times New Roman" w:hAnsi="Times New Roman"/>
          <w:color w:val="auto"/>
          <w:lang w:val="en-US"/>
        </w:rPr>
        <w:t>Kausar T, Bhatti MA, Ali M, Shaikh RS, Ahmed ZM (2013) OCA5, a novel locus for non-syndromic oculocutaneous albinism, maps to chromosome 4q24. Clinical genetics, 84(1), 91–93. https://doi.org/10.1111/cge.12019</w:t>
      </w:r>
    </w:p>
    <w:p w14:paraId="45FC7326"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lastRenderedPageBreak/>
        <w:t>Merideth MA, Introne WJ, Wang JA, O'Brien KJ, Huizing M, Gochuico BR (2020) Genetic variants associated with Hermansky-Pudlak syndrome. Platelets, 31(4), 544–547. https://doi.org/10.1080/09537104.2019.1663810</w:t>
      </w:r>
    </w:p>
    <w:p w14:paraId="01F601C7" w14:textId="7A5F920A" w:rsidR="00E239FA" w:rsidRPr="00E239FA" w:rsidRDefault="00641F09" w:rsidP="00E239FA">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Lozano ML, Rivera J, Sánchez-Guiu I, Vicente V (2014) Towards the targeted management of Chediak-Higashi syndrome. Orphanet journal of rare diseases, 9, 132. https://doi.org/10.1186/s13023-014-0132-6</w:t>
      </w:r>
    </w:p>
    <w:p w14:paraId="53988A7E"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E239FA">
        <w:rPr>
          <w:rFonts w:ascii="Times New Roman" w:hAnsi="Times New Roman"/>
          <w:color w:val="auto"/>
          <w:lang w:val="en-US"/>
        </w:rPr>
        <w:t>Kutzbach B, Summers CG, Holleschau AM, King RA, MacDonald JT</w:t>
      </w:r>
      <w:r w:rsidRPr="00CE68CC">
        <w:rPr>
          <w:rFonts w:ascii="Times New Roman" w:hAnsi="Times New Roman"/>
          <w:color w:val="auto"/>
          <w:lang w:val="en-US"/>
        </w:rPr>
        <w:t xml:space="preserve"> (2007) The prevalence of attention-deficit/hyperactivity disorder among persons with albinism. Journal of child neurology, 22(12), 1342–1347. https://doi.org/10.1177/0883073807307078</w:t>
      </w:r>
    </w:p>
    <w:p w14:paraId="1E05D406"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Kutzbach BR, Summers CG, Holleschau AM, MacDonald JT (2008) Neurodevelopment in children with albinism. Ophthalmology, 115(10), 1805–1808.e18082. https://doi.org/10.1016/j.ophtha.2008.03.006</w:t>
      </w:r>
    </w:p>
    <w:p w14:paraId="60A3BDB9"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CE68CC">
        <w:rPr>
          <w:rFonts w:ascii="Times New Roman" w:hAnsi="Times New Roman"/>
          <w:color w:val="auto"/>
          <w:lang w:val="en-US"/>
        </w:rPr>
        <w:t>Cole GF, Conn P, Jones RB, Wallace J, Moore VR (1987) Cognitive functioning in albino children. Developmental medicine and child neurology, 29(5), 659–665. https://doi.org/10.1111/j.1469-8749.1987.tb08508.x</w:t>
      </w:r>
    </w:p>
    <w:p w14:paraId="04B2505B"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Fulcher T, O'Keefe M, Bowell R, Lanigan B, Burke T, Carr A et al (1995) Intellectual and educational attainment in albinism. Journal of pediatric ophthalmology and strabismus, 32(6), 368–372. https://doi.org/10.3928/0191-3913-19951101-09</w:t>
      </w:r>
    </w:p>
    <w:p w14:paraId="47C166FC"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Keeffe JE (1990) Assessment and educational implications of albinism. Ophthalmic paediatrics and genetics, 11(3), 215–224. https://doi.org/10.3109/13816819009020982</w:t>
      </w:r>
    </w:p>
    <w:p w14:paraId="6198A6AA"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Rogawski MA, Funderburk SJ, Cederbaum SD (1978) Oculocutaneous albinism and mental disorder. A report of two autistic boys. Human heredity, 28(2), 81–85. https://doi.org/10.1159/000152946</w:t>
      </w:r>
    </w:p>
    <w:p w14:paraId="383EAEC9" w14:textId="77777777" w:rsidR="00641F09" w:rsidRPr="00CE68CC" w:rsidRDefault="00641F09" w:rsidP="00641F09">
      <w:pPr>
        <w:numPr>
          <w:ilvl w:val="0"/>
          <w:numId w:val="1"/>
        </w:numPr>
        <w:suppressAutoHyphens w:val="0"/>
        <w:spacing w:after="0" w:line="360" w:lineRule="auto"/>
        <w:contextualSpacing/>
        <w:jc w:val="both"/>
        <w:rPr>
          <w:color w:val="auto"/>
          <w:lang w:val="en-US"/>
        </w:rPr>
      </w:pPr>
      <w:r w:rsidRPr="00CE68CC">
        <w:rPr>
          <w:rFonts w:ascii="Times New Roman" w:hAnsi="Times New Roman"/>
          <w:color w:val="auto"/>
          <w:lang w:val="en-US"/>
        </w:rPr>
        <w:t>Delong R (2007) GABA(A) receptor alpha5 subunit as a candidate gene for autism and bipolar disorder: a proposed endophenotype with parent-of-origin and gain-of-function features, with or without oculocutaneous albinism. Autism: the international journal of research and practice, 11(2), 135–147. https://doi.org/10.1177/1362361307075705</w:t>
      </w:r>
    </w:p>
    <w:p w14:paraId="57C4257E" w14:textId="77777777" w:rsidR="00641F09" w:rsidRPr="00CE68CC" w:rsidRDefault="00641F09" w:rsidP="00641F09">
      <w:pPr>
        <w:numPr>
          <w:ilvl w:val="0"/>
          <w:numId w:val="1"/>
        </w:numPr>
        <w:suppressAutoHyphens w:val="0"/>
        <w:spacing w:before="100"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 xml:space="preserve">Hesapcioglu S (2013) Oculocutaneous albinism and autism: a case report and review of literature. Düşünen Adam-Psikiyatri ve Nörolojik Bilimler Dergisi, 26(2), 215-218. </w:t>
      </w:r>
    </w:p>
    <w:p w14:paraId="1ADF2FC3"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9B4B01">
        <w:rPr>
          <w:rFonts w:ascii="Times New Roman" w:hAnsi="Times New Roman"/>
          <w:color w:val="auto"/>
        </w:rPr>
        <w:t>Galli J, Loi E, Morandi A, Scaglioni V, Rossi</w:t>
      </w:r>
      <w:r w:rsidRPr="00CE68CC">
        <w:rPr>
          <w:rFonts w:ascii="Times New Roman" w:hAnsi="Times New Roman"/>
          <w:color w:val="auto"/>
        </w:rPr>
        <w:t xml:space="preserve"> A, Molinaro A et al (2022) Neurodevelopmental Profile in Children Affected by Ocular Albinism. </w:t>
      </w:r>
      <w:r w:rsidRPr="00CE68CC">
        <w:rPr>
          <w:rFonts w:ascii="Times New Roman" w:hAnsi="Times New Roman"/>
          <w:color w:val="auto"/>
          <w:lang w:val="en-US"/>
        </w:rPr>
        <w:t>Neuropediatrics, 53(1), 7–14. https://doi.org/10.1055/s-0041-1732430</w:t>
      </w:r>
    </w:p>
    <w:p w14:paraId="7F380F46"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9B4B01">
        <w:rPr>
          <w:rFonts w:ascii="Times New Roman" w:hAnsi="Times New Roman"/>
          <w:color w:val="auto"/>
          <w:lang w:val="en-US"/>
        </w:rPr>
        <w:t>Green E, Stroud L, Bloomfield S, Cronje</w:t>
      </w:r>
      <w:r w:rsidRPr="00CE68CC">
        <w:rPr>
          <w:rFonts w:ascii="Times New Roman" w:hAnsi="Times New Roman"/>
          <w:color w:val="auto"/>
          <w:lang w:val="en-US"/>
        </w:rPr>
        <w:t xml:space="preserve"> J, Foxcroft C, Hurter K (2017) Griffiths III. Griffiths Scales of Child Development, Third Edn, eds S. Lanfranchi, M. Rea, R. Vianello, and R. Ferri (Firenze: Hogrefe). Edizione Italiana a cura. </w:t>
      </w:r>
    </w:p>
    <w:p w14:paraId="24AEDC8E"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Fazzi E, Micheletti S, Calza S, Merabet L, Rossi A, Galli J et al (2021) Early visual training and environmental adaptation for infants with visual impairment. Developmen</w:t>
      </w:r>
      <w:r w:rsidRPr="00CE68CC">
        <w:rPr>
          <w:rFonts w:ascii="Times New Roman" w:hAnsi="Times New Roman"/>
          <w:color w:val="auto"/>
          <w:lang w:val="en-US"/>
        </w:rPr>
        <w:lastRenderedPageBreak/>
        <w:t>tal medicine and child neurology, 63(10), 1180–1193. https://doi.org/10.1111/dmcn.14865</w:t>
      </w:r>
    </w:p>
    <w:p w14:paraId="634FEB41"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Galli J, Loi E, Molinaro A, Calza S, Franzoni A, Micheletti S et al (2022) Age-Related Effects on the Spectrum of Cerebral Visual Impairment in Children With Cerebral Palsy. Frontiers in human neuroscience, 16, 750464. https://doi.org/10.3389/fnhum.2022.750464</w:t>
      </w:r>
    </w:p>
    <w:p w14:paraId="0C011B3F" w14:textId="77777777" w:rsidR="00641F09" w:rsidRPr="00C973A4"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CE68CC">
        <w:rPr>
          <w:rFonts w:ascii="Times New Roman" w:hAnsi="Times New Roman"/>
          <w:color w:val="auto"/>
        </w:rPr>
        <w:t xml:space="preserve">Galli J, Loi E, Strobio C, Micheletti S, Martelli P, Merabet LB et al (2022) Neurovisual profile in children affected by Angelman syndrome. </w:t>
      </w:r>
      <w:r w:rsidRPr="00CE68CC">
        <w:rPr>
          <w:rFonts w:ascii="Times New Roman" w:hAnsi="Times New Roman"/>
          <w:color w:val="auto"/>
          <w:lang w:val="en-US"/>
        </w:rPr>
        <w:t>Brain &amp; development, S0387-7604(22)</w:t>
      </w:r>
      <w:r w:rsidRPr="00C973A4">
        <w:rPr>
          <w:rFonts w:ascii="Times New Roman" w:hAnsi="Times New Roman"/>
          <w:color w:val="auto"/>
          <w:lang w:val="en-US"/>
        </w:rPr>
        <w:t>00171-1. Advance online publication. https://doi.org/10.1016/j.braindev.2022.10.003</w:t>
      </w:r>
    </w:p>
    <w:p w14:paraId="217EF251"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C973A4">
        <w:rPr>
          <w:rFonts w:ascii="Times New Roman" w:hAnsi="Times New Roman"/>
          <w:color w:val="auto"/>
          <w:lang w:val="en-US"/>
        </w:rPr>
        <w:t>Teller DY, McDonald MA, Preston</w:t>
      </w:r>
      <w:r w:rsidRPr="00CE68CC">
        <w:rPr>
          <w:rFonts w:ascii="Times New Roman" w:hAnsi="Times New Roman"/>
          <w:color w:val="auto"/>
          <w:lang w:val="en-US"/>
        </w:rPr>
        <w:t xml:space="preserve"> K, Sebris SL, Dobson V (1986) Assessment of visual acuity in infants and children: the acuity card procedure. Developmental medicine and child neurology, 28(6), 779–789. https://doi.org/10.1111/j.1469-8749.1986.tb03932.x</w:t>
      </w:r>
    </w:p>
    <w:p w14:paraId="1E22CA45"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 xml:space="preserve">Hyvärinen L, Näsänen R, Laurinen P (1980) New visual acuity test for pre-school children. Acta ophthalmologica, 58(4), 507–511. https://doi.org/10.1111/j.1755-3768.1980.tb08291.x </w:t>
      </w:r>
    </w:p>
    <w:p w14:paraId="37B67F6D"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Donahue SP, Baker CN, Committee on Practice and Ambulatory Medicine, American Academy of Pediatrics, Section on Ophthalmology, American Academy of Pediatrics, American Association of Certified Orthoptists, American Association for Pediatric Ophthalmology and Strabismus, American Academy of Ophthalmology (2016) Procedures for the Evaluation of the Visual System by Pediatricians. Pediatrics, 137(1), 10.1542/peds.2015-3597. https://doi.org/10.1542/peds.2015-3597</w:t>
      </w:r>
    </w:p>
    <w:p w14:paraId="6F434193"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val="en-US"/>
        </w:rPr>
      </w:pPr>
      <w:r w:rsidRPr="00CE68CC">
        <w:rPr>
          <w:rFonts w:ascii="Times New Roman" w:hAnsi="Times New Roman"/>
          <w:color w:val="auto"/>
          <w:lang w:val="en-US"/>
        </w:rPr>
        <w:t xml:space="preserve">World Health Organization [WHO] (2021). ICD-10: International Statistical Classification of Diseases and Related Health Problems: Tenth Revision, 2nd Edn. Geneva: World Health Organization. </w:t>
      </w:r>
    </w:p>
    <w:p w14:paraId="0237A176" w14:textId="77777777" w:rsidR="00641F09" w:rsidRPr="00C973A4"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 xml:space="preserve">van Hof-van Duin J, Heersema DJ, Groenendaal F, Baerts W, Fetter WP (1992) Visual field and grating acuity </w:t>
      </w:r>
      <w:r w:rsidRPr="00C973A4">
        <w:rPr>
          <w:rFonts w:ascii="Times New Roman" w:hAnsi="Times New Roman"/>
          <w:color w:val="auto"/>
          <w:lang w:val="en-US"/>
        </w:rPr>
        <w:t>development in low-risk preterm infants during the first 2 1/2 years after term. Behavioural brain research, 49(1), 115–122. https://doi.org/10.1016/s0166-4328(05)80201-3</w:t>
      </w:r>
    </w:p>
    <w:p w14:paraId="2B39E57D"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973A4">
        <w:rPr>
          <w:rFonts w:ascii="Times New Roman" w:hAnsi="Times New Roman"/>
          <w:color w:val="auto"/>
          <w:lang w:val="en-US"/>
        </w:rPr>
        <w:t>Wechsler D (2002) WPPSI: Technical</w:t>
      </w:r>
      <w:r w:rsidRPr="00CE68CC">
        <w:rPr>
          <w:rFonts w:ascii="Times New Roman" w:hAnsi="Times New Roman"/>
          <w:color w:val="auto"/>
          <w:lang w:val="en-US"/>
        </w:rPr>
        <w:t xml:space="preserve"> and Interpretative Manual. San Antonio, TX: The Psychological Corporation. </w:t>
      </w:r>
    </w:p>
    <w:p w14:paraId="6725BA09"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Wechsler D (2003) Wechsler Intelligence Scale for Children, 4th Edn. San Antonio, TX: Harcourt Assessment.</w:t>
      </w:r>
    </w:p>
    <w:p w14:paraId="2D5EE302"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rPr>
        <w:t xml:space="preserve">Sparrow SS, Cicchetti DV, Balla DA (2016) </w:t>
      </w:r>
      <w:r w:rsidRPr="00CE68CC">
        <w:rPr>
          <w:rFonts w:ascii="Times New Roman" w:hAnsi="Times New Roman"/>
          <w:color w:val="auto"/>
          <w:lang w:val="en-US"/>
        </w:rPr>
        <w:t xml:space="preserve">Vineland Adaptive Behavior Scales-II—2nd ed. Survey Interview Firenze: Giunti Psychometrics. </w:t>
      </w:r>
    </w:p>
    <w:p w14:paraId="2C37813F" w14:textId="77777777" w:rsidR="00641F09" w:rsidRPr="00C973A4"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973A4">
        <w:rPr>
          <w:rFonts w:ascii="Times New Roman" w:hAnsi="Times New Roman"/>
          <w:color w:val="auto"/>
          <w:lang w:val="en-US"/>
        </w:rPr>
        <w:lastRenderedPageBreak/>
        <w:t xml:space="preserve">Achenbach TM, Rescorla LA (2000) Manual for the ASEBA preschool forms and profiles: An Integrated System of Multi-Informant Assessment. Burlington, VT: University of Vermont, Department of Psychiatry. </w:t>
      </w:r>
    </w:p>
    <w:p w14:paraId="6866063B"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973A4">
        <w:rPr>
          <w:rFonts w:ascii="Times New Roman" w:hAnsi="Times New Roman"/>
          <w:color w:val="auto"/>
        </w:rPr>
        <w:t>Frigerio A, Cozzi</w:t>
      </w:r>
      <w:r w:rsidRPr="00CE68CC">
        <w:rPr>
          <w:rFonts w:ascii="Times New Roman" w:hAnsi="Times New Roman"/>
          <w:color w:val="auto"/>
        </w:rPr>
        <w:t xml:space="preserve"> P, Pastore V, Molteni M, Borgatti R, Montirosso R (2006) La valutazione dei problemi emotivo comportamentali in un campione italiano di bambini in eta prescolare attraverso la Child Behavior Checklist e il Caregiver Teacher Report Form. </w:t>
      </w:r>
      <w:r w:rsidRPr="00CE68CC">
        <w:rPr>
          <w:rFonts w:ascii="Times New Roman" w:hAnsi="Times New Roman"/>
          <w:color w:val="auto"/>
          <w:lang w:val="en-US"/>
        </w:rPr>
        <w:t>Infanzia e adolescenza.</w:t>
      </w:r>
    </w:p>
    <w:p w14:paraId="2D09F60D" w14:textId="77777777" w:rsidR="00641F09" w:rsidRPr="007D11A7"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CE68CC">
        <w:rPr>
          <w:rFonts w:ascii="Times New Roman" w:hAnsi="Times New Roman"/>
          <w:color w:val="auto"/>
          <w:lang w:val="en-US"/>
        </w:rPr>
        <w:t xml:space="preserve">Achenbach TM, Rescorla LA (2001) Manual for the ASEBA School-Age Forms &amp; Profiles: Child Behavior Checklist for Ages 6-18, Teacher’s Report Form, Youth Self-Report: An Integrated System of Multi-Informant Assessment. Burlington: University of Vermont, </w:t>
      </w:r>
      <w:r w:rsidRPr="007D11A7">
        <w:rPr>
          <w:rFonts w:ascii="Times New Roman" w:hAnsi="Times New Roman"/>
          <w:color w:val="auto"/>
          <w:lang w:val="en-US"/>
        </w:rPr>
        <w:t xml:space="preserve">Research Center for Children Youth &amp; Families. </w:t>
      </w:r>
    </w:p>
    <w:p w14:paraId="72312AC9"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7D11A7">
        <w:rPr>
          <w:rFonts w:ascii="Times New Roman" w:hAnsi="Times New Roman"/>
          <w:color w:val="auto"/>
          <w:lang w:val="en-US"/>
        </w:rPr>
        <w:t>Fazzi E, Micheletti S, Galli J, Rossi A, Gitti F, Molinaro A (2019) Autism in Children With Cerebral and</w:t>
      </w:r>
      <w:r w:rsidRPr="00CE68CC">
        <w:rPr>
          <w:rFonts w:ascii="Times New Roman" w:hAnsi="Times New Roman"/>
          <w:color w:val="auto"/>
          <w:lang w:val="en-US"/>
        </w:rPr>
        <w:t xml:space="preserve"> Peripheral Visual Impairment: Fact or Artifact?. </w:t>
      </w:r>
      <w:r w:rsidRPr="00CE68CC">
        <w:rPr>
          <w:rFonts w:ascii="Times New Roman" w:hAnsi="Times New Roman"/>
          <w:color w:val="auto"/>
        </w:rPr>
        <w:t xml:space="preserve">Seminars in pediatric neurology, 31, 57–67. https://doi.org/10.1016/j.spen.2019.05.008 </w:t>
      </w:r>
    </w:p>
    <w:p w14:paraId="63434798" w14:textId="77777777" w:rsidR="00641F09" w:rsidRPr="007A1325"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 xml:space="preserve">Mayes S (2012) </w:t>
      </w:r>
      <w:r w:rsidRPr="007A1325">
        <w:rPr>
          <w:rFonts w:ascii="Times New Roman" w:hAnsi="Times New Roman"/>
          <w:color w:val="auto"/>
          <w:lang w:val="en-US"/>
        </w:rPr>
        <w:t xml:space="preserve">Checklist for Autism Spectrum Disorder. Wood Dale, IL: Stoelting. </w:t>
      </w:r>
    </w:p>
    <w:p w14:paraId="271E85AF"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7A1325">
        <w:rPr>
          <w:rFonts w:ascii="Times New Roman" w:hAnsi="Times New Roman"/>
          <w:color w:val="auto"/>
          <w:lang w:val="en-US"/>
        </w:rPr>
        <w:t>Lee H, Purohit R, Sheth V, Maconachie G, Tu Z, Thomas MG et al (2023) Retinal Development in Infants and</w:t>
      </w:r>
      <w:r w:rsidRPr="00CE68CC">
        <w:rPr>
          <w:rFonts w:ascii="Times New Roman" w:hAnsi="Times New Roman"/>
          <w:color w:val="auto"/>
          <w:lang w:val="en-US"/>
        </w:rPr>
        <w:t xml:space="preserve"> Young Children With Albinism: Evidence for Plasticity in Early Childhood. American journal of ophthalmology, 245, 202–211. https://doi.org/10.1016/j.ajo.2022.08.028</w:t>
      </w:r>
    </w:p>
    <w:p w14:paraId="58FB60E4" w14:textId="77777777" w:rsidR="00641F09" w:rsidRPr="007A1325"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val="en-US"/>
        </w:rPr>
      </w:pPr>
      <w:r w:rsidRPr="00CE68CC">
        <w:rPr>
          <w:rFonts w:ascii="Times New Roman" w:hAnsi="Times New Roman"/>
          <w:color w:val="auto"/>
          <w:lang w:val="en-US"/>
        </w:rPr>
        <w:t xml:space="preserve">Purpura G, Bacci GM, Bargagna S, Cioni G, Caputo R, Tinelli F (2019) Visual assessment in Down Syndrome: The relevance of early visual functions. Early human development, 131, 21–28. </w:t>
      </w:r>
      <w:r w:rsidRPr="007A1325">
        <w:rPr>
          <w:rFonts w:ascii="Times New Roman" w:hAnsi="Times New Roman"/>
          <w:color w:val="auto"/>
          <w:lang w:val="en-US"/>
        </w:rPr>
        <w:t>https://doi.org/10.1016/j.earlhumdev.2019.01.020</w:t>
      </w:r>
    </w:p>
    <w:p w14:paraId="3EC0EE42"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7A1325">
        <w:rPr>
          <w:rFonts w:ascii="Times New Roman" w:eastAsia="Times New Roman" w:hAnsi="Times New Roman"/>
          <w:color w:val="auto"/>
          <w:lang w:val="en-GB" w:eastAsia="it-IT"/>
        </w:rPr>
        <w:t>Villagomez AN, Muñoz FM,</w:t>
      </w:r>
      <w:r w:rsidRPr="00CE68CC">
        <w:rPr>
          <w:rFonts w:ascii="Times New Roman" w:eastAsia="Times New Roman" w:hAnsi="Times New Roman"/>
          <w:color w:val="auto"/>
          <w:lang w:val="en-GB" w:eastAsia="it-IT"/>
        </w:rPr>
        <w:t xml:space="preserve"> Peterson RL, Colbert AM, Gladstone M, MacDonald B, et al (2019) Brighton Collaboration Neurodevelopmental Delay Working Group. Neurodevelopmental delay: Case definition &amp; guidelines for data collection, analysis, and presentation of immunization safety data. </w:t>
      </w:r>
      <w:r w:rsidRPr="00CE68CC">
        <w:rPr>
          <w:rFonts w:ascii="Times New Roman" w:eastAsia="Times New Roman" w:hAnsi="Times New Roman"/>
          <w:color w:val="auto"/>
          <w:lang w:eastAsia="it-IT"/>
        </w:rPr>
        <w:t>Vaccine, 37(52), 7623–7641. https://doi.org/10.1016/j.vaccine.2019.05.027</w:t>
      </w:r>
    </w:p>
    <w:p w14:paraId="0A81353E"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CE68CC">
        <w:rPr>
          <w:rFonts w:ascii="Times New Roman" w:hAnsi="Times New Roman"/>
          <w:color w:val="auto"/>
          <w:lang w:val="en-US"/>
        </w:rPr>
        <w:t>Dale N, Sonksen P (2002) Developmental outcome, including setback, in young children with severe visual impairment. Developmental medicine and child neurology, 44(9), 613–622. https://doi.org/10.1017/s0012162201002651</w:t>
      </w:r>
    </w:p>
    <w:p w14:paraId="19E44825"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eastAsia="Times New Roman" w:hAnsi="Times New Roman"/>
          <w:color w:val="auto"/>
          <w:lang w:val="en-GB" w:eastAsia="it-IT"/>
        </w:rPr>
        <w:t xml:space="preserve">Black MM, and Sonksen PM (1992). Congenital retinal dystrophies: a study of early cognitive and visual development. </w:t>
      </w:r>
      <w:r w:rsidRPr="00CE68CC">
        <w:rPr>
          <w:rFonts w:ascii="Times New Roman" w:eastAsia="Times New Roman" w:hAnsi="Times New Roman"/>
          <w:color w:val="auto"/>
          <w:lang w:eastAsia="it-IT"/>
        </w:rPr>
        <w:t>Archives of disease in childhood, 67(3), 262–265. https://doi.org/10.1136/adc.67.3.262</w:t>
      </w:r>
    </w:p>
    <w:p w14:paraId="65B064E4"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CE68CC">
        <w:rPr>
          <w:rFonts w:ascii="Times New Roman" w:hAnsi="Times New Roman"/>
          <w:color w:val="auto"/>
          <w:lang w:val="en-US"/>
        </w:rPr>
        <w:t>Elisa F, Josée L, Oreste FG, Claudia A, Antonella L, Sabrina S et al (2002) Gross motor development and reach on sound as critical tools for the development of the blind child. Brain &amp; development, 24(5), 269–275. https://doi.org/10.1016/s0387-7604(02)00021-9</w:t>
      </w:r>
    </w:p>
    <w:p w14:paraId="3B1B7A89"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val="en-US"/>
        </w:rPr>
      </w:pPr>
      <w:r w:rsidRPr="00CE68CC">
        <w:rPr>
          <w:rFonts w:ascii="Times New Roman" w:hAnsi="Times New Roman"/>
          <w:color w:val="auto"/>
          <w:lang w:val="en-US"/>
        </w:rPr>
        <w:lastRenderedPageBreak/>
        <w:t>Hallemans A, Ortibus E, Truijen S, Meire F (2011) Development of independent locomotion in children with a severe visual impairment. Research in developmental disabilities, 32(6), 2069–2074. https://doi.org/10.1016/j.ridd.2011.08.017</w:t>
      </w:r>
    </w:p>
    <w:p w14:paraId="2838AF57"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CE68CC">
        <w:rPr>
          <w:rFonts w:ascii="Times New Roman" w:hAnsi="Times New Roman"/>
          <w:color w:val="auto"/>
          <w:lang w:val="en-US"/>
        </w:rPr>
        <w:t>Engel-Yeger B, Hamed-Daher S (2013) Comparing participation in out of school activities between children with visual impairments, children with hearing impairments and typical peers. Research in developmental disabilities, 34(10), 3124–3132. https://doi.org/10.1016/j.ridd.2013.05.049</w:t>
      </w:r>
    </w:p>
    <w:p w14:paraId="21AB60B8" w14:textId="77777777" w:rsidR="00641F09" w:rsidRPr="00B6341B"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val="en-US"/>
        </w:rPr>
      </w:pPr>
      <w:r w:rsidRPr="00CE68CC">
        <w:rPr>
          <w:rFonts w:ascii="Times New Roman" w:hAnsi="Times New Roman"/>
          <w:color w:val="auto"/>
          <w:lang w:val="en-US"/>
        </w:rPr>
        <w:t xml:space="preserve">Mosca R, Kritzinger A, van der Linde J (2015) Language and communication development in preschool children with visual impairment: A systematic review. The South African journal of </w:t>
      </w:r>
      <w:r w:rsidRPr="00B6341B">
        <w:rPr>
          <w:rFonts w:ascii="Times New Roman" w:hAnsi="Times New Roman"/>
          <w:color w:val="auto"/>
          <w:lang w:val="en-US"/>
        </w:rPr>
        <w:t>communication disorders = Die Suid-Afrikaanse tydskrif vir Kommunikasieafwykings, 62(1), e1–e10. https://doi.org/10.4102/sajcd.v62i1.119</w:t>
      </w:r>
    </w:p>
    <w:p w14:paraId="46AA2A97"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B6341B">
        <w:rPr>
          <w:rFonts w:ascii="Times New Roman" w:hAnsi="Times New Roman"/>
          <w:color w:val="auto"/>
          <w:lang w:val="en-US"/>
        </w:rPr>
        <w:t>Fraiberg S (1977) Insights</w:t>
      </w:r>
      <w:r w:rsidRPr="007A1325">
        <w:rPr>
          <w:rFonts w:ascii="Times New Roman" w:hAnsi="Times New Roman"/>
          <w:color w:val="auto"/>
          <w:lang w:val="en-US"/>
        </w:rPr>
        <w:t xml:space="preserve"> from the blind: Comparative studies of blind and sighted infants. New York: Basic</w:t>
      </w:r>
      <w:r w:rsidRPr="00CE68CC">
        <w:rPr>
          <w:rFonts w:ascii="Times New Roman" w:hAnsi="Times New Roman"/>
          <w:color w:val="auto"/>
          <w:lang w:val="en-US"/>
        </w:rPr>
        <w:t xml:space="preserve"> Books.</w:t>
      </w:r>
    </w:p>
    <w:p w14:paraId="0930C218" w14:textId="77777777" w:rsidR="00641F09" w:rsidRPr="00F173BB"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CE68CC">
        <w:rPr>
          <w:rFonts w:ascii="Times New Roman" w:hAnsi="Times New Roman"/>
          <w:color w:val="auto"/>
          <w:lang w:val="en-US"/>
        </w:rPr>
        <w:t>Perez-</w:t>
      </w:r>
      <w:r w:rsidRPr="00F173BB">
        <w:rPr>
          <w:rFonts w:ascii="Times New Roman" w:hAnsi="Times New Roman"/>
          <w:color w:val="auto"/>
          <w:lang w:val="en-US"/>
        </w:rPr>
        <w:t>Pereira M, Conti-Ramsden G (1999) Social interaction and language development in blind children. Hove: Psychology press.</w:t>
      </w:r>
    </w:p>
    <w:p w14:paraId="2E92C107"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val="en-US"/>
        </w:rPr>
      </w:pPr>
      <w:r w:rsidRPr="00F173BB">
        <w:rPr>
          <w:rFonts w:ascii="Times New Roman" w:hAnsi="Times New Roman"/>
          <w:color w:val="auto"/>
          <w:lang w:val="en-US"/>
        </w:rPr>
        <w:t>Clifton RK, Rochat P, Litovsky RY, Perris EE (1991) Object representation guides infants' reaching in the dark</w:t>
      </w:r>
      <w:r w:rsidRPr="00CE68CC">
        <w:rPr>
          <w:rFonts w:ascii="Times New Roman" w:hAnsi="Times New Roman"/>
          <w:color w:val="auto"/>
          <w:lang w:val="en-US"/>
        </w:rPr>
        <w:t>. Journal of experimental psychology. Human perception and performance, 17(2), 323–329. https://doi.org/10.1037//0096-1523.17.2.323</w:t>
      </w:r>
    </w:p>
    <w:p w14:paraId="4F03E6C2"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CE68CC">
        <w:rPr>
          <w:rFonts w:ascii="Times New Roman" w:hAnsi="Times New Roman"/>
          <w:color w:val="auto"/>
          <w:lang w:val="en-US"/>
        </w:rPr>
        <w:t>Peltzer-Karpf A (2012) The dynamic landscape of exceptional language development. Strabismus, 20(2), 69–73. https://doi.org/10.3109/09273972.2012.680236</w:t>
      </w:r>
    </w:p>
    <w:p w14:paraId="63B889AD"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Glass P (2002) Development of the visual system and implications for early intervention. Infants and Young Children, 15(1), 1–10. http://dx.doi.org/10.1097/00001163-200207000-00003</w:t>
      </w:r>
    </w:p>
    <w:p w14:paraId="39868C96"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CE68CC">
        <w:rPr>
          <w:rFonts w:ascii="Times New Roman" w:eastAsia="Times New Roman" w:hAnsi="Times New Roman"/>
          <w:color w:val="auto"/>
          <w:lang w:val="en-GB" w:eastAsia="it-IT"/>
        </w:rPr>
        <w:t>Collisson BA, Graham SA, Preston JL, Rose MS, McDonald S, Tough S (2016) Risk and protective factors for late talking: An epidemiologic investigation. The Journal of pediatrics, 172, 168–174. https://doi.org/10.1016/j.jpeds.2016.02.020</w:t>
      </w:r>
    </w:p>
    <w:p w14:paraId="79CC2F0E"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CE68CC">
        <w:rPr>
          <w:rFonts w:ascii="Times New Roman" w:eastAsia="Times New Roman" w:hAnsi="Times New Roman"/>
          <w:color w:val="auto"/>
          <w:lang w:val="en-GB" w:eastAsia="it-IT"/>
        </w:rPr>
        <w:t>Horwitz SM, Irwin JR, Briggs-Gowan MJ, Bosson Heenan JM, Mendoza J, Carter AS (2003) Language delay in a community cohort of young children. Journal of the American Academy of Child and Adolescent Psychiatry, 42(8), 932–940. https://doi.org/10.1097/01.CHI.0000046889.2726</w:t>
      </w:r>
    </w:p>
    <w:p w14:paraId="293620C0" w14:textId="77777777" w:rsidR="00641F09" w:rsidRPr="00CE68CC" w:rsidRDefault="00641F09" w:rsidP="00C82CB1">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D67F92">
        <w:rPr>
          <w:rFonts w:ascii="Times New Roman" w:eastAsia="Times New Roman" w:hAnsi="Times New Roman"/>
          <w:color w:val="auto"/>
          <w:lang w:val="en-GB" w:eastAsia="it-IT"/>
        </w:rPr>
        <w:t>Norbury C</w:t>
      </w:r>
      <w:r w:rsidRPr="00CE68CC">
        <w:rPr>
          <w:rFonts w:ascii="Times New Roman" w:eastAsia="Times New Roman" w:hAnsi="Times New Roman"/>
          <w:color w:val="auto"/>
          <w:lang w:val="en-GB" w:eastAsia="it-IT"/>
        </w:rPr>
        <w:t>F, Gooch D, Wray C, Baird G, Charman T, Simonoff E (2016) The impact of nonverbal ability on prevalence and clinical presentation of language disorder: Evidence from a population study. Journal of Child Psychology and Psychiatry, 57, 1247–1257.</w:t>
      </w:r>
      <w:r w:rsidR="00C82CB1" w:rsidRPr="00CE68CC">
        <w:rPr>
          <w:color w:val="auto"/>
          <w:lang w:val="en-GB"/>
        </w:rPr>
        <w:t xml:space="preserve"> </w:t>
      </w:r>
      <w:r w:rsidR="00C82CB1" w:rsidRPr="00CE68CC">
        <w:rPr>
          <w:rFonts w:ascii="Times New Roman" w:eastAsia="Times New Roman" w:hAnsi="Times New Roman"/>
          <w:color w:val="auto"/>
          <w:lang w:val="en-GB" w:eastAsia="it-IT"/>
        </w:rPr>
        <w:t>https://doi.org/10.1111/jcpp.12573</w:t>
      </w:r>
    </w:p>
    <w:p w14:paraId="1C93388C" w14:textId="77777777" w:rsidR="00C82CB1" w:rsidRPr="00F173BB" w:rsidRDefault="00641F09" w:rsidP="00C82CB1">
      <w:pPr>
        <w:numPr>
          <w:ilvl w:val="0"/>
          <w:numId w:val="1"/>
        </w:numPr>
        <w:suppressAutoHyphens w:val="0"/>
        <w:spacing w:beforeAutospacing="1" w:after="0" w:afterAutospacing="1" w:line="360" w:lineRule="auto"/>
        <w:contextualSpacing/>
        <w:jc w:val="both"/>
        <w:rPr>
          <w:rFonts w:ascii="Times New Roman" w:hAnsi="Times New Roman"/>
          <w:color w:val="auto"/>
          <w:lang w:val="en-US"/>
        </w:rPr>
      </w:pPr>
      <w:r w:rsidRPr="00CE68CC">
        <w:rPr>
          <w:rFonts w:ascii="Times New Roman" w:eastAsia="Times New Roman" w:hAnsi="Times New Roman"/>
          <w:color w:val="auto"/>
          <w:lang w:val="en-GB" w:eastAsia="it-IT"/>
        </w:rPr>
        <w:t xml:space="preserve">Law J, Boyle J, Harris F, Harkness A, Nye C (2000) Prevalence and natural history of primary speech and language delay: findings from a systematic review of the literature. </w:t>
      </w:r>
      <w:r w:rsidR="00C82CB1" w:rsidRPr="00CE68CC">
        <w:rPr>
          <w:rFonts w:ascii="Times New Roman" w:eastAsia="Times New Roman" w:hAnsi="Times New Roman"/>
          <w:color w:val="auto"/>
          <w:lang w:val="en-GB" w:eastAsia="it-IT"/>
        </w:rPr>
        <w:lastRenderedPageBreak/>
        <w:t>International journal of language &amp; communication disorders, 35(2), 165–188. https://</w:t>
      </w:r>
      <w:r w:rsidR="00C82CB1" w:rsidRPr="00F173BB">
        <w:rPr>
          <w:rFonts w:ascii="Times New Roman" w:eastAsia="Times New Roman" w:hAnsi="Times New Roman"/>
          <w:color w:val="auto"/>
          <w:lang w:val="en-GB" w:eastAsia="it-IT"/>
        </w:rPr>
        <w:t>doi.org/10.1080/136828200247133</w:t>
      </w:r>
    </w:p>
    <w:p w14:paraId="56ED21AF" w14:textId="77777777" w:rsidR="00641F09" w:rsidRPr="00CE68CC" w:rsidRDefault="00641F09" w:rsidP="00C82CB1">
      <w:pPr>
        <w:numPr>
          <w:ilvl w:val="0"/>
          <w:numId w:val="1"/>
        </w:numPr>
        <w:suppressAutoHyphens w:val="0"/>
        <w:spacing w:beforeAutospacing="1" w:after="0" w:afterAutospacing="1" w:line="360" w:lineRule="auto"/>
        <w:contextualSpacing/>
        <w:jc w:val="both"/>
        <w:rPr>
          <w:rFonts w:ascii="Times New Roman" w:hAnsi="Times New Roman"/>
          <w:color w:val="auto"/>
          <w:lang w:val="en-US"/>
        </w:rPr>
      </w:pPr>
      <w:r w:rsidRPr="00F173BB">
        <w:rPr>
          <w:rFonts w:ascii="Times New Roman" w:hAnsi="Times New Roman"/>
          <w:color w:val="auto"/>
          <w:lang w:val="en-US"/>
        </w:rPr>
        <w:t>Trevarthen C, Aitken KJ (2001) Infant intersubjectivity: research, theory, and clinical applications. Journal</w:t>
      </w:r>
      <w:r w:rsidRPr="00CE68CC">
        <w:rPr>
          <w:rFonts w:ascii="Times New Roman" w:hAnsi="Times New Roman"/>
          <w:color w:val="auto"/>
          <w:lang w:val="en-US"/>
        </w:rPr>
        <w:t xml:space="preserve"> of child psychology and psychiatry, and allied disciplines, 42(1), 3–48.</w:t>
      </w:r>
    </w:p>
    <w:p w14:paraId="623213B5" w14:textId="77777777" w:rsidR="00641F09" w:rsidRPr="002D383C" w:rsidRDefault="00641F09" w:rsidP="00641F09">
      <w:pPr>
        <w:numPr>
          <w:ilvl w:val="0"/>
          <w:numId w:val="1"/>
        </w:numPr>
        <w:suppressAutoHyphens w:val="0"/>
        <w:spacing w:before="100" w:beforeAutospacing="1" w:after="0" w:afterAutospacing="1" w:line="360" w:lineRule="auto"/>
        <w:jc w:val="both"/>
        <w:rPr>
          <w:rFonts w:ascii="Times New Roman" w:eastAsia="Times New Roman" w:hAnsi="Times New Roman"/>
          <w:color w:val="auto"/>
          <w:lang w:val="en-US" w:eastAsia="it-IT"/>
        </w:rPr>
      </w:pPr>
      <w:r w:rsidRPr="00CE68CC">
        <w:rPr>
          <w:rFonts w:ascii="Times New Roman" w:hAnsi="Times New Roman"/>
          <w:color w:val="auto"/>
          <w:lang w:val="en-US"/>
        </w:rPr>
        <w:t xml:space="preserve">Piaget J, </w:t>
      </w:r>
      <w:r w:rsidRPr="002D383C">
        <w:rPr>
          <w:rFonts w:ascii="Times New Roman" w:hAnsi="Times New Roman"/>
          <w:color w:val="auto"/>
          <w:lang w:val="en-US"/>
        </w:rPr>
        <w:t>Cook MT (1952) The origins of intelligence in children.</w:t>
      </w:r>
    </w:p>
    <w:p w14:paraId="362AFE7E" w14:textId="77777777" w:rsidR="00641F09" w:rsidRPr="002D383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2D383C">
        <w:rPr>
          <w:rFonts w:ascii="Times New Roman" w:hAnsi="Times New Roman"/>
          <w:color w:val="auto"/>
          <w:lang w:val="en-US"/>
        </w:rPr>
        <w:t>Kinnear PE, Jay B, Witkop Jr CJ (1985) Albinism. Survey of ophthalmology, 30(2), 75-101.</w:t>
      </w:r>
    </w:p>
    <w:p w14:paraId="2A71E54B"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2D383C">
        <w:rPr>
          <w:rFonts w:ascii="Times New Roman" w:eastAsia="Times New Roman" w:hAnsi="Times New Roman"/>
          <w:color w:val="auto"/>
          <w:lang w:val="en-GB" w:eastAsia="it-IT"/>
        </w:rPr>
        <w:t>Steinberg A, Ronen S, Zlotogorski Z, Silverston BZ, Hirsch I, Nawratzki I (1992) Central nervous</w:t>
      </w:r>
      <w:r w:rsidRPr="00CE68CC">
        <w:rPr>
          <w:rFonts w:ascii="Times New Roman" w:eastAsia="Times New Roman" w:hAnsi="Times New Roman"/>
          <w:color w:val="auto"/>
          <w:lang w:val="en-GB" w:eastAsia="it-IT"/>
        </w:rPr>
        <w:t xml:space="preserve"> system involvement in Leber congenital amaurosis. Journal of pediatric ophthalmology and strabismus, 29(4), 224–227. https://doi.org/10.3928/0191-3913-19920701-09</w:t>
      </w:r>
    </w:p>
    <w:p w14:paraId="6E762697"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64235C">
        <w:rPr>
          <w:rFonts w:ascii="Times New Roman" w:hAnsi="Times New Roman"/>
          <w:color w:val="auto"/>
          <w:lang w:val="en-US"/>
        </w:rPr>
        <w:t>Papadopoulos K,</w:t>
      </w:r>
      <w:r w:rsidRPr="00CE68CC">
        <w:rPr>
          <w:rFonts w:ascii="Times New Roman" w:hAnsi="Times New Roman"/>
          <w:color w:val="auto"/>
          <w:lang w:val="en-US"/>
        </w:rPr>
        <w:t xml:space="preserve"> Metsiou K, Agaliotis I (2011) Adaptive behavior of children and adolescents with visual impairments. Research in developmental disabilities, 32(3), 1086–1096. https://doi.org/10.1016/j.ridd.2011.01.021</w:t>
      </w:r>
    </w:p>
    <w:p w14:paraId="45B35F79"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val="en-US"/>
        </w:rPr>
      </w:pPr>
      <w:r w:rsidRPr="00CE68CC">
        <w:rPr>
          <w:rFonts w:ascii="Times New Roman" w:hAnsi="Times New Roman"/>
          <w:color w:val="auto"/>
          <w:lang w:val="en-US"/>
        </w:rPr>
        <w:t>Metsiou K, Papadopoulos K, Agaliotis I (2011) Adaptive behavior of primary school students with visual impairments: the impact of educational settings. Research in developmental disabilities, 32(6), 2340–2345. https://doi.org/10.1016/j.ridd.2011.07.030</w:t>
      </w:r>
    </w:p>
    <w:p w14:paraId="0D627F19"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GB" w:eastAsia="it-IT"/>
        </w:rPr>
      </w:pPr>
      <w:r w:rsidRPr="0064235C">
        <w:rPr>
          <w:rFonts w:ascii="Times New Roman" w:hAnsi="Times New Roman"/>
          <w:color w:val="auto"/>
          <w:lang w:val="en-US"/>
        </w:rPr>
        <w:t>Bathelt</w:t>
      </w:r>
      <w:r w:rsidRPr="00CE68CC">
        <w:rPr>
          <w:rFonts w:ascii="Times New Roman" w:hAnsi="Times New Roman"/>
          <w:color w:val="auto"/>
          <w:lang w:val="en-US"/>
        </w:rPr>
        <w:t xml:space="preserve"> J, de Haan M, Dale NJ (2019) Adaptive behaviour and quality of life in school-age children with congenital visual disorders and different levels of visual impairment. Research in developmental disabilities, 85, 154–162. https://doi.org/10.1016/j.ridd.2018.12.003</w:t>
      </w:r>
    </w:p>
    <w:p w14:paraId="16B2A944" w14:textId="77777777" w:rsidR="00641F09" w:rsidRPr="00B271C3"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eastAsia="it-IT"/>
        </w:rPr>
      </w:pPr>
      <w:r w:rsidRPr="00CE68CC">
        <w:rPr>
          <w:rFonts w:ascii="Times New Roman" w:hAnsi="Times New Roman"/>
          <w:color w:val="auto"/>
          <w:lang w:val="en-US"/>
        </w:rPr>
        <w:t xml:space="preserve">Dale NJ, Tadić V, Sonksen P (2014) Social communicative variation in 1-3-year-olds with </w:t>
      </w:r>
      <w:r w:rsidRPr="00B271C3">
        <w:rPr>
          <w:rFonts w:ascii="Times New Roman" w:hAnsi="Times New Roman"/>
          <w:color w:val="auto"/>
          <w:lang w:val="en-US"/>
        </w:rPr>
        <w:t>severe visual impairment. Child: care, health and development, 40(2), 158–164. https://doi.org/10.1111/cch.12065</w:t>
      </w:r>
    </w:p>
    <w:p w14:paraId="5F145E9B"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hAnsi="Times New Roman"/>
          <w:color w:val="auto"/>
          <w:lang w:val="en-US"/>
        </w:rPr>
      </w:pPr>
      <w:r w:rsidRPr="00B271C3">
        <w:rPr>
          <w:rFonts w:ascii="Times New Roman" w:hAnsi="Times New Roman"/>
          <w:color w:val="auto"/>
          <w:lang w:val="en-US"/>
        </w:rPr>
        <w:t>Elsman EBM, Koel M, van Nispen RMA, van Rens GHMB (2021) Quality of Life and Participation</w:t>
      </w:r>
      <w:r w:rsidRPr="00CE68CC">
        <w:rPr>
          <w:rFonts w:ascii="Times New Roman" w:hAnsi="Times New Roman"/>
          <w:color w:val="auto"/>
          <w:lang w:val="en-US"/>
        </w:rPr>
        <w:t xml:space="preserve"> of Children With Visual Impairment: Comparison With Population Reference Scores. Investigative ophthalmology &amp; visual science, 62(7), 14. https://doi.org/10.1167/iovs.62.7.14</w:t>
      </w:r>
    </w:p>
    <w:p w14:paraId="2B7E5666" w14:textId="77777777" w:rsidR="00641F09" w:rsidRPr="00CE68CC" w:rsidRDefault="00641F09" w:rsidP="00641F09">
      <w:pPr>
        <w:numPr>
          <w:ilvl w:val="0"/>
          <w:numId w:val="1"/>
        </w:numPr>
        <w:suppressAutoHyphens w:val="0"/>
        <w:spacing w:beforeAutospacing="1" w:after="0" w:afterAutospacing="1" w:line="360" w:lineRule="auto"/>
        <w:jc w:val="both"/>
        <w:rPr>
          <w:rFonts w:ascii="Times New Roman" w:eastAsia="Times New Roman" w:hAnsi="Times New Roman"/>
          <w:color w:val="auto"/>
          <w:lang w:val="en-US" w:eastAsia="it-IT"/>
        </w:rPr>
      </w:pPr>
      <w:r w:rsidRPr="00CE68CC">
        <w:rPr>
          <w:rFonts w:ascii="Times New Roman" w:hAnsi="Times New Roman"/>
          <w:color w:val="auto"/>
          <w:lang w:val="en-US"/>
        </w:rPr>
        <w:t>Tadić V, Pring L, Dale N (2010) Are language and social communication intact in children with congenital visual impairment at school age?. Journal of child psychology and psychiatry, and allied disciplines, 51(6), 696–705. https://doi.org/10.1111/j.1469-7610.2009.02200.x</w:t>
      </w:r>
    </w:p>
    <w:p w14:paraId="28C544B9" w14:textId="77777777" w:rsidR="00C82CB1" w:rsidRPr="00CE68CC" w:rsidRDefault="00641F09" w:rsidP="00C82CB1">
      <w:pPr>
        <w:numPr>
          <w:ilvl w:val="0"/>
          <w:numId w:val="1"/>
        </w:numPr>
        <w:spacing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Polanczyk GV, Salum GA, Sugaya LS, Caye A, Rohde LA (2015) Annual research review: A meta-analysis of the worldwide prevalence of mental disorders in children and adolescents. </w:t>
      </w:r>
      <w:r w:rsidR="00C82CB1" w:rsidRPr="00CE68CC">
        <w:rPr>
          <w:rFonts w:ascii="Times New Roman" w:hAnsi="Times New Roman"/>
          <w:color w:val="auto"/>
          <w:lang w:val="en-US"/>
        </w:rPr>
        <w:t>Journal of child psychology and psychiatry, and allied disciplines, 56(3), 345–365. https://doi.org/10.1111/jcpp.12381</w:t>
      </w:r>
    </w:p>
    <w:p w14:paraId="32EA337E" w14:textId="77777777" w:rsidR="00641F09" w:rsidRPr="00CE68CC" w:rsidRDefault="00641F09" w:rsidP="00C82CB1">
      <w:pPr>
        <w:numPr>
          <w:ilvl w:val="0"/>
          <w:numId w:val="1"/>
        </w:numPr>
        <w:spacing w:line="360" w:lineRule="auto"/>
        <w:contextualSpacing/>
        <w:jc w:val="both"/>
        <w:rPr>
          <w:rFonts w:ascii="Times New Roman" w:hAnsi="Times New Roman"/>
          <w:color w:val="auto"/>
          <w:lang w:val="en-US"/>
        </w:rPr>
      </w:pPr>
      <w:r w:rsidRPr="00CE68CC">
        <w:rPr>
          <w:rFonts w:ascii="Times New Roman" w:hAnsi="Times New Roman"/>
          <w:color w:val="auto"/>
          <w:lang w:val="en-US"/>
        </w:rPr>
        <w:lastRenderedPageBreak/>
        <w:t>O'Reilly MA, Bathelt J, Sakkalou E, Sakki H, Salt A, Dale N et al (2017) Frontal EEG asymmetry and later behavior vulnerability in infants with congenital visual impairment. Clinical neurophysiology : official journal of the International Federation of Clinical Neurophysiology, 128(11), 2191–2199. https://doi.org/10.1016/j.clinph.2017.08.016</w:t>
      </w:r>
    </w:p>
    <w:p w14:paraId="5DC62AC9" w14:textId="77777777" w:rsidR="00641F09" w:rsidRPr="00CE68CC" w:rsidRDefault="00641F09" w:rsidP="00641F09">
      <w:pPr>
        <w:numPr>
          <w:ilvl w:val="0"/>
          <w:numId w:val="1"/>
        </w:numPr>
        <w:spacing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Alon L, Cohen Ophir M, Cohen A, Tirosh E (2010) Regulation disorders among children with visual impairment a controlled study. Journal of Developmental and Physical Disabilities, 22(1), 57-64. </w:t>
      </w:r>
      <w:hyperlink r:id="rId10" w:history="1">
        <w:r w:rsidRPr="00CE68CC">
          <w:rPr>
            <w:color w:val="auto"/>
            <w:lang w:val="en-US"/>
          </w:rPr>
          <w:t>https://doi.org/10.1007/s10882-009-9169-1</w:t>
        </w:r>
      </w:hyperlink>
    </w:p>
    <w:p w14:paraId="16643BD6" w14:textId="77777777" w:rsidR="00641F09" w:rsidRPr="00CE68CC" w:rsidRDefault="00641F09" w:rsidP="00641F09">
      <w:pPr>
        <w:numPr>
          <w:ilvl w:val="0"/>
          <w:numId w:val="1"/>
        </w:numPr>
        <w:spacing w:line="360" w:lineRule="auto"/>
        <w:contextualSpacing/>
        <w:jc w:val="both"/>
        <w:rPr>
          <w:rFonts w:ascii="Times New Roman" w:hAnsi="Times New Roman"/>
          <w:color w:val="auto"/>
          <w:lang w:val="en-US"/>
        </w:rPr>
      </w:pPr>
      <w:r w:rsidRPr="00CE68CC">
        <w:rPr>
          <w:rFonts w:ascii="Times New Roman" w:hAnsi="Times New Roman"/>
          <w:color w:val="auto"/>
          <w:lang w:val="en-US"/>
        </w:rPr>
        <w:t>Chennaz L, Valente D, Baltenneck N, Baudouin JY, Gentaz E (2022) Emotion regulation in blind and visually impaired children aged 3 to 12 years assessed by a parental questionnaire. Acta psychologica, 225, 103553. https://doi.org/10.1016/j.actpsy.2022.103553</w:t>
      </w:r>
    </w:p>
    <w:p w14:paraId="1E5839EA" w14:textId="77777777" w:rsidR="00641F09" w:rsidRPr="00CE68CC" w:rsidRDefault="00641F09" w:rsidP="00A54AB3">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Parr JR, Dale NJ, Shaffer LM, Salt AT (2010) Social communication difficulties and autism spectrum disorder in young children with optic nerve hypoplasia and/or septo-optic dysplasia. Developmental medicine and child neurology, 52(10), 917–921. </w:t>
      </w:r>
      <w:hyperlink r:id="rId11" w:history="1">
        <w:r w:rsidRPr="00CE68CC">
          <w:rPr>
            <w:rFonts w:ascii="Times New Roman" w:hAnsi="Times New Roman"/>
            <w:color w:val="auto"/>
            <w:lang w:val="en-US"/>
          </w:rPr>
          <w:t>https://doi.org/10.1111/j.1469-8749.2010.03664.x</w:t>
        </w:r>
      </w:hyperlink>
    </w:p>
    <w:p w14:paraId="39B29030" w14:textId="77777777" w:rsidR="00641F09" w:rsidRPr="00CE68CC" w:rsidRDefault="00641F09" w:rsidP="002F5339">
      <w:pPr>
        <w:numPr>
          <w:ilvl w:val="0"/>
          <w:numId w:val="1"/>
        </w:numPr>
        <w:spacing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Lundström S, Chang Z, Råstam M, Gillberg C, Larsson H, Anckarsäter H, </w:t>
      </w:r>
      <w:r w:rsidR="002F5339" w:rsidRPr="00CE68CC">
        <w:rPr>
          <w:rFonts w:ascii="Times New Roman" w:hAnsi="Times New Roman"/>
          <w:color w:val="auto"/>
          <w:lang w:val="en-US"/>
        </w:rPr>
        <w:t>et al</w:t>
      </w:r>
      <w:r w:rsidRPr="00CE68CC">
        <w:rPr>
          <w:rFonts w:ascii="Times New Roman" w:hAnsi="Times New Roman"/>
          <w:color w:val="auto"/>
          <w:lang w:val="en-US"/>
        </w:rPr>
        <w:t xml:space="preserve"> (2012) Autism spectrum disorders and autistic like traits: similar etiology in the extreme end and the normal variation. </w:t>
      </w:r>
      <w:r w:rsidR="002F5339" w:rsidRPr="00CE68CC">
        <w:rPr>
          <w:rFonts w:ascii="Times New Roman" w:hAnsi="Times New Roman"/>
          <w:color w:val="auto"/>
          <w:lang w:val="en-US"/>
        </w:rPr>
        <w:t>Archives of general psychiatry, 69(1), 46–52. https://doi.org/10.1001/archgenpsychiatry.2011.144</w:t>
      </w:r>
    </w:p>
    <w:p w14:paraId="12525489"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Bathelt J, Dale N, de Haan M (2017) Event-related potential response to auditory social stimuli, parent-reported social communicative deficits and autism risk in school-aged children with congenital visual impairment. Developmental cognitive neuroscience, 27, 10–18. </w:t>
      </w:r>
      <w:r w:rsidR="002F5339" w:rsidRPr="00CE68CC">
        <w:rPr>
          <w:rFonts w:ascii="Times New Roman" w:hAnsi="Times New Roman"/>
          <w:color w:val="auto"/>
          <w:lang w:val="en-US"/>
        </w:rPr>
        <w:t>https://doi.org/10.1016/j.dcn.2017.07.003</w:t>
      </w:r>
    </w:p>
    <w:p w14:paraId="7B81D01A" w14:textId="77777777" w:rsidR="002F5339" w:rsidRPr="00CE68CC" w:rsidRDefault="002F5339" w:rsidP="002F533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Zeidan J, Fombonne E, Scorah J, Ibrahim A, Durkin MS, Saxena S, et al (2022) Global prevalence of autism: A systematic review update. Autism research: official journal of the International Society for Autism Research, 15(5), 778–790. https://doi.org/10.1002/aur.2696</w:t>
      </w:r>
    </w:p>
    <w:p w14:paraId="3E196876" w14:textId="77777777" w:rsidR="00641F09" w:rsidRPr="00CE68CC" w:rsidRDefault="00641F09" w:rsidP="002F5339">
      <w:pPr>
        <w:numPr>
          <w:ilvl w:val="0"/>
          <w:numId w:val="1"/>
        </w:numPr>
        <w:spacing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Molinaro A, Micheletti S, Rossi A, Gitti F, Galli J, Merabet LB, et al (2020) Autistic-Like Features in Visually Impaired Children: A Review of Literature and Directions for Future Research. Brain sciences, 10(8), 507. </w:t>
      </w:r>
      <w:hyperlink r:id="rId12" w:history="1">
        <w:r w:rsidRPr="00CE68CC">
          <w:rPr>
            <w:rFonts w:ascii="Times New Roman" w:hAnsi="Times New Roman"/>
            <w:color w:val="auto"/>
            <w:lang w:val="en-US"/>
          </w:rPr>
          <w:t>https://doi.org/10.3390/brainsci10080507</w:t>
        </w:r>
      </w:hyperlink>
    </w:p>
    <w:p w14:paraId="6FC949CF"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rPr>
        <w:t xml:space="preserve">Dumitrescu AV, Tran J, Pfeifer W, Bhattarai SV, Kemerley A, Dunn TV, </w:t>
      </w:r>
      <w:r w:rsidR="002F5339" w:rsidRPr="00CE68CC">
        <w:rPr>
          <w:rFonts w:ascii="Times New Roman" w:hAnsi="Times New Roman"/>
          <w:color w:val="auto"/>
        </w:rPr>
        <w:t>et al</w:t>
      </w:r>
      <w:r w:rsidRPr="00CE68CC">
        <w:rPr>
          <w:rFonts w:ascii="Times New Roman" w:hAnsi="Times New Roman"/>
          <w:color w:val="auto"/>
        </w:rPr>
        <w:t xml:space="preserve"> (2021). </w:t>
      </w:r>
      <w:r w:rsidRPr="00CE68CC">
        <w:rPr>
          <w:rFonts w:ascii="Times New Roman" w:hAnsi="Times New Roman"/>
          <w:color w:val="auto"/>
          <w:lang w:val="en-US"/>
        </w:rPr>
        <w:t>Clinical albinism score, presence of nystagmus and optic nerves defects are correlated with visual outcome in patients with oculocutaneous albinism. Ophthalmic genetics, 42(5), 539–552. https://doi.org/10.1080/13816810.2021.1933544</w:t>
      </w:r>
    </w:p>
    <w:p w14:paraId="18218D54"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Bridge H, von dem Hagen EA, Davies G, Chambers C, Gouws A, Hoffmann M, </w:t>
      </w:r>
      <w:r w:rsidR="0024060D" w:rsidRPr="00CE68CC">
        <w:rPr>
          <w:rFonts w:ascii="Times New Roman" w:hAnsi="Times New Roman"/>
          <w:color w:val="auto"/>
          <w:lang w:val="en-US"/>
        </w:rPr>
        <w:t xml:space="preserve">et al </w:t>
      </w:r>
      <w:r w:rsidRPr="00CE68CC">
        <w:rPr>
          <w:rFonts w:ascii="Times New Roman" w:hAnsi="Times New Roman"/>
          <w:color w:val="auto"/>
          <w:lang w:val="en-US"/>
        </w:rPr>
        <w:t xml:space="preserve">(2014) Changes in brain morphology in albinism reflect reduced visual acuity. Cortex; a </w:t>
      </w:r>
      <w:r w:rsidRPr="00CE68CC">
        <w:rPr>
          <w:rFonts w:ascii="Times New Roman" w:hAnsi="Times New Roman"/>
          <w:color w:val="auto"/>
          <w:lang w:val="en-US"/>
        </w:rPr>
        <w:lastRenderedPageBreak/>
        <w:t>journal devoted to the study of the nervous system and behavior, 56, 64–72. https://doi.org/10.1016/j.cortex.2012.08.010</w:t>
      </w:r>
    </w:p>
    <w:p w14:paraId="5A377E32"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Bakker R, Wagstaff EL, Kruijt CC, Emri E, van Karnebeek CDM, Hoffmann MB, </w:t>
      </w:r>
      <w:r w:rsidR="0024060D" w:rsidRPr="00CE68CC">
        <w:rPr>
          <w:rFonts w:ascii="Times New Roman" w:hAnsi="Times New Roman"/>
          <w:color w:val="auto"/>
          <w:lang w:val="en-US"/>
        </w:rPr>
        <w:t xml:space="preserve">et al </w:t>
      </w:r>
      <w:r w:rsidRPr="00CE68CC">
        <w:rPr>
          <w:rFonts w:ascii="Times New Roman" w:hAnsi="Times New Roman"/>
          <w:color w:val="auto"/>
          <w:lang w:val="en-US"/>
        </w:rPr>
        <w:t>(2022) The retinal pigmentation pathway in human albinism: Not so black and white. Progress in retinal and eye research, 91, 101091. https://doi.org/10.1016/j.preteyeres.2022.101091</w:t>
      </w:r>
    </w:p>
    <w:p w14:paraId="1DF12439"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Ginger RS, Askew SE, Ogborne RM, Wilson S, Ferdinando D, Dadd T, </w:t>
      </w:r>
      <w:r w:rsidR="0024060D" w:rsidRPr="00CE68CC">
        <w:rPr>
          <w:rFonts w:ascii="Times New Roman" w:hAnsi="Times New Roman"/>
          <w:color w:val="auto"/>
          <w:lang w:val="en-US"/>
        </w:rPr>
        <w:t xml:space="preserve">et al </w:t>
      </w:r>
      <w:r w:rsidRPr="00CE68CC">
        <w:rPr>
          <w:rFonts w:ascii="Times New Roman" w:hAnsi="Times New Roman"/>
          <w:color w:val="auto"/>
          <w:lang w:val="en-US"/>
        </w:rPr>
        <w:t>(2008) SLC24A5 encodes a trans-Golgi network protein with potassium-dependent sodium-calcium exchange activity that regulates human epidermal melanogenesis. The Journal of biological chemistry, 283(9), 5486–5495. https://doi.org/10.1074/jbc.M707521200</w:t>
      </w:r>
    </w:p>
    <w:p w14:paraId="4707734D" w14:textId="77777777" w:rsidR="00641F09" w:rsidRPr="00CE68CC" w:rsidRDefault="00641F09" w:rsidP="00641F09">
      <w:pPr>
        <w:numPr>
          <w:ilvl w:val="0"/>
          <w:numId w:val="1"/>
        </w:numPr>
        <w:suppressAutoHyphens w:val="0"/>
        <w:spacing w:after="0" w:line="360" w:lineRule="auto"/>
        <w:contextualSpacing/>
        <w:jc w:val="both"/>
        <w:rPr>
          <w:rFonts w:ascii="Times New Roman" w:hAnsi="Times New Roman"/>
          <w:color w:val="auto"/>
          <w:lang w:val="en-US"/>
        </w:rPr>
      </w:pPr>
      <w:r w:rsidRPr="00CE68CC">
        <w:rPr>
          <w:rFonts w:ascii="Times New Roman" w:hAnsi="Times New Roman"/>
          <w:color w:val="auto"/>
          <w:lang w:val="en-GB"/>
        </w:rPr>
        <w:t xml:space="preserve">Saadeh R, Lisi EC, Batista DA, McIntosh I, Hoover-Fong JE (2007) </w:t>
      </w:r>
      <w:r w:rsidRPr="00CE68CC">
        <w:rPr>
          <w:rFonts w:ascii="Times New Roman" w:hAnsi="Times New Roman"/>
          <w:color w:val="auto"/>
          <w:lang w:val="en-US"/>
        </w:rPr>
        <w:t>Albinism and developmental delay: the need to test for 15q11-q13 deletion. Pediatric neurology, 37(4), 299–302. https://doi.org/10.1016/j.pediatrneurol.2007.06.024</w:t>
      </w:r>
    </w:p>
    <w:p w14:paraId="03DF2D97" w14:textId="2740970D" w:rsidR="00641F09" w:rsidRPr="00CE68CC" w:rsidRDefault="00641F09" w:rsidP="00C05C47">
      <w:pPr>
        <w:numPr>
          <w:ilvl w:val="0"/>
          <w:numId w:val="1"/>
        </w:numPr>
        <w:suppressAutoHyphens w:val="0"/>
        <w:spacing w:after="100" w:line="360" w:lineRule="auto"/>
        <w:contextualSpacing/>
        <w:jc w:val="both"/>
        <w:rPr>
          <w:rFonts w:ascii="Times New Roman" w:hAnsi="Times New Roman"/>
          <w:color w:val="auto"/>
          <w:lang w:val="en-US"/>
        </w:rPr>
      </w:pPr>
      <w:r w:rsidRPr="00CE68CC">
        <w:rPr>
          <w:rFonts w:ascii="Times New Roman" w:hAnsi="Times New Roman"/>
          <w:color w:val="auto"/>
          <w:lang w:val="en-US"/>
        </w:rPr>
        <w:t xml:space="preserve">Micheletti S, Palestra F, Martelli P, Accorsi P, Galli J, Giordano L, </w:t>
      </w:r>
      <w:r w:rsidR="0024060D" w:rsidRPr="00CE68CC">
        <w:rPr>
          <w:rFonts w:ascii="Times New Roman" w:hAnsi="Times New Roman"/>
          <w:color w:val="auto"/>
          <w:lang w:val="en-US"/>
        </w:rPr>
        <w:t>et al</w:t>
      </w:r>
      <w:r w:rsidRPr="00CE68CC">
        <w:rPr>
          <w:rFonts w:ascii="Times New Roman" w:hAnsi="Times New Roman"/>
          <w:color w:val="auto"/>
          <w:lang w:val="en-US"/>
        </w:rPr>
        <w:t xml:space="preserve"> (2016) Neurodevelopmental profile in Angelman syndrome: more than low intelligence quotient. Italian journal of pediatrics, 42(1), 91. </w:t>
      </w:r>
      <w:hyperlink r:id="rId13" w:history="1">
        <w:r w:rsidR="00C05C47" w:rsidRPr="00CE68CC">
          <w:rPr>
            <w:rFonts w:ascii="Times New Roman" w:hAnsi="Times New Roman"/>
            <w:color w:val="auto"/>
            <w:lang w:val="en-US"/>
          </w:rPr>
          <w:t>https://doi.org/10.1186/s13052-016-0301-4</w:t>
        </w:r>
      </w:hyperlink>
    </w:p>
    <w:p w14:paraId="5ADE1DB9" w14:textId="70F08A6C" w:rsidR="00C05C47" w:rsidRDefault="00C05C47" w:rsidP="00C05C47">
      <w:pPr>
        <w:numPr>
          <w:ilvl w:val="0"/>
          <w:numId w:val="1"/>
        </w:numPr>
        <w:suppressAutoHyphens w:val="0"/>
        <w:spacing w:after="0" w:line="360" w:lineRule="auto"/>
        <w:jc w:val="both"/>
        <w:rPr>
          <w:rFonts w:ascii="Times New Roman" w:hAnsi="Times New Roman"/>
          <w:color w:val="auto"/>
          <w:lang w:val="en-US"/>
        </w:rPr>
      </w:pPr>
      <w:r w:rsidRPr="00CE68CC">
        <w:rPr>
          <w:rFonts w:ascii="Times New Roman" w:hAnsi="Times New Roman"/>
          <w:color w:val="auto"/>
          <w:lang w:val="en-US"/>
        </w:rPr>
        <w:t xml:space="preserve">Cassidy SB, Schwartz S, Miller JL, Driscoll DJ (2012) Prader-Willi syndrome. Genetics in </w:t>
      </w:r>
      <w:r w:rsidRPr="009838E1">
        <w:rPr>
          <w:rFonts w:ascii="Times New Roman" w:hAnsi="Times New Roman"/>
          <w:color w:val="auto"/>
          <w:lang w:val="en-US"/>
        </w:rPr>
        <w:t xml:space="preserve">medicine: official journal of the American College of Medical Genetics, 14(1), 10–26. </w:t>
      </w:r>
      <w:hyperlink r:id="rId14" w:history="1">
        <w:r w:rsidR="00445199" w:rsidRPr="009838E1">
          <w:rPr>
            <w:rFonts w:ascii="Times New Roman" w:hAnsi="Times New Roman"/>
            <w:color w:val="auto"/>
          </w:rPr>
          <w:t>https://doi.org/10.1038/gim.0b013e31822bead0</w:t>
        </w:r>
      </w:hyperlink>
    </w:p>
    <w:p w14:paraId="2298B0F3" w14:textId="77777777" w:rsidR="00C05C47" w:rsidRPr="00641F09" w:rsidRDefault="00C05C47" w:rsidP="00C05C47">
      <w:pPr>
        <w:suppressAutoHyphens w:val="0"/>
        <w:spacing w:after="100" w:line="360" w:lineRule="auto"/>
        <w:contextualSpacing/>
        <w:jc w:val="both"/>
        <w:rPr>
          <w:rFonts w:ascii="Times New Roman" w:hAnsi="Times New Roman"/>
          <w:color w:val="FF0000"/>
          <w:lang w:val="en-US"/>
        </w:rPr>
      </w:pPr>
    </w:p>
    <w:p w14:paraId="23E49A74" w14:textId="77777777" w:rsidR="006170EB" w:rsidRDefault="006170EB" w:rsidP="00641F09">
      <w:pPr>
        <w:spacing w:line="480" w:lineRule="auto"/>
        <w:ind w:left="1134"/>
        <w:rPr>
          <w:highlight w:val="yellow"/>
          <w:lang w:val="en-GB"/>
        </w:rPr>
      </w:pPr>
    </w:p>
    <w:sectPr w:rsidR="006170EB">
      <w:footerReference w:type="default" r:id="rId15"/>
      <w:pgSz w:w="11906" w:h="16838"/>
      <w:pgMar w:top="1417" w:right="1134" w:bottom="1134" w:left="1134" w:header="0" w:footer="0" w:gutter="0"/>
      <w:lnNumType w:countBy="1" w:distance="283" w:restart="continuous"/>
      <w:cols w:space="720"/>
      <w:formProt w:val="0"/>
      <w:docGrid w:linePitch="360" w:charSpace="-24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6FC46" w14:textId="77777777" w:rsidR="00B271C3" w:rsidRDefault="00B271C3">
      <w:pPr>
        <w:spacing w:after="0" w:line="240" w:lineRule="auto"/>
      </w:pPr>
      <w:r>
        <w:separator/>
      </w:r>
    </w:p>
  </w:endnote>
  <w:endnote w:type="continuationSeparator" w:id="0">
    <w:p w14:paraId="414167C2" w14:textId="77777777" w:rsidR="00B271C3" w:rsidRDefault="00B27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B2761" w14:textId="77777777" w:rsidR="00B271C3" w:rsidRDefault="00B271C3">
    <w:pPr>
      <w:pStyle w:val="Pidipagina1"/>
      <w:jc w:val="right"/>
    </w:pPr>
    <w:r>
      <w:fldChar w:fldCharType="begin"/>
    </w:r>
    <w:r>
      <w:instrText>PAGE</w:instrText>
    </w:r>
    <w:r>
      <w:fldChar w:fldCharType="separate"/>
    </w:r>
    <w:r w:rsidR="001B214A">
      <w:rPr>
        <w:noProof/>
      </w:rPr>
      <w:t>18</w:t>
    </w:r>
    <w:r>
      <w:fldChar w:fldCharType="end"/>
    </w:r>
  </w:p>
  <w:p w14:paraId="3CE27427" w14:textId="77777777" w:rsidR="00B271C3" w:rsidRDefault="00B271C3">
    <w:pPr>
      <w:pStyle w:val="Pidipagina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BC068" w14:textId="77777777" w:rsidR="00B271C3" w:rsidRDefault="00B271C3">
    <w:pPr>
      <w:pStyle w:val="Pidipagina1"/>
      <w:jc w:val="right"/>
    </w:pPr>
    <w:r>
      <w:fldChar w:fldCharType="begin"/>
    </w:r>
    <w:r>
      <w:instrText>PAGE</w:instrText>
    </w:r>
    <w:r>
      <w:fldChar w:fldCharType="separate"/>
    </w:r>
    <w:r w:rsidR="001B214A">
      <w:rPr>
        <w:noProof/>
      </w:rPr>
      <w:t>20</w:t>
    </w:r>
    <w:r>
      <w:fldChar w:fldCharType="end"/>
    </w:r>
  </w:p>
  <w:p w14:paraId="1AF13BD6" w14:textId="77777777" w:rsidR="00B271C3" w:rsidRDefault="00B271C3">
    <w:pPr>
      <w:pStyle w:val="Pidipa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60825" w14:textId="77777777" w:rsidR="00B271C3" w:rsidRDefault="00B271C3">
      <w:pPr>
        <w:spacing w:after="0" w:line="240" w:lineRule="auto"/>
      </w:pPr>
      <w:r>
        <w:separator/>
      </w:r>
    </w:p>
  </w:footnote>
  <w:footnote w:type="continuationSeparator" w:id="0">
    <w:p w14:paraId="4AFF132A" w14:textId="77777777" w:rsidR="00B271C3" w:rsidRDefault="00B27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82A1C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E416C1"/>
    <w:multiLevelType w:val="multilevel"/>
    <w:tmpl w:val="435EB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83C7B02"/>
    <w:multiLevelType w:val="multilevel"/>
    <w:tmpl w:val="C8CE2134"/>
    <w:lvl w:ilvl="0">
      <w:start w:val="1"/>
      <w:numFmt w:val="decimal"/>
      <w:lvlText w:val="%1."/>
      <w:lvlJc w:val="left"/>
      <w:pPr>
        <w:tabs>
          <w:tab w:val="num" w:pos="0"/>
        </w:tabs>
        <w:ind w:left="1854" w:hanging="360"/>
      </w:pPr>
      <w:rPr>
        <w:rFonts w:ascii="Times New Roman" w:hAnsi="Times New Roman" w:cs="Times New Roman" w:hint="default"/>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3" w15:restartNumberingAfterBreak="0">
    <w:nsid w:val="504532EA"/>
    <w:multiLevelType w:val="multilevel"/>
    <w:tmpl w:val="E9D8A06C"/>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4" w15:restartNumberingAfterBreak="0">
    <w:nsid w:val="6C4A14C2"/>
    <w:multiLevelType w:val="multilevel"/>
    <w:tmpl w:val="270670DC"/>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num w:numId="1" w16cid:durableId="1783183757">
    <w:abstractNumId w:val="2"/>
  </w:num>
  <w:num w:numId="2" w16cid:durableId="1759446888">
    <w:abstractNumId w:val="3"/>
  </w:num>
  <w:num w:numId="3" w16cid:durableId="1001084344">
    <w:abstractNumId w:val="4"/>
  </w:num>
  <w:num w:numId="4" w16cid:durableId="1080296397">
    <w:abstractNumId w:val="1"/>
  </w:num>
  <w:num w:numId="5" w16cid:durableId="1809929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TrackMoves/>
  <w:defaultTabStop w:val="708"/>
  <w:autoHyphenation/>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170EB"/>
    <w:rsid w:val="00075CF4"/>
    <w:rsid w:val="00112AD1"/>
    <w:rsid w:val="00143E22"/>
    <w:rsid w:val="001615A6"/>
    <w:rsid w:val="00173B38"/>
    <w:rsid w:val="00194DFC"/>
    <w:rsid w:val="001B214A"/>
    <w:rsid w:val="00202FE0"/>
    <w:rsid w:val="0024060D"/>
    <w:rsid w:val="00267403"/>
    <w:rsid w:val="002C172B"/>
    <w:rsid w:val="002D383C"/>
    <w:rsid w:val="002F5339"/>
    <w:rsid w:val="003113E5"/>
    <w:rsid w:val="00380B58"/>
    <w:rsid w:val="003B4293"/>
    <w:rsid w:val="003D35D5"/>
    <w:rsid w:val="003E2D96"/>
    <w:rsid w:val="00442AA8"/>
    <w:rsid w:val="00445199"/>
    <w:rsid w:val="00471AEB"/>
    <w:rsid w:val="004A67F1"/>
    <w:rsid w:val="004B681E"/>
    <w:rsid w:val="004B6D2C"/>
    <w:rsid w:val="00572F66"/>
    <w:rsid w:val="006170EB"/>
    <w:rsid w:val="00641F09"/>
    <w:rsid w:val="0064235C"/>
    <w:rsid w:val="006E697A"/>
    <w:rsid w:val="0072478E"/>
    <w:rsid w:val="00727165"/>
    <w:rsid w:val="007A1325"/>
    <w:rsid w:val="007D11A7"/>
    <w:rsid w:val="00892C83"/>
    <w:rsid w:val="00924E2A"/>
    <w:rsid w:val="009838E1"/>
    <w:rsid w:val="00995FE2"/>
    <w:rsid w:val="009B4B01"/>
    <w:rsid w:val="00A54AB3"/>
    <w:rsid w:val="00A71AEC"/>
    <w:rsid w:val="00B271C3"/>
    <w:rsid w:val="00B6341B"/>
    <w:rsid w:val="00C05C47"/>
    <w:rsid w:val="00C075CF"/>
    <w:rsid w:val="00C3254B"/>
    <w:rsid w:val="00C82CB1"/>
    <w:rsid w:val="00C973A4"/>
    <w:rsid w:val="00CE68CC"/>
    <w:rsid w:val="00D15C98"/>
    <w:rsid w:val="00D67F92"/>
    <w:rsid w:val="00D9361B"/>
    <w:rsid w:val="00E239FA"/>
    <w:rsid w:val="00E6028D"/>
    <w:rsid w:val="00E63254"/>
    <w:rsid w:val="00E8213D"/>
    <w:rsid w:val="00EA2D2F"/>
    <w:rsid w:val="00EA7619"/>
    <w:rsid w:val="00EC35C2"/>
    <w:rsid w:val="00F173BB"/>
    <w:rsid w:val="00F922BC"/>
    <w:rsid w:val="00FA11A2"/>
    <w:rsid w:val="00FC4AE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2E49A8"/>
  <w15:docId w15:val="{E6D17986-EA47-AF42-83D1-D79977454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D143B"/>
    <w:pPr>
      <w:suppressAutoHyphens/>
      <w:spacing w:after="160" w:line="259" w:lineRule="auto"/>
    </w:pPr>
    <w:rPr>
      <w:color w:val="00000A"/>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qFormat/>
    <w:rsid w:val="00F66B4B"/>
    <w:rPr>
      <w:lang w:val="en-US"/>
    </w:rPr>
  </w:style>
  <w:style w:type="character" w:customStyle="1" w:styleId="TestofumettoCarattere">
    <w:name w:val="Testo fumetto Carattere"/>
    <w:link w:val="Testofumetto"/>
    <w:uiPriority w:val="99"/>
    <w:semiHidden/>
    <w:qFormat/>
    <w:rsid w:val="00072889"/>
    <w:rPr>
      <w:rFonts w:ascii="Segoe UI" w:hAnsi="Segoe UI" w:cs="Segoe UI"/>
      <w:sz w:val="18"/>
      <w:szCs w:val="18"/>
    </w:rPr>
  </w:style>
  <w:style w:type="character" w:styleId="Rimandocommento">
    <w:name w:val="annotation reference"/>
    <w:uiPriority w:val="99"/>
    <w:semiHidden/>
    <w:unhideWhenUsed/>
    <w:qFormat/>
    <w:rsid w:val="00B70C6E"/>
    <w:rPr>
      <w:sz w:val="16"/>
      <w:szCs w:val="16"/>
    </w:rPr>
  </w:style>
  <w:style w:type="character" w:customStyle="1" w:styleId="TestocommentoCarattere">
    <w:name w:val="Testo commento Carattere"/>
    <w:link w:val="Testocommento"/>
    <w:uiPriority w:val="99"/>
    <w:semiHidden/>
    <w:qFormat/>
    <w:rsid w:val="00B70C6E"/>
    <w:rPr>
      <w:sz w:val="20"/>
      <w:szCs w:val="20"/>
    </w:rPr>
  </w:style>
  <w:style w:type="character" w:customStyle="1" w:styleId="SoggettocommentoCarattere">
    <w:name w:val="Soggetto commento Carattere"/>
    <w:link w:val="Soggettocommento"/>
    <w:uiPriority w:val="99"/>
    <w:semiHidden/>
    <w:qFormat/>
    <w:rsid w:val="00B70C6E"/>
    <w:rPr>
      <w:b/>
      <w:bCs/>
      <w:sz w:val="20"/>
      <w:szCs w:val="20"/>
    </w:rPr>
  </w:style>
  <w:style w:type="character" w:customStyle="1" w:styleId="CollegamentoInternet">
    <w:name w:val="Collegamento Internet"/>
    <w:uiPriority w:val="99"/>
    <w:unhideWhenUsed/>
    <w:rsid w:val="00007F9C"/>
    <w:rPr>
      <w:color w:val="0563C1"/>
      <w:u w:val="single"/>
    </w:rPr>
  </w:style>
  <w:style w:type="character" w:customStyle="1" w:styleId="IntestazioneCarattere">
    <w:name w:val="Intestazione Carattere"/>
    <w:link w:val="Intestazione1"/>
    <w:uiPriority w:val="99"/>
    <w:qFormat/>
    <w:rsid w:val="00924CE7"/>
    <w:rPr>
      <w:color w:val="00000A"/>
      <w:sz w:val="22"/>
    </w:rPr>
  </w:style>
  <w:style w:type="character" w:customStyle="1" w:styleId="PidipaginaCarattere">
    <w:name w:val="Piè di pagina Carattere"/>
    <w:link w:val="Pidipagina1"/>
    <w:uiPriority w:val="99"/>
    <w:qFormat/>
    <w:rsid w:val="00924CE7"/>
    <w:rPr>
      <w:color w:val="00000A"/>
      <w:sz w:val="22"/>
    </w:rPr>
  </w:style>
  <w:style w:type="character" w:styleId="Numeroriga">
    <w:name w:val="line number"/>
    <w:basedOn w:val="Carpredefinitoparagrafo"/>
    <w:uiPriority w:val="99"/>
    <w:semiHidden/>
    <w:unhideWhenUsed/>
    <w:qFormat/>
    <w:rsid w:val="00D26A88"/>
  </w:style>
  <w:style w:type="character" w:customStyle="1" w:styleId="Numerazionerighe">
    <w:name w:val="Numerazione righe"/>
    <w:rsid w:val="004D143B"/>
  </w:style>
  <w:style w:type="character" w:customStyle="1" w:styleId="Menzionenonrisolta1">
    <w:name w:val="Menzione non risolta1"/>
    <w:uiPriority w:val="99"/>
    <w:semiHidden/>
    <w:unhideWhenUsed/>
    <w:qFormat/>
    <w:rsid w:val="00007F9C"/>
    <w:rPr>
      <w:color w:val="605E5C"/>
      <w:shd w:val="clear" w:color="auto" w:fill="E1DFDD"/>
    </w:rPr>
  </w:style>
  <w:style w:type="paragraph" w:styleId="Titolo">
    <w:name w:val="Title"/>
    <w:basedOn w:val="Normale"/>
    <w:next w:val="Corpotesto"/>
    <w:qFormat/>
    <w:rsid w:val="004D143B"/>
    <w:pPr>
      <w:keepNext/>
      <w:spacing w:before="240" w:after="120"/>
    </w:pPr>
    <w:rPr>
      <w:rFonts w:ascii="Liberation Sans" w:eastAsia="Microsoft YaHei" w:hAnsi="Liberation Sans" w:cs="Mangal"/>
      <w:sz w:val="28"/>
      <w:szCs w:val="28"/>
    </w:rPr>
  </w:style>
  <w:style w:type="paragraph" w:styleId="Corpotesto">
    <w:name w:val="Body Text"/>
    <w:basedOn w:val="Normale"/>
    <w:rsid w:val="004D143B"/>
    <w:pPr>
      <w:spacing w:after="140" w:line="288" w:lineRule="auto"/>
    </w:pPr>
  </w:style>
  <w:style w:type="paragraph" w:styleId="Elenco">
    <w:name w:val="List"/>
    <w:basedOn w:val="Corpotesto"/>
    <w:rsid w:val="004D143B"/>
    <w:rPr>
      <w:rFonts w:cs="Mangal"/>
    </w:rPr>
  </w:style>
  <w:style w:type="paragraph" w:customStyle="1" w:styleId="Didascalia1">
    <w:name w:val="Didascalia1"/>
    <w:basedOn w:val="Normale"/>
    <w:qFormat/>
    <w:pPr>
      <w:suppressLineNumbers/>
      <w:spacing w:before="120" w:after="120"/>
    </w:pPr>
    <w:rPr>
      <w:rFonts w:cs="Arial"/>
      <w:i/>
      <w:iCs/>
      <w:sz w:val="24"/>
      <w:szCs w:val="24"/>
    </w:rPr>
  </w:style>
  <w:style w:type="paragraph" w:customStyle="1" w:styleId="Indice">
    <w:name w:val="Indice"/>
    <w:basedOn w:val="Normale"/>
    <w:qFormat/>
    <w:rsid w:val="004D143B"/>
    <w:pPr>
      <w:suppressLineNumbers/>
    </w:pPr>
    <w:rPr>
      <w:rFonts w:cs="Mangal"/>
    </w:rPr>
  </w:style>
  <w:style w:type="paragraph" w:customStyle="1" w:styleId="Didascalia10">
    <w:name w:val="Didascalia1"/>
    <w:basedOn w:val="Normale"/>
    <w:qFormat/>
    <w:pPr>
      <w:suppressLineNumbers/>
      <w:spacing w:before="120" w:after="120"/>
    </w:pPr>
    <w:rPr>
      <w:rFonts w:cs="Arial"/>
      <w:i/>
      <w:iCs/>
      <w:sz w:val="24"/>
      <w:szCs w:val="24"/>
    </w:rPr>
  </w:style>
  <w:style w:type="paragraph" w:styleId="Didascalia">
    <w:name w:val="caption"/>
    <w:basedOn w:val="Normale"/>
    <w:qFormat/>
    <w:rsid w:val="004D143B"/>
    <w:pPr>
      <w:suppressLineNumbers/>
      <w:spacing w:before="120" w:after="120"/>
    </w:pPr>
    <w:rPr>
      <w:rFonts w:cs="Mangal"/>
      <w:i/>
      <w:iCs/>
      <w:sz w:val="24"/>
      <w:szCs w:val="24"/>
    </w:rPr>
  </w:style>
  <w:style w:type="paragraph" w:styleId="NormaleWeb">
    <w:name w:val="Normal (Web)"/>
    <w:basedOn w:val="Normale"/>
    <w:uiPriority w:val="99"/>
    <w:unhideWhenUsed/>
    <w:qFormat/>
    <w:rsid w:val="00F74021"/>
    <w:pPr>
      <w:spacing w:beforeAutospacing="1" w:afterAutospacing="1" w:line="240" w:lineRule="auto"/>
    </w:pPr>
    <w:rPr>
      <w:rFonts w:ascii="Times New Roman" w:eastAsia="Times New Roman" w:hAnsi="Times New Roman"/>
      <w:sz w:val="24"/>
      <w:szCs w:val="24"/>
      <w:lang w:eastAsia="it-IT"/>
    </w:rPr>
  </w:style>
  <w:style w:type="paragraph" w:styleId="Testofumetto">
    <w:name w:val="Balloon Text"/>
    <w:basedOn w:val="Normale"/>
    <w:link w:val="TestofumettoCarattere"/>
    <w:uiPriority w:val="99"/>
    <w:semiHidden/>
    <w:unhideWhenUsed/>
    <w:qFormat/>
    <w:rsid w:val="00072889"/>
    <w:pPr>
      <w:spacing w:after="0" w:line="240" w:lineRule="auto"/>
    </w:pPr>
    <w:rPr>
      <w:rFonts w:ascii="Segoe UI" w:hAnsi="Segoe UI" w:cs="Segoe UI"/>
      <w:sz w:val="18"/>
      <w:szCs w:val="18"/>
    </w:rPr>
  </w:style>
  <w:style w:type="paragraph" w:customStyle="1" w:styleId="NormalWeb1">
    <w:name w:val="Normal (Web)1"/>
    <w:qFormat/>
    <w:rsid w:val="004D143B"/>
    <w:pPr>
      <w:suppressAutoHyphens/>
      <w:spacing w:before="100" w:after="100"/>
    </w:pPr>
    <w:rPr>
      <w:rFonts w:ascii="Times New Roman" w:eastAsia="Arial Unicode MS" w:hAnsi="Times New Roman" w:cs="Arial Unicode MS"/>
      <w:color w:val="000000"/>
      <w:sz w:val="24"/>
      <w:szCs w:val="24"/>
      <w:lang w:eastAsia="zh-CN"/>
    </w:rPr>
  </w:style>
  <w:style w:type="paragraph" w:customStyle="1" w:styleId="Testopreformattato">
    <w:name w:val="Testo preformattato"/>
    <w:basedOn w:val="Normale"/>
    <w:qFormat/>
    <w:rsid w:val="004D143B"/>
  </w:style>
  <w:style w:type="paragraph" w:styleId="Testocommento">
    <w:name w:val="annotation text"/>
    <w:basedOn w:val="Normale"/>
    <w:link w:val="TestocommentoCarattere"/>
    <w:uiPriority w:val="99"/>
    <w:semiHidden/>
    <w:unhideWhenUsed/>
    <w:qFormat/>
    <w:rsid w:val="00B70C6E"/>
    <w:pPr>
      <w:spacing w:line="240" w:lineRule="auto"/>
    </w:pPr>
    <w:rPr>
      <w:sz w:val="20"/>
      <w:szCs w:val="20"/>
    </w:rPr>
  </w:style>
  <w:style w:type="paragraph" w:styleId="Soggettocommento">
    <w:name w:val="annotation subject"/>
    <w:basedOn w:val="Testocommento"/>
    <w:link w:val="SoggettocommentoCarattere"/>
    <w:uiPriority w:val="99"/>
    <w:semiHidden/>
    <w:unhideWhenUsed/>
    <w:qFormat/>
    <w:rsid w:val="00B70C6E"/>
    <w:rPr>
      <w:b/>
      <w:bCs/>
    </w:rPr>
  </w:style>
  <w:style w:type="paragraph" w:styleId="Paragrafoelenco">
    <w:name w:val="List Paragraph"/>
    <w:basedOn w:val="Normale"/>
    <w:uiPriority w:val="34"/>
    <w:qFormat/>
    <w:rsid w:val="00700F0F"/>
    <w:pPr>
      <w:ind w:left="720"/>
      <w:contextualSpacing/>
    </w:pPr>
  </w:style>
  <w:style w:type="paragraph" w:customStyle="1" w:styleId="Intestazioneepidipagina">
    <w:name w:val="Intestazione e piè di pagina"/>
    <w:basedOn w:val="Normale"/>
    <w:qFormat/>
    <w:rsid w:val="004D143B"/>
  </w:style>
  <w:style w:type="paragraph" w:customStyle="1" w:styleId="Intestazione1">
    <w:name w:val="Intestazione1"/>
    <w:basedOn w:val="Normale"/>
    <w:link w:val="IntestazioneCarattere"/>
    <w:uiPriority w:val="99"/>
    <w:unhideWhenUsed/>
    <w:qFormat/>
    <w:rsid w:val="00924CE7"/>
    <w:pPr>
      <w:tabs>
        <w:tab w:val="center" w:pos="4819"/>
        <w:tab w:val="right" w:pos="9638"/>
      </w:tabs>
      <w:spacing w:after="0" w:line="240" w:lineRule="auto"/>
    </w:pPr>
  </w:style>
  <w:style w:type="paragraph" w:customStyle="1" w:styleId="Pidipagina1">
    <w:name w:val="Piè di pagina1"/>
    <w:basedOn w:val="Normale"/>
    <w:link w:val="PidipaginaCarattere"/>
    <w:uiPriority w:val="99"/>
    <w:unhideWhenUsed/>
    <w:qFormat/>
    <w:rsid w:val="00924CE7"/>
    <w:pPr>
      <w:tabs>
        <w:tab w:val="center" w:pos="4819"/>
        <w:tab w:val="right" w:pos="9638"/>
      </w:tabs>
      <w:spacing w:after="0" w:line="240" w:lineRule="auto"/>
    </w:pPr>
  </w:style>
  <w:style w:type="paragraph" w:customStyle="1" w:styleId="Contenutocornice">
    <w:name w:val="Contenuto cornice"/>
    <w:basedOn w:val="Normale"/>
    <w:qFormat/>
    <w:rsid w:val="004D143B"/>
  </w:style>
  <w:style w:type="paragraph" w:customStyle="1" w:styleId="Pidipagina2">
    <w:name w:val="Piè di pagina2"/>
    <w:basedOn w:val="Intestazioneepidipagina"/>
  </w:style>
  <w:style w:type="table" w:styleId="Grigliatabella">
    <w:name w:val="Table Grid"/>
    <w:basedOn w:val="Tabellanormale"/>
    <w:uiPriority w:val="39"/>
    <w:rsid w:val="00BD5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C82CB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7350">
      <w:bodyDiv w:val="1"/>
      <w:marLeft w:val="0"/>
      <w:marRight w:val="0"/>
      <w:marTop w:val="0"/>
      <w:marBottom w:val="0"/>
      <w:divBdr>
        <w:top w:val="none" w:sz="0" w:space="0" w:color="auto"/>
        <w:left w:val="none" w:sz="0" w:space="0" w:color="auto"/>
        <w:bottom w:val="none" w:sz="0" w:space="0" w:color="auto"/>
        <w:right w:val="none" w:sz="0" w:space="0" w:color="auto"/>
      </w:divBdr>
    </w:div>
    <w:div w:id="519243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86/s13052-016-030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brainsci1008050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469-8749.2010.03664.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1007/s10882-009-9169-1" TargetMode="External"/><Relationship Id="rId4" Type="http://schemas.openxmlformats.org/officeDocument/2006/relationships/settings" Target="settings.xml"/><Relationship Id="rId9" Type="http://schemas.openxmlformats.org/officeDocument/2006/relationships/hyperlink" Target="https://doi.org/10.1016/j.ajhg.2013.01.006" TargetMode="External"/><Relationship Id="rId14" Type="http://schemas.openxmlformats.org/officeDocument/2006/relationships/hyperlink" Target="https://doi.org/10.1038/gim.0b013e31822bead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6">
  <b:Source>
    <b:Tag>aaa15</b:Tag>
    <b:SourceType>JournalArticle</b:SourceType>
    <b:Guid>{9020ED6D-3221-4B2E-9910-3D039994FAD7}</b:Guid>
    <b:Author>
      <b:Author>
        <b:NameList>
          <b:Person>
            <b:Last>aaa</b:Last>
          </b:Person>
        </b:NameList>
      </b:Author>
    </b:Author>
    <b:Title>aaa</b:Title>
    <b:Year>2015</b:Year>
    <b:JournalName>aaa</b:JournalName>
    <b:Pages>12</b:Pages>
    <b:RefOrder>1</b:RefOrder>
  </b:Source>
</b:Sources>
</file>

<file path=customXml/itemProps1.xml><?xml version="1.0" encoding="utf-8"?>
<ds:datastoreItem xmlns:ds="http://schemas.openxmlformats.org/officeDocument/2006/customXml" ds:itemID="{075A0D95-DF1E-0041-BF56-FD15F5EC2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27</Pages>
  <Words>8639</Words>
  <Characters>49248</Characters>
  <Application>Microsoft Office Word</Application>
  <DocSecurity>0</DocSecurity>
  <Lines>410</Lines>
  <Paragraphs>115</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57772</CharactersWithSpaces>
  <SharedDoc>false</SharedDoc>
  <HLinks>
    <vt:vector size="18" baseType="variant">
      <vt:variant>
        <vt:i4>1245270</vt:i4>
      </vt:variant>
      <vt:variant>
        <vt:i4>6</vt:i4>
      </vt:variant>
      <vt:variant>
        <vt:i4>0</vt:i4>
      </vt:variant>
      <vt:variant>
        <vt:i4>5</vt:i4>
      </vt:variant>
      <vt:variant>
        <vt:lpwstr>https://doi.org/10.3390/brainsci10080507</vt:lpwstr>
      </vt:variant>
      <vt:variant>
        <vt:lpwstr/>
      </vt:variant>
      <vt:variant>
        <vt:i4>5832722</vt:i4>
      </vt:variant>
      <vt:variant>
        <vt:i4>3</vt:i4>
      </vt:variant>
      <vt:variant>
        <vt:i4>0</vt:i4>
      </vt:variant>
      <vt:variant>
        <vt:i4>5</vt:i4>
      </vt:variant>
      <vt:variant>
        <vt:lpwstr>https://doi.org/10.1111/j.1469-8749.2010.03664.x</vt:lpwstr>
      </vt:variant>
      <vt:variant>
        <vt:lpwstr/>
      </vt:variant>
      <vt:variant>
        <vt:i4>196638</vt:i4>
      </vt:variant>
      <vt:variant>
        <vt:i4>0</vt:i4>
      </vt:variant>
      <vt:variant>
        <vt:i4>0</vt:i4>
      </vt:variant>
      <vt:variant>
        <vt:i4>5</vt:i4>
      </vt:variant>
      <vt:variant>
        <vt:lpwstr>https://doi.org/10.1007/s10882-009-9169-1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UMBNPSI303</dc:creator>
  <cp:keywords/>
  <dc:description/>
  <cp:lastModifiedBy>Loi Erika</cp:lastModifiedBy>
  <cp:revision>25</cp:revision>
  <cp:lastPrinted>2022-11-22T11:22:00Z</cp:lastPrinted>
  <dcterms:created xsi:type="dcterms:W3CDTF">2023-02-22T10:38:00Z</dcterms:created>
  <dcterms:modified xsi:type="dcterms:W3CDTF">2023-03-11T11:50:00Z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