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1CC" w:rsidRDefault="00AF71CC" w:rsidP="00AF71CC">
      <w:pPr>
        <w:pStyle w:val="Heading2"/>
        <w:rPr>
          <w:lang w:val="en-US"/>
        </w:rPr>
      </w:pPr>
      <w:r>
        <w:rPr>
          <w:lang w:val="en-US"/>
        </w:rPr>
        <w:t>Supplements:</w:t>
      </w:r>
    </w:p>
    <w:p w:rsidR="00AF71CC" w:rsidRDefault="00AF71CC" w:rsidP="00AF71CC">
      <w:pPr>
        <w:spacing w:line="276" w:lineRule="auto"/>
        <w:rPr>
          <w:rFonts w:cs="Times New Roman"/>
          <w:lang w:val="en-US"/>
        </w:rPr>
      </w:pPr>
    </w:p>
    <w:p w:rsidR="00AF71CC" w:rsidRDefault="00AF71CC" w:rsidP="00AF71CC">
      <w:pPr>
        <w:spacing w:line="276" w:lineRule="auto"/>
        <w:rPr>
          <w:rFonts w:cs="Times New Roman"/>
          <w:b/>
        </w:rPr>
      </w:pPr>
      <w:r>
        <w:rPr>
          <w:rFonts w:cs="Times New Roman"/>
          <w:b/>
          <w:lang w:val="en-US"/>
        </w:rPr>
        <w:t>Supplementary Table 3. Characteristics of the study sample</w:t>
      </w:r>
    </w:p>
    <w:tbl>
      <w:tblPr>
        <w:tblStyle w:val="TableGrid"/>
        <w:tblW w:w="0" w:type="auto"/>
        <w:tblInd w:w="-998" w:type="dxa"/>
        <w:tblLook w:val="04A0" w:firstRow="1" w:lastRow="0" w:firstColumn="1" w:lastColumn="0" w:noHBand="0" w:noVBand="1"/>
      </w:tblPr>
      <w:tblGrid>
        <w:gridCol w:w="1144"/>
        <w:gridCol w:w="1226"/>
        <w:gridCol w:w="1358"/>
        <w:gridCol w:w="1578"/>
        <w:gridCol w:w="1294"/>
        <w:gridCol w:w="1112"/>
        <w:gridCol w:w="1120"/>
        <w:gridCol w:w="1228"/>
      </w:tblGrid>
      <w:tr w:rsidR="00AF71CC" w:rsidRPr="00141F2B" w:rsidTr="00C03BE4">
        <w:trPr>
          <w:trHeight w:val="20"/>
        </w:trPr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 xml:space="preserve">All patients </w:t>
            </w:r>
          </w:p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(n = 325)</w:t>
            </w:r>
            <w:r>
              <w:rPr>
                <w:rFonts w:eastAsia="Calibri" w:cs="Times New Roman"/>
                <w:b/>
                <w:color w:val="000000"/>
                <w:sz w:val="18"/>
                <w:szCs w:val="18"/>
                <w:lang w:val="en-US"/>
              </w:rPr>
              <w:t xml:space="preserve"> including other final diagnosis (n = 28)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Patients with normal CUS (n = 241)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Patients with SF (n = 49)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Patients with ICH (n = 2)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 xml:space="preserve">Patients with SF </w:t>
            </w:r>
            <w:r>
              <w:rPr>
                <w:rFonts w:eastAsia="Calibri" w:cs="Times New Roman"/>
                <w:b/>
                <w:sz w:val="18"/>
                <w:szCs w:val="18"/>
                <w:u w:val="single"/>
                <w:lang w:val="en-US"/>
              </w:rPr>
              <w:t>and</w:t>
            </w: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 xml:space="preserve"> ICH (n=5)</w:t>
            </w:r>
          </w:p>
        </w:tc>
      </w:tr>
      <w:tr w:rsidR="00AF71CC" w:rsidTr="00C03BE4">
        <w:trPr>
          <w:trHeight w:val="20"/>
        </w:trPr>
        <w:tc>
          <w:tcPr>
            <w:tcW w:w="0" w:type="auto"/>
            <w:vMerge w:val="restart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History</w:t>
            </w:r>
          </w:p>
        </w:tc>
        <w:tc>
          <w:tcPr>
            <w:tcW w:w="0" w:type="auto"/>
            <w:gridSpan w:val="2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 xml:space="preserve">Median of Age </w:t>
            </w:r>
          </w:p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(quartile)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 xml:space="preserve">3 months </w:t>
            </w:r>
          </w:p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 xml:space="preserve">(1-5) 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 xml:space="preserve">2 months </w:t>
            </w:r>
          </w:p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 xml:space="preserve">(1-5) 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 xml:space="preserve">3 months </w:t>
            </w:r>
          </w:p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 xml:space="preserve">(2-8) 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 xml:space="preserve">4 months (2.5-5.5) 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 xml:space="preserve">4 months </w:t>
            </w:r>
          </w:p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 xml:space="preserve">(0-4) </w:t>
            </w:r>
          </w:p>
        </w:tc>
      </w:tr>
      <w:tr w:rsidR="00AF71CC" w:rsidTr="00C03BE4">
        <w:trPr>
          <w:trHeight w:val="20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Mechanism of injury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Fall from height no</w:t>
            </w:r>
          </w:p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Median height (quartile)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248</w:t>
            </w:r>
          </w:p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70 cm (49-100)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 xml:space="preserve">196 </w:t>
            </w:r>
          </w:p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70 cm (40-100)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41</w:t>
            </w:r>
          </w:p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80 cm (50-100)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 xml:space="preserve">0 </w:t>
            </w:r>
          </w:p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(-)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5</w:t>
            </w:r>
          </w:p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120 cm (120-130)</w:t>
            </w:r>
          </w:p>
        </w:tc>
      </w:tr>
      <w:tr w:rsidR="00AF71CC" w:rsidTr="00C03BE4">
        <w:trPr>
          <w:trHeight w:val="20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ind w:left="1416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AF71CC" w:rsidRDefault="00AF71CC" w:rsidP="00C03BE4">
            <w:pPr>
              <w:spacing w:line="276" w:lineRule="auto"/>
              <w:ind w:left="1416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Falling down stairs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10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</w:tr>
      <w:tr w:rsidR="00AF71CC" w:rsidTr="00C03BE4">
        <w:trPr>
          <w:trHeight w:val="20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Blow against head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36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</w:tr>
      <w:tr w:rsidR="00AF71CC" w:rsidTr="00C03BE4">
        <w:trPr>
          <w:trHeight w:val="20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(possible) Shaking trauma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</w:tr>
      <w:tr w:rsidR="00AF71CC" w:rsidTr="00C03BE4">
        <w:trPr>
          <w:trHeight w:val="20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Higher velocity trauma*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11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</w:tr>
      <w:tr w:rsidR="00AF71CC" w:rsidTr="00C03BE4">
        <w:trPr>
          <w:trHeight w:val="20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No trauma remembered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15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</w:tr>
      <w:tr w:rsidR="00AF71CC" w:rsidTr="00C03BE4">
        <w:trPr>
          <w:trHeight w:val="304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 w:val="restart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Interval since trauma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Same day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288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</w:tr>
      <w:tr w:rsidR="00AF71CC" w:rsidTr="00C03BE4">
        <w:trPr>
          <w:trHeight w:val="20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The day before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17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</w:tr>
      <w:tr w:rsidR="00AF71CC" w:rsidTr="00C03BE4">
        <w:trPr>
          <w:trHeight w:val="20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earlier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20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</w:tr>
      <w:tr w:rsidR="00AF71CC" w:rsidTr="00C03BE4">
        <w:trPr>
          <w:trHeight w:val="20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Symptoms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Vomiting, LOC, AMS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70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53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1</w:t>
            </w:r>
          </w:p>
        </w:tc>
      </w:tr>
      <w:tr w:rsidR="00AF71CC" w:rsidTr="00C03BE4">
        <w:trPr>
          <w:trHeight w:val="20"/>
        </w:trPr>
        <w:tc>
          <w:tcPr>
            <w:tcW w:w="0" w:type="auto"/>
            <w:vMerge w:val="restart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Clinical findings</w:t>
            </w:r>
          </w:p>
        </w:tc>
        <w:tc>
          <w:tcPr>
            <w:tcW w:w="0" w:type="auto"/>
            <w:tcBorders>
              <w:bottom w:val="nil"/>
            </w:tcBorders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GCS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15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317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</w:tr>
      <w:tr w:rsidR="00AF71CC" w:rsidTr="00C03BE4">
        <w:trPr>
          <w:trHeight w:val="20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</w:tr>
      <w:tr w:rsidR="00AF71CC" w:rsidTr="00C03BE4">
        <w:trPr>
          <w:trHeight w:val="20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 w:val="restart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Skull Haematoma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none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119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102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</w:tr>
      <w:tr w:rsidR="00AF71CC" w:rsidTr="00C03BE4">
        <w:trPr>
          <w:trHeight w:val="20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Occipital, parietal, temporal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136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74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48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5</w:t>
            </w:r>
          </w:p>
        </w:tc>
      </w:tr>
      <w:tr w:rsidR="00AF71CC" w:rsidTr="00C03BE4">
        <w:trPr>
          <w:trHeight w:val="20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frontal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70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65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</w:tr>
      <w:tr w:rsidR="00AF71CC" w:rsidTr="00C03BE4">
        <w:trPr>
          <w:trHeight w:val="20"/>
        </w:trPr>
        <w:tc>
          <w:tcPr>
            <w:tcW w:w="0" w:type="auto"/>
            <w:vMerge w:val="restart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Imaging modalities</w:t>
            </w:r>
          </w:p>
        </w:tc>
        <w:tc>
          <w:tcPr>
            <w:tcW w:w="0" w:type="auto"/>
            <w:gridSpan w:val="2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CUS (additional)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12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5</w:t>
            </w:r>
          </w:p>
        </w:tc>
      </w:tr>
      <w:tr w:rsidR="00AF71CC" w:rsidTr="00C03BE4">
        <w:trPr>
          <w:trHeight w:val="20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Rx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22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1</w:t>
            </w:r>
          </w:p>
        </w:tc>
      </w:tr>
      <w:tr w:rsidR="00AF71CC" w:rsidTr="00C03BE4">
        <w:trPr>
          <w:trHeight w:val="20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CT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</w:tr>
      <w:tr w:rsidR="00AF71CC" w:rsidTr="00C03BE4">
        <w:trPr>
          <w:trHeight w:val="20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MRI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</w:tr>
      <w:tr w:rsidR="00AF71CC" w:rsidTr="00C03BE4">
        <w:trPr>
          <w:trHeight w:val="20"/>
        </w:trPr>
        <w:tc>
          <w:tcPr>
            <w:tcW w:w="0" w:type="auto"/>
            <w:vMerge w:val="restart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Clinical course</w:t>
            </w:r>
          </w:p>
        </w:tc>
        <w:tc>
          <w:tcPr>
            <w:tcW w:w="0" w:type="auto"/>
            <w:gridSpan w:val="2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Neurosurgical intervention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</w:tr>
      <w:tr w:rsidR="00AF71CC" w:rsidTr="00C03BE4">
        <w:trPr>
          <w:trHeight w:val="20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Surveillance conspicuous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</w:t>
            </w:r>
          </w:p>
        </w:tc>
      </w:tr>
      <w:tr w:rsidR="00AF71CC" w:rsidTr="00C03BE4">
        <w:trPr>
          <w:trHeight w:val="20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ind w:left="708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 xml:space="preserve">Duration of hospitalization 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1.4 nights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0.9 nights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3.2 nights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5 nights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4 nights</w:t>
            </w:r>
          </w:p>
        </w:tc>
      </w:tr>
      <w:tr w:rsidR="00AF71CC" w:rsidTr="00C03BE4">
        <w:trPr>
          <w:trHeight w:val="20"/>
        </w:trPr>
        <w:tc>
          <w:tcPr>
            <w:tcW w:w="0" w:type="auto"/>
            <w:vMerge w:val="restart"/>
          </w:tcPr>
          <w:p w:rsidR="00AF71CC" w:rsidRDefault="00AF71CC" w:rsidP="00C03BE4">
            <w:pPr>
              <w:spacing w:line="276" w:lineRule="auto"/>
              <w:jc w:val="both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CUS sufficiency</w:t>
            </w:r>
          </w:p>
        </w:tc>
        <w:tc>
          <w:tcPr>
            <w:tcW w:w="0" w:type="auto"/>
            <w:gridSpan w:val="2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PECARN recommends CT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63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AF71CC" w:rsidTr="00C03BE4">
        <w:trPr>
          <w:trHeight w:val="20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jc w:val="both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CUS sufficient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296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AF71CC" w:rsidTr="00C03BE4">
        <w:trPr>
          <w:trHeight w:val="20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jc w:val="both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 xml:space="preserve">Additional imaging without new findings 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20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</w:tr>
      <w:tr w:rsidR="00AF71CC" w:rsidTr="00C03BE4">
        <w:trPr>
          <w:trHeight w:val="20"/>
        </w:trPr>
        <w:tc>
          <w:tcPr>
            <w:tcW w:w="0" w:type="auto"/>
            <w:vMerge/>
          </w:tcPr>
          <w:p w:rsidR="00AF71CC" w:rsidRDefault="00AF71CC" w:rsidP="00C03BE4">
            <w:pPr>
              <w:spacing w:line="276" w:lineRule="auto"/>
              <w:jc w:val="both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Additional imaging with new findings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US"/>
              </w:rPr>
              <w:t>9</w:t>
            </w: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</w:tr>
      <w:tr w:rsidR="00AF71CC" w:rsidRPr="00141F2B" w:rsidTr="00C03BE4">
        <w:trPr>
          <w:trHeight w:val="20"/>
        </w:trPr>
        <w:tc>
          <w:tcPr>
            <w:tcW w:w="0" w:type="auto"/>
            <w:gridSpan w:val="8"/>
          </w:tcPr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*car accident, falling out of rolling stroller</w:t>
            </w:r>
          </w:p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AMS = altered mental status, CT = computer tomography, CUS = cranial ultrasound, GCS = Glasgow Coma Scale, LOC = loss of consciousness, MRI = magnetic resonance imaging, Rx = skull radiograph</w:t>
            </w:r>
          </w:p>
          <w:p w:rsidR="00AF71CC" w:rsidRDefault="00AF71CC" w:rsidP="00C03BE4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</w:tr>
    </w:tbl>
    <w:p w:rsidR="00AF71CC" w:rsidRDefault="00AF71CC" w:rsidP="00AF71CC">
      <w:pPr>
        <w:spacing w:line="276" w:lineRule="auto"/>
        <w:rPr>
          <w:rFonts w:cs="Times New Roman"/>
          <w:lang w:val="en-US"/>
        </w:rPr>
      </w:pPr>
    </w:p>
    <w:p w:rsidR="00AF71CC" w:rsidRDefault="00AF71CC" w:rsidP="00AF71CC">
      <w:pPr>
        <w:rPr>
          <w:rFonts w:cs="Times New Roman"/>
          <w:b/>
          <w:lang w:val="en-US"/>
        </w:rPr>
      </w:pPr>
      <w:r>
        <w:rPr>
          <w:rFonts w:cs="Times New Roman"/>
          <w:b/>
          <w:lang w:val="en-US"/>
        </w:rPr>
        <w:br w:type="page"/>
      </w:r>
    </w:p>
    <w:p w:rsidR="00AF71CC" w:rsidRDefault="00AF71CC" w:rsidP="00AF71CC">
      <w:pPr>
        <w:rPr>
          <w:rFonts w:cs="Times New Roman"/>
          <w:lang w:val="en-US"/>
        </w:rPr>
      </w:pPr>
      <w:r>
        <w:rPr>
          <w:rFonts w:cs="Times New Roman"/>
          <w:b/>
          <w:lang w:val="en-US"/>
        </w:rPr>
        <w:lastRenderedPageBreak/>
        <w:t>Estimated heights</w:t>
      </w:r>
      <w:r>
        <w:rPr>
          <w:rFonts w:cs="Times New Roman"/>
          <w:lang w:val="en-US"/>
        </w:rPr>
        <w:t xml:space="preserve"> </w:t>
      </w:r>
    </w:p>
    <w:p w:rsidR="00AF71CC" w:rsidRDefault="00AF71CC" w:rsidP="00AF71CC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Wherever height of fall was not documented in centimeter, it was estimated according to average values: </w:t>
      </w:r>
    </w:p>
    <w:p w:rsidR="00AF71CC" w:rsidRPr="00F417FF" w:rsidRDefault="00AF71CC" w:rsidP="00AF71CC">
      <w:pPr>
        <w:pStyle w:val="ListParagraph"/>
        <w:numPr>
          <w:ilvl w:val="0"/>
          <w:numId w:val="1"/>
        </w:numPr>
        <w:spacing w:line="240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t>parent’s arm:</w:t>
      </w: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120 cm</w:t>
      </w:r>
    </w:p>
    <w:p w:rsidR="00AF71CC" w:rsidRDefault="00AF71CC" w:rsidP="00AF71CC">
      <w:pPr>
        <w:pStyle w:val="ListParagraph"/>
        <w:numPr>
          <w:ilvl w:val="0"/>
          <w:numId w:val="1"/>
        </w:numPr>
        <w:spacing w:line="240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changing table: </w:t>
      </w: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90 cm</w:t>
      </w:r>
    </w:p>
    <w:p w:rsidR="00AF71CC" w:rsidRDefault="00AF71CC" w:rsidP="00AF71CC">
      <w:pPr>
        <w:pStyle w:val="ListParagraph"/>
        <w:numPr>
          <w:ilvl w:val="0"/>
          <w:numId w:val="1"/>
        </w:numPr>
        <w:spacing w:line="240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troller: </w:t>
      </w: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70 cm</w:t>
      </w:r>
    </w:p>
    <w:p w:rsidR="00AF71CC" w:rsidRDefault="00AF71CC" w:rsidP="00AF71CC">
      <w:pPr>
        <w:pStyle w:val="ListParagraph"/>
        <w:numPr>
          <w:ilvl w:val="0"/>
          <w:numId w:val="1"/>
        </w:numPr>
        <w:spacing w:line="240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Tripptrapp (high chair for children): </w:t>
      </w:r>
      <w:r>
        <w:rPr>
          <w:rFonts w:cs="Times New Roman"/>
          <w:lang w:val="en-US"/>
        </w:rPr>
        <w:tab/>
        <w:t>70 cm</w:t>
      </w:r>
    </w:p>
    <w:p w:rsidR="00AF71CC" w:rsidRDefault="00AF71CC" w:rsidP="00AF71CC">
      <w:pPr>
        <w:pStyle w:val="ListParagraph"/>
        <w:numPr>
          <w:ilvl w:val="0"/>
          <w:numId w:val="1"/>
        </w:numPr>
        <w:spacing w:line="240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t>child’s height:</w:t>
      </w: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50 cm</w:t>
      </w:r>
    </w:p>
    <w:p w:rsidR="00AF71CC" w:rsidRDefault="00AF71CC" w:rsidP="00AF71CC">
      <w:pPr>
        <w:rPr>
          <w:rFonts w:cs="Times New Roman"/>
          <w:lang w:val="en-US"/>
        </w:rPr>
      </w:pPr>
    </w:p>
    <w:p w:rsidR="00AF71CC" w:rsidRDefault="00AF71CC" w:rsidP="00AF71CC">
      <w:pPr>
        <w:rPr>
          <w:rFonts w:cs="Times New Roman"/>
          <w:b/>
          <w:lang w:val="en-US"/>
        </w:rPr>
      </w:pPr>
      <w:r>
        <w:rPr>
          <w:rFonts w:cs="Times New Roman"/>
          <w:b/>
          <w:lang w:val="en-US"/>
        </w:rPr>
        <w:t xml:space="preserve">Other diagnosis (n=28): </w:t>
      </w:r>
    </w:p>
    <w:p w:rsidR="00AF71CC" w:rsidRDefault="00AF71CC" w:rsidP="00AF71CC">
      <w:pPr>
        <w:pStyle w:val="ListParagraph"/>
        <w:numPr>
          <w:ilvl w:val="0"/>
          <w:numId w:val="2"/>
        </w:numPr>
        <w:spacing w:line="240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t>9</w:t>
      </w:r>
      <w:r>
        <w:rPr>
          <w:rFonts w:cs="Times New Roman"/>
          <w:lang w:val="en-US"/>
        </w:rPr>
        <w:tab/>
        <w:t>Car accident, fall out of house or other fall without head involvement</w:t>
      </w:r>
    </w:p>
    <w:p w:rsidR="00AF71CC" w:rsidRDefault="00AF71CC" w:rsidP="00AF71CC">
      <w:pPr>
        <w:pStyle w:val="ListParagraph"/>
        <w:numPr>
          <w:ilvl w:val="0"/>
          <w:numId w:val="2"/>
        </w:numPr>
        <w:spacing w:line="240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t>4</w:t>
      </w:r>
      <w:r>
        <w:rPr>
          <w:rFonts w:cs="Times New Roman"/>
          <w:lang w:val="en-US"/>
        </w:rPr>
        <w:tab/>
        <w:t>unclear haematoma or petechiaeon head</w:t>
      </w:r>
    </w:p>
    <w:p w:rsidR="00AF71CC" w:rsidRDefault="00AF71CC" w:rsidP="00AF71CC">
      <w:pPr>
        <w:pStyle w:val="ListParagraph"/>
        <w:numPr>
          <w:ilvl w:val="0"/>
          <w:numId w:val="2"/>
        </w:numPr>
        <w:spacing w:line="240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t>4</w:t>
      </w:r>
      <w:r>
        <w:rPr>
          <w:rFonts w:cs="Times New Roman"/>
          <w:lang w:val="en-US"/>
        </w:rPr>
        <w:tab/>
        <w:t>epilepsy or convulsion</w:t>
      </w:r>
    </w:p>
    <w:p w:rsidR="00AF71CC" w:rsidRDefault="00AF71CC" w:rsidP="00AF71CC">
      <w:pPr>
        <w:pStyle w:val="ListParagraph"/>
        <w:numPr>
          <w:ilvl w:val="0"/>
          <w:numId w:val="2"/>
        </w:numPr>
        <w:spacing w:line="240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t>4</w:t>
      </w:r>
      <w:r>
        <w:rPr>
          <w:rFonts w:cs="Times New Roman"/>
          <w:lang w:val="en-US"/>
        </w:rPr>
        <w:tab/>
        <w:t>unclear event or unclear vigilance disturbance</w:t>
      </w:r>
    </w:p>
    <w:p w:rsidR="00AF71CC" w:rsidRDefault="00AF71CC" w:rsidP="00AF71CC">
      <w:pPr>
        <w:pStyle w:val="ListParagraph"/>
        <w:numPr>
          <w:ilvl w:val="0"/>
          <w:numId w:val="2"/>
        </w:numPr>
        <w:spacing w:line="240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t>3</w:t>
      </w:r>
      <w:r>
        <w:rPr>
          <w:rFonts w:cs="Times New Roman"/>
          <w:lang w:val="en-US"/>
        </w:rPr>
        <w:tab/>
        <w:t>Birth trauma</w:t>
      </w:r>
    </w:p>
    <w:p w:rsidR="00AF71CC" w:rsidRDefault="00AF71CC" w:rsidP="00AF71CC">
      <w:pPr>
        <w:pStyle w:val="ListParagraph"/>
        <w:numPr>
          <w:ilvl w:val="0"/>
          <w:numId w:val="2"/>
        </w:numPr>
        <w:spacing w:line="240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t>3</w:t>
      </w:r>
      <w:r>
        <w:rPr>
          <w:rFonts w:cs="Times New Roman"/>
          <w:lang w:val="en-US"/>
        </w:rPr>
        <w:tab/>
        <w:t>(suspicion of) battered child</w:t>
      </w:r>
    </w:p>
    <w:p w:rsidR="00AF71CC" w:rsidRDefault="00AF71CC" w:rsidP="00AF71CC">
      <w:pPr>
        <w:pStyle w:val="ListParagraph"/>
        <w:numPr>
          <w:ilvl w:val="0"/>
          <w:numId w:val="2"/>
        </w:numPr>
        <w:spacing w:line="240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t>1</w:t>
      </w:r>
      <w:r>
        <w:rPr>
          <w:rFonts w:cs="Times New Roman"/>
          <w:lang w:val="en-US"/>
        </w:rPr>
        <w:tab/>
        <w:t>meningitis</w:t>
      </w:r>
    </w:p>
    <w:p w:rsidR="00AF71CC" w:rsidRDefault="00AF71CC" w:rsidP="00AF71CC">
      <w:pPr>
        <w:pStyle w:val="ListParagraph"/>
        <w:numPr>
          <w:ilvl w:val="0"/>
          <w:numId w:val="2"/>
        </w:numPr>
        <w:spacing w:line="240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t>1</w:t>
      </w:r>
      <w:r>
        <w:rPr>
          <w:rFonts w:cs="Times New Roman"/>
          <w:lang w:val="en-US"/>
        </w:rPr>
        <w:tab/>
        <w:t>gastroenteritis</w:t>
      </w:r>
    </w:p>
    <w:p w:rsidR="00AF71CC" w:rsidRDefault="00AF71CC" w:rsidP="00AF71CC">
      <w:pPr>
        <w:spacing w:line="276" w:lineRule="auto"/>
        <w:rPr>
          <w:rFonts w:cs="Times New Roman"/>
          <w:lang w:val="en-US"/>
        </w:rPr>
      </w:pPr>
    </w:p>
    <w:p w:rsidR="00AF71CC" w:rsidRPr="00141F2B" w:rsidRDefault="00AF71CC" w:rsidP="00AF71CC">
      <w:pPr>
        <w:pStyle w:val="Heading3"/>
        <w:rPr>
          <w:lang w:val="en-US"/>
        </w:rPr>
      </w:pPr>
      <w:r w:rsidRPr="00141F2B">
        <w:rPr>
          <w:lang w:val="en-US"/>
        </w:rPr>
        <w:t xml:space="preserve">Statistics </w:t>
      </w:r>
    </w:p>
    <w:p w:rsidR="00AF71CC" w:rsidRDefault="00AF71CC" w:rsidP="00AF71CC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Age: no normal distribution, therefore use of Kolmogorov-Smirnov Test.</w:t>
      </w:r>
    </w:p>
    <w:p w:rsidR="00AF71CC" w:rsidRDefault="00AF71CC" w:rsidP="00AF71CC">
      <w:pPr>
        <w:pStyle w:val="ListParagraph"/>
        <w:rPr>
          <w:rFonts w:cs="Times New Roman"/>
          <w:lang w:val="en-US"/>
        </w:rPr>
      </w:pPr>
      <w:r>
        <w:rPr>
          <w:rFonts w:cs="Times New Roman"/>
          <w:lang w:val="en-US"/>
        </w:rPr>
        <w:t>concussion vs SF and/or ICH p=0.23 -&gt; No significant age difference</w:t>
      </w:r>
    </w:p>
    <w:p w:rsidR="00AF71CC" w:rsidRDefault="00AF71CC" w:rsidP="00AF71CC">
      <w:pPr>
        <w:rPr>
          <w:rFonts w:cs="Times New Roman"/>
          <w:lang w:val="en-US"/>
        </w:rPr>
      </w:pPr>
    </w:p>
    <w:p w:rsidR="00AF71CC" w:rsidRDefault="00AF71CC" w:rsidP="00AF71CC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Height of fall: no normal distribution, therefore use of Kolmogorov-Smirnov Test. </w:t>
      </w:r>
    </w:p>
    <w:p w:rsidR="00AF71CC" w:rsidRDefault="00AF71CC" w:rsidP="00AF71CC">
      <w:pPr>
        <w:pStyle w:val="ListParagraph"/>
        <w:numPr>
          <w:ilvl w:val="0"/>
          <w:numId w:val="3"/>
        </w:numPr>
        <w:spacing w:line="240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concussion vs SF+/-ICH, p= 0.053 -&gt; not significant difference </w:t>
      </w:r>
    </w:p>
    <w:p w:rsidR="00AF71CC" w:rsidRDefault="00AF71CC" w:rsidP="00AF71CC">
      <w:pPr>
        <w:pStyle w:val="ListParagraph"/>
        <w:numPr>
          <w:ilvl w:val="1"/>
          <w:numId w:val="3"/>
        </w:numPr>
        <w:spacing w:line="240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t>Median (Quartile) of SF +/-ICH: 100 cm (50-120)</w:t>
      </w:r>
    </w:p>
    <w:p w:rsidR="00AF71CC" w:rsidRDefault="00AF71CC" w:rsidP="00AF71CC">
      <w:pPr>
        <w:pStyle w:val="ListParagraph"/>
        <w:numPr>
          <w:ilvl w:val="0"/>
          <w:numId w:val="3"/>
        </w:numPr>
        <w:spacing w:line="240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concussion vs SF, p=0.33 -&gt; no significant difference. </w:t>
      </w:r>
    </w:p>
    <w:p w:rsidR="00AF71CC" w:rsidRDefault="00AF71CC" w:rsidP="00AF71CC">
      <w:pPr>
        <w:pStyle w:val="ListParagraph"/>
        <w:numPr>
          <w:ilvl w:val="0"/>
          <w:numId w:val="3"/>
        </w:numPr>
        <w:spacing w:line="240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concussion vs ICH(+SF) p= 0.0041 -&gt; significant </w:t>
      </w:r>
    </w:p>
    <w:p w:rsidR="00AF71CC" w:rsidRDefault="00AF71CC" w:rsidP="00AF71CC">
      <w:pPr>
        <w:spacing w:line="276" w:lineRule="auto"/>
        <w:rPr>
          <w:rFonts w:cs="Times New Roman"/>
          <w:lang w:val="en-US"/>
        </w:rPr>
      </w:pPr>
    </w:p>
    <w:p w:rsidR="00AF71CC" w:rsidRDefault="00AF71CC" w:rsidP="00AF71CC">
      <w:pPr>
        <w:spacing w:line="276" w:lineRule="auto"/>
        <w:rPr>
          <w:rFonts w:cs="Times New Roman"/>
          <w:lang w:val="en-US"/>
        </w:rPr>
      </w:pPr>
    </w:p>
    <w:p w:rsidR="00AF71CC" w:rsidRDefault="00AF71CC" w:rsidP="00AF71CC">
      <w:pPr>
        <w:spacing w:line="276" w:lineRule="auto"/>
        <w:rPr>
          <w:rFonts w:cs="Times New Roman"/>
          <w:b/>
          <w:lang w:val="en-US"/>
        </w:rPr>
      </w:pPr>
      <w:r>
        <w:rPr>
          <w:rFonts w:eastAsia="Times New Roman" w:cs="Times New Roman"/>
          <w:b/>
          <w:color w:val="000000"/>
          <w:lang w:val="en-US" w:eastAsia="de-DE"/>
        </w:rPr>
        <w:t>Supplementary Table 4. CUS accuracy subdivided according to diagnosis</w:t>
      </w:r>
    </w:p>
    <w:tbl>
      <w:tblPr>
        <w:tblpPr w:leftFromText="141" w:rightFromText="141" w:vertAnchor="text" w:horzAnchor="margin" w:tblpY="96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13"/>
        <w:gridCol w:w="1001"/>
        <w:gridCol w:w="1218"/>
        <w:gridCol w:w="1024"/>
        <w:gridCol w:w="1247"/>
      </w:tblGrid>
      <w:tr w:rsidR="00AF71CC" w:rsidTr="00C03BE4">
        <w:trPr>
          <w:trHeight w:val="3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71CC" w:rsidRDefault="00AF71CC" w:rsidP="00C03BE4">
            <w:pPr>
              <w:widowControl w:val="0"/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e-DE"/>
              </w:rPr>
              <w:t>CUS conspicuous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e-DE"/>
              </w:rPr>
              <w:t>CUS inconspicuous</w:t>
            </w:r>
          </w:p>
        </w:tc>
      </w:tr>
      <w:tr w:rsidR="00AF71CC" w:rsidTr="00C03BE4">
        <w:trPr>
          <w:trHeight w:val="41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de-DE"/>
              </w:rPr>
              <w:t>correct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de-DE"/>
              </w:rPr>
              <w:t>incorrect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de-DE"/>
              </w:rPr>
              <w:t>correct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de-DE"/>
              </w:rPr>
              <w:t>incorrect</w:t>
            </w:r>
          </w:p>
        </w:tc>
      </w:tr>
      <w:tr w:rsidR="00AF71CC" w:rsidTr="00C03BE4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e-DE"/>
              </w:rPr>
              <w:t>Normal CUS = concussion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lang w:eastAsia="de-DE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de-DE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lang w:eastAsia="de-DE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de-DE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lang w:eastAsia="de-DE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de-DE"/>
              </w:rPr>
              <w:t>238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lang w:eastAsia="de-DE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de-DE"/>
              </w:rPr>
              <w:t>0</w:t>
            </w:r>
          </w:p>
        </w:tc>
      </w:tr>
      <w:tr w:rsidR="00AF71CC" w:rsidTr="00C03BE4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e-DE"/>
              </w:rPr>
              <w:t>SF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lang w:eastAsia="de-DE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de-DE"/>
              </w:rPr>
              <w:t>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lang w:eastAsia="de-DE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de-DE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lang w:eastAsia="de-DE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de-DE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lang w:eastAsia="de-DE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de-DE"/>
              </w:rPr>
              <w:t>4</w:t>
            </w:r>
          </w:p>
        </w:tc>
      </w:tr>
      <w:tr w:rsidR="00AF71CC" w:rsidTr="00C03BE4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e-DE"/>
              </w:rPr>
              <w:t xml:space="preserve">ICH </w:t>
            </w:r>
            <w:r>
              <w:rPr>
                <w:rFonts w:eastAsia="Times New Roman" w:cs="Times New Roman"/>
                <w:color w:val="000000"/>
                <w:sz w:val="18"/>
                <w:szCs w:val="18"/>
                <w:u w:val="single"/>
                <w:lang w:eastAsia="de-DE"/>
              </w:rPr>
              <w:t>and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de-DE"/>
              </w:rPr>
              <w:t xml:space="preserve"> SF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lang w:eastAsia="de-DE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de-DE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lang w:eastAsia="de-DE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de-DE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lang w:eastAsia="de-DE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de-DE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lang w:eastAsia="de-DE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de-DE"/>
              </w:rPr>
              <w:t>0</w:t>
            </w:r>
          </w:p>
        </w:tc>
      </w:tr>
      <w:tr w:rsidR="00AF71CC" w:rsidTr="00C03BE4">
        <w:trPr>
          <w:trHeight w:val="29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e-DE"/>
              </w:rPr>
              <w:t xml:space="preserve">ICH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lang w:eastAsia="de-DE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de-DE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lang w:eastAsia="de-DE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de-DE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lang w:eastAsia="de-DE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de-DE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lang w:eastAsia="de-DE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de-DE"/>
              </w:rPr>
              <w:t>0</w:t>
            </w:r>
          </w:p>
        </w:tc>
      </w:tr>
      <w:tr w:rsidR="00AF71CC" w:rsidTr="00C03BE4">
        <w:trPr>
          <w:trHeight w:val="4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e-DE"/>
              </w:rPr>
              <w:t>Other diagnosis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lang w:eastAsia="de-DE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de-DE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lang w:eastAsia="de-DE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de-DE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lang w:eastAsia="de-DE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de-DE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lang w:eastAsia="de-DE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de-DE"/>
              </w:rPr>
              <w:t>0</w:t>
            </w:r>
          </w:p>
        </w:tc>
      </w:tr>
      <w:tr w:rsidR="00AF71CC" w:rsidRPr="00141F2B" w:rsidTr="00C03BE4">
        <w:trPr>
          <w:trHeight w:val="404"/>
        </w:trPr>
        <w:tc>
          <w:tcPr>
            <w:tcW w:w="0" w:type="auto"/>
            <w:gridSpan w:val="5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>
              <w:rPr>
                <w:rFonts w:cs="Times New Roman"/>
                <w:b/>
                <w:sz w:val="18"/>
                <w:szCs w:val="18"/>
                <w:lang w:val="en-US"/>
              </w:rPr>
              <w:t>Sensitivity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 for fracture diagnosis: 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de-DE"/>
              </w:rPr>
              <w:t xml:space="preserve">50/54* = 93%. </w:t>
            </w:r>
          </w:p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val="en-US" w:eastAsia="de-DE"/>
              </w:rPr>
              <w:t>Sensitivity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de-DE"/>
              </w:rPr>
              <w:t xml:space="preserve"> for detection of intracranial haemorrhage: </w:t>
            </w:r>
          </w:p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7/7* = 100%</w:t>
            </w:r>
          </w:p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val="en-US"/>
              </w:rPr>
              <w:t>* 3 cases with SF known beforehand and 1 case of ICH known beforehand are excluded in calculation</w:t>
            </w:r>
          </w:p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CUS = cranial ultrasound, ICH = intracranial haemorrhage, SF = skull fracture</w:t>
            </w:r>
          </w:p>
          <w:p w:rsidR="00AF71CC" w:rsidRDefault="00AF71CC" w:rsidP="00C03BE4">
            <w:pPr>
              <w:widowControl w:val="0"/>
              <w:spacing w:line="276" w:lineRule="auto"/>
              <w:jc w:val="both"/>
              <w:rPr>
                <w:rFonts w:cs="Times New Roman"/>
                <w:sz w:val="15"/>
                <w:szCs w:val="15"/>
                <w:lang w:val="en-US"/>
              </w:rPr>
            </w:pPr>
          </w:p>
        </w:tc>
      </w:tr>
    </w:tbl>
    <w:p w:rsidR="00AF71CC" w:rsidRDefault="00AF71CC" w:rsidP="00AF71CC">
      <w:pPr>
        <w:spacing w:line="276" w:lineRule="auto"/>
        <w:rPr>
          <w:rFonts w:cs="Times New Roman"/>
          <w:lang w:val="en-US"/>
        </w:rPr>
      </w:pPr>
    </w:p>
    <w:p w:rsidR="00AF71CC" w:rsidRDefault="00AF71CC" w:rsidP="00AF71CC">
      <w:pPr>
        <w:spacing w:line="276" w:lineRule="auto"/>
        <w:rPr>
          <w:rFonts w:cs="Times New Roman"/>
          <w:lang w:val="en-US"/>
        </w:rPr>
      </w:pPr>
    </w:p>
    <w:p w:rsidR="00AF71CC" w:rsidRDefault="00AF71CC" w:rsidP="00AF71CC">
      <w:pPr>
        <w:spacing w:line="276" w:lineRule="auto"/>
        <w:rPr>
          <w:rFonts w:cs="Times New Roman"/>
          <w:lang w:val="en-US"/>
        </w:rPr>
      </w:pPr>
    </w:p>
    <w:p w:rsidR="00AF71CC" w:rsidRDefault="00AF71CC" w:rsidP="00AF71CC">
      <w:pPr>
        <w:spacing w:line="276" w:lineRule="auto"/>
        <w:rPr>
          <w:rFonts w:cs="Times New Roman"/>
          <w:lang w:val="en-US"/>
        </w:rPr>
      </w:pPr>
    </w:p>
    <w:p w:rsidR="00AF71CC" w:rsidRDefault="00AF71CC" w:rsidP="00AF71CC">
      <w:pPr>
        <w:spacing w:line="276" w:lineRule="auto"/>
        <w:rPr>
          <w:rFonts w:cs="Times New Roman"/>
          <w:lang w:val="en-US"/>
        </w:rPr>
      </w:pPr>
    </w:p>
    <w:p w:rsidR="00AF71CC" w:rsidRDefault="00AF71CC" w:rsidP="00AF71CC">
      <w:pPr>
        <w:spacing w:line="276" w:lineRule="auto"/>
        <w:rPr>
          <w:rFonts w:cs="Times New Roman"/>
          <w:lang w:val="en-US"/>
        </w:rPr>
      </w:pPr>
    </w:p>
    <w:p w:rsidR="00AF71CC" w:rsidRDefault="00AF71CC" w:rsidP="00AF71CC">
      <w:pPr>
        <w:spacing w:line="276" w:lineRule="auto"/>
        <w:rPr>
          <w:rFonts w:cs="Times New Roman"/>
          <w:lang w:val="en-US"/>
        </w:rPr>
      </w:pPr>
    </w:p>
    <w:p w:rsidR="00AF71CC" w:rsidRDefault="00AF71CC" w:rsidP="00AF71CC">
      <w:pPr>
        <w:spacing w:line="276" w:lineRule="auto"/>
        <w:rPr>
          <w:rFonts w:cs="Times New Roman"/>
          <w:lang w:val="en-US"/>
        </w:rPr>
      </w:pPr>
    </w:p>
    <w:p w:rsidR="00AF71CC" w:rsidRDefault="00AF71CC" w:rsidP="00AF71CC">
      <w:pPr>
        <w:spacing w:line="276" w:lineRule="auto"/>
        <w:rPr>
          <w:rFonts w:cs="Times New Roman"/>
          <w:lang w:val="en-US"/>
        </w:rPr>
      </w:pPr>
    </w:p>
    <w:p w:rsidR="00AF71CC" w:rsidRDefault="00AF71CC" w:rsidP="00AF71CC">
      <w:pPr>
        <w:spacing w:line="276" w:lineRule="auto"/>
        <w:rPr>
          <w:rFonts w:cs="Times New Roman"/>
          <w:lang w:val="en-US"/>
        </w:rPr>
      </w:pPr>
    </w:p>
    <w:p w:rsidR="00AF71CC" w:rsidRDefault="00AF71CC" w:rsidP="00AF71CC">
      <w:pPr>
        <w:spacing w:line="276" w:lineRule="auto"/>
        <w:rPr>
          <w:rFonts w:cs="Times New Roman"/>
          <w:lang w:val="en-US"/>
        </w:rPr>
      </w:pPr>
    </w:p>
    <w:p w:rsidR="00AF71CC" w:rsidRDefault="00AF71CC" w:rsidP="00AF71CC">
      <w:pPr>
        <w:spacing w:line="276" w:lineRule="auto"/>
        <w:rPr>
          <w:rFonts w:cs="Times New Roman"/>
          <w:lang w:val="en-US"/>
        </w:rPr>
      </w:pPr>
    </w:p>
    <w:p w:rsidR="00AF71CC" w:rsidRDefault="00AF71CC" w:rsidP="00AF71CC">
      <w:pPr>
        <w:spacing w:line="276" w:lineRule="auto"/>
        <w:rPr>
          <w:rFonts w:cs="Times New Roman"/>
          <w:lang w:val="en-US"/>
        </w:rPr>
      </w:pPr>
    </w:p>
    <w:p w:rsidR="00AF71CC" w:rsidRDefault="00AF71CC" w:rsidP="00AF71CC">
      <w:pPr>
        <w:spacing w:line="276" w:lineRule="auto"/>
        <w:rPr>
          <w:rFonts w:cs="Times New Roman"/>
          <w:lang w:val="en-US"/>
        </w:rPr>
      </w:pPr>
    </w:p>
    <w:p w:rsidR="00AF71CC" w:rsidRDefault="00AF71CC" w:rsidP="00AF71CC">
      <w:pPr>
        <w:spacing w:line="276" w:lineRule="auto"/>
        <w:rPr>
          <w:rFonts w:cs="Times New Roman"/>
          <w:lang w:val="en-US"/>
        </w:rPr>
      </w:pPr>
    </w:p>
    <w:p w:rsidR="00AF71CC" w:rsidRDefault="00AF71CC" w:rsidP="00AF71CC">
      <w:pPr>
        <w:spacing w:line="360" w:lineRule="auto"/>
        <w:rPr>
          <w:rFonts w:cs="Times New Roman"/>
          <w:b/>
          <w:lang w:val="en-US"/>
        </w:rPr>
      </w:pPr>
    </w:p>
    <w:p w:rsidR="00AF71CC" w:rsidRDefault="00AF71CC" w:rsidP="00AF71CC">
      <w:pPr>
        <w:spacing w:line="360" w:lineRule="auto"/>
        <w:rPr>
          <w:rFonts w:cs="Times New Roman"/>
          <w:b/>
          <w:lang w:val="en-US"/>
        </w:rPr>
      </w:pPr>
    </w:p>
    <w:p w:rsidR="00AF71CC" w:rsidRDefault="00AF71CC" w:rsidP="00AF71CC">
      <w:pPr>
        <w:spacing w:line="360" w:lineRule="auto"/>
        <w:rPr>
          <w:rFonts w:cs="Times New Roman"/>
          <w:b/>
          <w:lang w:val="en-US"/>
        </w:rPr>
      </w:pPr>
    </w:p>
    <w:p w:rsidR="00AF71CC" w:rsidRDefault="00AF71CC" w:rsidP="00AF71CC">
      <w:pPr>
        <w:spacing w:line="360" w:lineRule="auto"/>
        <w:rPr>
          <w:rFonts w:cs="Times New Roman"/>
          <w:b/>
          <w:lang w:val="en-US"/>
        </w:rPr>
      </w:pPr>
      <w:r>
        <w:rPr>
          <w:rFonts w:cs="Times New Roman"/>
          <w:b/>
          <w:lang w:val="en-US"/>
        </w:rPr>
        <w:lastRenderedPageBreak/>
        <w:t>Supplementary Table 5. False negative and false positive ultrasound findings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"/>
        <w:gridCol w:w="1065"/>
        <w:gridCol w:w="1091"/>
        <w:gridCol w:w="6170"/>
      </w:tblGrid>
      <w:tr w:rsidR="00AF71CC" w:rsidRPr="00141F2B" w:rsidTr="00C03BE4">
        <w:tc>
          <w:tcPr>
            <w:tcW w:w="0" w:type="auto"/>
            <w:tcBorders>
              <w:right w:val="nil"/>
            </w:tcBorders>
          </w:tcPr>
          <w:p w:rsidR="00AF71CC" w:rsidRDefault="00AF71CC" w:rsidP="00C03BE4">
            <w:pPr>
              <w:rPr>
                <w:rFonts w:cs="Times New Roman"/>
                <w:b/>
                <w:lang w:val="en-US"/>
              </w:rPr>
            </w:pPr>
            <w:r>
              <w:rPr>
                <w:rFonts w:eastAsia="Calibri" w:cs="Times New Roman"/>
                <w:b/>
                <w:lang w:val="en-US"/>
              </w:rPr>
              <w:t>Case no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AF71CC" w:rsidRDefault="00AF71CC" w:rsidP="00C03BE4">
            <w:pPr>
              <w:rPr>
                <w:rFonts w:cs="Times New Roman"/>
                <w:b/>
                <w:lang w:val="en-US"/>
              </w:rPr>
            </w:pPr>
            <w:r>
              <w:rPr>
                <w:rFonts w:eastAsia="Calibri" w:cs="Times New Roman"/>
                <w:b/>
                <w:lang w:val="en-US"/>
              </w:rPr>
              <w:t>Age (month)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AF71CC" w:rsidRDefault="00AF71CC" w:rsidP="00C03BE4">
            <w:pPr>
              <w:rPr>
                <w:rFonts w:cs="Times New Roman"/>
                <w:b/>
                <w:lang w:val="en-US"/>
              </w:rPr>
            </w:pPr>
            <w:r>
              <w:rPr>
                <w:rFonts w:eastAsia="Calibri" w:cs="Times New Roman"/>
                <w:b/>
                <w:lang w:val="en-US"/>
              </w:rPr>
              <w:t>US finding</w:t>
            </w:r>
          </w:p>
        </w:tc>
        <w:tc>
          <w:tcPr>
            <w:tcW w:w="0" w:type="auto"/>
            <w:tcBorders>
              <w:left w:val="nil"/>
            </w:tcBorders>
          </w:tcPr>
          <w:p w:rsidR="00AF71CC" w:rsidRDefault="00AF71CC" w:rsidP="00C03BE4">
            <w:pPr>
              <w:rPr>
                <w:rFonts w:cs="Times New Roman"/>
                <w:b/>
                <w:lang w:val="en-US"/>
              </w:rPr>
            </w:pPr>
            <w:r>
              <w:rPr>
                <w:rFonts w:eastAsia="Calibri" w:cs="Times New Roman"/>
                <w:b/>
                <w:lang w:val="en-US"/>
              </w:rPr>
              <w:t>CT/MRI/skull radiograph finding</w:t>
            </w:r>
          </w:p>
        </w:tc>
      </w:tr>
      <w:tr w:rsidR="00AF71CC" w:rsidRPr="00141F2B" w:rsidTr="00C03BE4">
        <w:tc>
          <w:tcPr>
            <w:tcW w:w="0" w:type="auto"/>
            <w:tcBorders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No 40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3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False negative</w:t>
            </w:r>
          </w:p>
        </w:tc>
        <w:tc>
          <w:tcPr>
            <w:tcW w:w="0" w:type="auto"/>
            <w:tcBorders>
              <w:lef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Rx radiograph showed parieto-temporal fracture</w:t>
            </w:r>
          </w:p>
        </w:tc>
      </w:tr>
      <w:tr w:rsidR="00AF71CC" w:rsidRPr="00141F2B" w:rsidTr="00C03BE4">
        <w:tc>
          <w:tcPr>
            <w:tcW w:w="0" w:type="auto"/>
            <w:tcBorders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No 116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False negative</w:t>
            </w:r>
          </w:p>
        </w:tc>
        <w:tc>
          <w:tcPr>
            <w:tcW w:w="0" w:type="auto"/>
            <w:tcBorders>
              <w:lef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Radiograph showed parieto-occipital fracture</w:t>
            </w:r>
          </w:p>
        </w:tc>
      </w:tr>
      <w:tr w:rsidR="00AF71CC" w:rsidRPr="00141F2B" w:rsidTr="00C03BE4">
        <w:tc>
          <w:tcPr>
            <w:tcW w:w="0" w:type="auto"/>
            <w:tcBorders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No 323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2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False negative</w:t>
            </w:r>
          </w:p>
        </w:tc>
        <w:tc>
          <w:tcPr>
            <w:tcW w:w="0" w:type="auto"/>
            <w:tcBorders>
              <w:lef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Follow up ultrasound showed parietal fracture</w:t>
            </w:r>
          </w:p>
        </w:tc>
      </w:tr>
      <w:tr w:rsidR="00AF71CC" w:rsidRPr="00141F2B" w:rsidTr="00C03BE4">
        <w:tc>
          <w:tcPr>
            <w:tcW w:w="0" w:type="auto"/>
            <w:tcBorders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No 401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8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False negative</w:t>
            </w:r>
          </w:p>
        </w:tc>
        <w:tc>
          <w:tcPr>
            <w:tcW w:w="0" w:type="auto"/>
            <w:tcBorders>
              <w:lef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Radiograph showed a parietal fracture</w:t>
            </w:r>
          </w:p>
        </w:tc>
      </w:tr>
      <w:tr w:rsidR="00AF71CC" w:rsidRPr="00141F2B" w:rsidTr="00C03BE4">
        <w:tc>
          <w:tcPr>
            <w:tcW w:w="0" w:type="auto"/>
            <w:tcBorders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No 146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3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False positive</w:t>
            </w:r>
          </w:p>
        </w:tc>
        <w:tc>
          <w:tcPr>
            <w:tcW w:w="0" w:type="auto"/>
            <w:tcBorders>
              <w:lef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Follow up ultrasound could not confirm the suspected fracture</w:t>
            </w:r>
          </w:p>
        </w:tc>
      </w:tr>
      <w:tr w:rsidR="00AF71CC" w:rsidRPr="00141F2B" w:rsidTr="00C03BE4">
        <w:tc>
          <w:tcPr>
            <w:tcW w:w="0" w:type="auto"/>
            <w:tcBorders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No 306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10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False positive</w:t>
            </w:r>
          </w:p>
        </w:tc>
        <w:tc>
          <w:tcPr>
            <w:tcW w:w="0" w:type="auto"/>
            <w:tcBorders>
              <w:lef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CUS found a fracture haematoma, the fracture could not be confirmed in radiograp. Due to unclear history of accident and clinic, final diagnosis was no TBI.</w:t>
            </w:r>
          </w:p>
        </w:tc>
      </w:tr>
      <w:tr w:rsidR="00AF71CC" w:rsidRPr="00141F2B" w:rsidTr="00C03BE4">
        <w:tc>
          <w:tcPr>
            <w:tcW w:w="0" w:type="auto"/>
            <w:tcBorders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No 333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False positive</w:t>
            </w:r>
          </w:p>
        </w:tc>
        <w:tc>
          <w:tcPr>
            <w:tcW w:w="0" w:type="auto"/>
            <w:tcBorders>
              <w:lef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Radiograph did not confirm suspected fracture</w:t>
            </w:r>
          </w:p>
        </w:tc>
      </w:tr>
      <w:tr w:rsidR="00AF71CC" w:rsidRPr="00141F2B" w:rsidTr="00C03BE4">
        <w:tc>
          <w:tcPr>
            <w:tcW w:w="0" w:type="auto"/>
            <w:tcBorders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No 376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2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False positive</w:t>
            </w:r>
          </w:p>
        </w:tc>
        <w:tc>
          <w:tcPr>
            <w:tcW w:w="0" w:type="auto"/>
            <w:tcBorders>
              <w:lef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 xml:space="preserve">Review of the CUS during hospitalization found initial susptected signs of fracture as wrong. </w:t>
            </w:r>
          </w:p>
        </w:tc>
      </w:tr>
      <w:tr w:rsidR="00AF71CC" w:rsidRPr="00141F2B" w:rsidTr="00C03BE4">
        <w:tc>
          <w:tcPr>
            <w:tcW w:w="0" w:type="auto"/>
            <w:tcBorders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No 394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False positive</w:t>
            </w:r>
          </w:p>
        </w:tc>
        <w:tc>
          <w:tcPr>
            <w:tcW w:w="0" w:type="auto"/>
            <w:tcBorders>
              <w:left w:val="nil"/>
            </w:tcBorders>
          </w:tcPr>
          <w:p w:rsidR="00AF71CC" w:rsidRDefault="00AF71CC" w:rsidP="00C03BE4">
            <w:pPr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Radiograph could not confirm fracture. Final diagnosis was no TBI but birth trauma.</w:t>
            </w:r>
          </w:p>
        </w:tc>
      </w:tr>
    </w:tbl>
    <w:p w:rsidR="00AF71CC" w:rsidRDefault="00AF71CC" w:rsidP="00AF71CC">
      <w:pPr>
        <w:rPr>
          <w:rFonts w:cs="Times New Roman"/>
        </w:rPr>
      </w:pPr>
    </w:p>
    <w:p w:rsidR="00AF71CC" w:rsidRDefault="00AF71CC" w:rsidP="00AF71CC"/>
    <w:p w:rsidR="00AF71CC" w:rsidRDefault="00AF71CC" w:rsidP="00AF71CC"/>
    <w:p w:rsidR="00AF71CC" w:rsidRDefault="00AF71CC" w:rsidP="00AF71CC">
      <w:bookmarkStart w:id="0" w:name="_GoBack"/>
      <w:bookmarkEnd w:id="0"/>
    </w:p>
    <w:p w:rsidR="00AF71CC" w:rsidRDefault="00AF71CC" w:rsidP="00AF71CC">
      <w:r>
        <w:br w:type="page"/>
      </w:r>
    </w:p>
    <w:p w:rsidR="00921543" w:rsidRDefault="00921543"/>
    <w:sectPr w:rsidR="00921543" w:rsidSect="00A427EE">
      <w:footerReference w:type="even" r:id="rId5"/>
      <w:footerReference w:type="default" r:id="rId6"/>
      <w:pgSz w:w="11906" w:h="16838"/>
      <w:pgMar w:top="1417" w:right="1417" w:bottom="1134" w:left="1417" w:header="0" w:footer="397" w:gutter="0"/>
      <w:pgNumType w:start="0"/>
      <w:cols w:space="720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0370375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8348E6" w:rsidRDefault="00AF71CC" w:rsidP="00E442E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8348E6" w:rsidRDefault="00AF71CC" w:rsidP="00B80E7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82901895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8348E6" w:rsidRDefault="00AF71CC" w:rsidP="00E442E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8348E6" w:rsidRDefault="00AF71CC" w:rsidP="00B80E7B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F0223"/>
    <w:multiLevelType w:val="multilevel"/>
    <w:tmpl w:val="5210B2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7E709A"/>
    <w:multiLevelType w:val="multilevel"/>
    <w:tmpl w:val="1002837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558283E"/>
    <w:multiLevelType w:val="hybridMultilevel"/>
    <w:tmpl w:val="3C46AE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1CC"/>
    <w:rsid w:val="001068D5"/>
    <w:rsid w:val="00155401"/>
    <w:rsid w:val="00183938"/>
    <w:rsid w:val="001C6049"/>
    <w:rsid w:val="001C6AB6"/>
    <w:rsid w:val="00237657"/>
    <w:rsid w:val="00247721"/>
    <w:rsid w:val="002C77EB"/>
    <w:rsid w:val="003643D7"/>
    <w:rsid w:val="003B4C26"/>
    <w:rsid w:val="003B4EF8"/>
    <w:rsid w:val="00406925"/>
    <w:rsid w:val="0042183F"/>
    <w:rsid w:val="00421D1C"/>
    <w:rsid w:val="004300F9"/>
    <w:rsid w:val="004E6D42"/>
    <w:rsid w:val="005234BA"/>
    <w:rsid w:val="0054620D"/>
    <w:rsid w:val="00557EFC"/>
    <w:rsid w:val="0056453D"/>
    <w:rsid w:val="005B5099"/>
    <w:rsid w:val="00642253"/>
    <w:rsid w:val="006758E7"/>
    <w:rsid w:val="00675A44"/>
    <w:rsid w:val="006C2230"/>
    <w:rsid w:val="006D77B7"/>
    <w:rsid w:val="00757DB0"/>
    <w:rsid w:val="008547F0"/>
    <w:rsid w:val="008A09ED"/>
    <w:rsid w:val="008E1A09"/>
    <w:rsid w:val="00921543"/>
    <w:rsid w:val="00944331"/>
    <w:rsid w:val="00957B07"/>
    <w:rsid w:val="009D363D"/>
    <w:rsid w:val="00A55C5E"/>
    <w:rsid w:val="00A6453E"/>
    <w:rsid w:val="00A81DEF"/>
    <w:rsid w:val="00A90978"/>
    <w:rsid w:val="00AF71CC"/>
    <w:rsid w:val="00B16261"/>
    <w:rsid w:val="00B20AFD"/>
    <w:rsid w:val="00B474BA"/>
    <w:rsid w:val="00BD5909"/>
    <w:rsid w:val="00C95FE3"/>
    <w:rsid w:val="00CC4D17"/>
    <w:rsid w:val="00CE5E61"/>
    <w:rsid w:val="00D94254"/>
    <w:rsid w:val="00DD6436"/>
    <w:rsid w:val="00E01A41"/>
    <w:rsid w:val="00E5364C"/>
    <w:rsid w:val="00E61160"/>
    <w:rsid w:val="00EB544B"/>
    <w:rsid w:val="00F5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A8AF70-AC5E-432D-9362-2626BFCA4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1CC"/>
    <w:pPr>
      <w:suppressAutoHyphens/>
      <w:spacing w:after="0" w:line="480" w:lineRule="auto"/>
    </w:pPr>
    <w:rPr>
      <w:rFonts w:ascii="Times New Roman" w:hAnsi="Times New Roman"/>
      <w:sz w:val="20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71CC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71CC"/>
    <w:pPr>
      <w:keepNext/>
      <w:keepLines/>
      <w:spacing w:before="40"/>
      <w:outlineLvl w:val="2"/>
    </w:pPr>
    <w:rPr>
      <w:rFonts w:eastAsiaTheme="majorEastAsia" w:cstheme="majorBidi"/>
      <w:i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F71CC"/>
    <w:rPr>
      <w:rFonts w:ascii="Times New Roman" w:eastAsiaTheme="majorEastAsia" w:hAnsi="Times New Roman" w:cstheme="majorBidi"/>
      <w:color w:val="2E74B5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AF71CC"/>
    <w:rPr>
      <w:rFonts w:ascii="Times New Roman" w:eastAsiaTheme="majorEastAsia" w:hAnsi="Times New Roman" w:cstheme="majorBidi"/>
      <w:i/>
      <w:color w:val="1F4D78" w:themeColor="accent1" w:themeShade="7F"/>
      <w:sz w:val="20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F71C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F71C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1CC"/>
    <w:rPr>
      <w:rFonts w:ascii="Times New Roman" w:hAnsi="Times New Roman"/>
      <w:sz w:val="20"/>
      <w:szCs w:val="24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AF71CC"/>
  </w:style>
  <w:style w:type="table" w:styleId="TableGrid">
    <w:name w:val="Table Grid"/>
    <w:basedOn w:val="TableNormal"/>
    <w:uiPriority w:val="39"/>
    <w:rsid w:val="00AF71CC"/>
    <w:pPr>
      <w:suppressAutoHyphens/>
      <w:spacing w:after="0" w:line="240" w:lineRule="auto"/>
    </w:pPr>
    <w:rPr>
      <w:sz w:val="24"/>
      <w:szCs w:val="24"/>
      <w:lang w:val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Joy Mamino</dc:creator>
  <cp:keywords/>
  <dc:description/>
  <cp:lastModifiedBy>Karla Joy Mamino</cp:lastModifiedBy>
  <cp:revision>1</cp:revision>
  <dcterms:created xsi:type="dcterms:W3CDTF">2023-03-20T10:41:00Z</dcterms:created>
  <dcterms:modified xsi:type="dcterms:W3CDTF">2023-03-20T10:42:00Z</dcterms:modified>
</cp:coreProperties>
</file>