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F5746" w14:textId="41CE9E18" w:rsidR="00665F3D" w:rsidRPr="00365D94" w:rsidRDefault="00665F3D" w:rsidP="00665F3D">
      <w:pPr>
        <w:rPr>
          <w:rFonts w:ascii="Times New Roman" w:hAnsi="Times New Roman"/>
          <w:color w:val="000000"/>
          <w:lang w:val="en-US"/>
        </w:rPr>
      </w:pPr>
      <w:r>
        <w:rPr>
          <w:rFonts w:ascii="Times New Roman" w:hAnsi="Times New Roman"/>
          <w:b/>
          <w:bCs/>
          <w:color w:val="000000"/>
          <w:lang w:val="en-US"/>
        </w:rPr>
        <w:t>Supplementary t</w:t>
      </w:r>
      <w:r w:rsidRPr="00365D94">
        <w:rPr>
          <w:rFonts w:ascii="Times New Roman" w:hAnsi="Times New Roman"/>
          <w:b/>
          <w:bCs/>
          <w:color w:val="000000"/>
          <w:lang w:val="en-US"/>
        </w:rPr>
        <w:t>able 1</w:t>
      </w:r>
      <w:r w:rsidRPr="00365D94">
        <w:rPr>
          <w:rFonts w:ascii="Times New Roman" w:hAnsi="Times New Roman"/>
          <w:color w:val="000000"/>
          <w:lang w:val="en-US"/>
        </w:rPr>
        <w:t xml:space="preserve"> Background characteristics of the included studies. </w:t>
      </w:r>
    </w:p>
    <w:tbl>
      <w:tblPr>
        <w:tblStyle w:val="TaulukkoRuudukko"/>
        <w:tblW w:w="16541" w:type="dxa"/>
        <w:tblInd w:w="-1281" w:type="dxa"/>
        <w:tblLook w:val="04A0" w:firstRow="1" w:lastRow="0" w:firstColumn="1" w:lastColumn="0" w:noHBand="0" w:noVBand="1"/>
      </w:tblPr>
      <w:tblGrid>
        <w:gridCol w:w="892"/>
        <w:gridCol w:w="741"/>
        <w:gridCol w:w="867"/>
        <w:gridCol w:w="945"/>
        <w:gridCol w:w="892"/>
        <w:gridCol w:w="834"/>
        <w:gridCol w:w="557"/>
        <w:gridCol w:w="1785"/>
        <w:gridCol w:w="2268"/>
        <w:gridCol w:w="1070"/>
        <w:gridCol w:w="1447"/>
        <w:gridCol w:w="892"/>
        <w:gridCol w:w="1269"/>
        <w:gridCol w:w="1012"/>
        <w:gridCol w:w="1070"/>
      </w:tblGrid>
      <w:tr w:rsidR="00665F3D" w:rsidRPr="00365D94" w14:paraId="12A4AA50" w14:textId="77777777" w:rsidTr="00FF7987">
        <w:trPr>
          <w:trHeight w:val="290"/>
        </w:trPr>
        <w:tc>
          <w:tcPr>
            <w:tcW w:w="892" w:type="dxa"/>
            <w:noWrap/>
            <w:hideMark/>
          </w:tcPr>
          <w:p w14:paraId="362403B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Study</w:t>
            </w:r>
          </w:p>
        </w:tc>
        <w:tc>
          <w:tcPr>
            <w:tcW w:w="741" w:type="dxa"/>
            <w:noWrap/>
            <w:hideMark/>
          </w:tcPr>
          <w:p w14:paraId="1EAFD49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Country</w:t>
            </w:r>
          </w:p>
        </w:tc>
        <w:tc>
          <w:tcPr>
            <w:tcW w:w="867" w:type="dxa"/>
            <w:noWrap/>
            <w:hideMark/>
          </w:tcPr>
          <w:p w14:paraId="5A7C169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Study period</w:t>
            </w:r>
          </w:p>
        </w:tc>
        <w:tc>
          <w:tcPr>
            <w:tcW w:w="945" w:type="dxa"/>
            <w:noWrap/>
            <w:hideMark/>
          </w:tcPr>
          <w:p w14:paraId="657ADE3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Study setting</w:t>
            </w:r>
          </w:p>
        </w:tc>
        <w:tc>
          <w:tcPr>
            <w:tcW w:w="892" w:type="dxa"/>
            <w:noWrap/>
            <w:hideMark/>
          </w:tcPr>
          <w:p w14:paraId="35AAE10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Blinding</w:t>
            </w:r>
          </w:p>
        </w:tc>
        <w:tc>
          <w:tcPr>
            <w:tcW w:w="834" w:type="dxa"/>
            <w:noWrap/>
            <w:hideMark/>
          </w:tcPr>
          <w:p w14:paraId="7786D01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duration</w:t>
            </w:r>
          </w:p>
        </w:tc>
        <w:tc>
          <w:tcPr>
            <w:tcW w:w="557" w:type="dxa"/>
            <w:noWrap/>
            <w:hideMark/>
          </w:tcPr>
          <w:p w14:paraId="09E9A4F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Age</w:t>
            </w:r>
          </w:p>
        </w:tc>
        <w:tc>
          <w:tcPr>
            <w:tcW w:w="1785" w:type="dxa"/>
            <w:noWrap/>
            <w:hideMark/>
          </w:tcPr>
          <w:p w14:paraId="636ABB4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Inclusion criteria</w:t>
            </w:r>
          </w:p>
        </w:tc>
        <w:tc>
          <w:tcPr>
            <w:tcW w:w="2268" w:type="dxa"/>
            <w:noWrap/>
            <w:hideMark/>
          </w:tcPr>
          <w:p w14:paraId="10A0407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Exclusion criteria</w:t>
            </w:r>
          </w:p>
        </w:tc>
        <w:tc>
          <w:tcPr>
            <w:tcW w:w="1070" w:type="dxa"/>
            <w:noWrap/>
            <w:hideMark/>
          </w:tcPr>
          <w:p w14:paraId="6ED586EB"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Intervention</w:t>
            </w:r>
          </w:p>
        </w:tc>
        <w:tc>
          <w:tcPr>
            <w:tcW w:w="1447" w:type="dxa"/>
            <w:noWrap/>
            <w:hideMark/>
          </w:tcPr>
          <w:p w14:paraId="10A5CAF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Comparator</w:t>
            </w:r>
          </w:p>
        </w:tc>
        <w:tc>
          <w:tcPr>
            <w:tcW w:w="892" w:type="dxa"/>
            <w:noWrap/>
            <w:hideMark/>
          </w:tcPr>
          <w:p w14:paraId="436897F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Treatment duration</w:t>
            </w:r>
          </w:p>
        </w:tc>
        <w:tc>
          <w:tcPr>
            <w:tcW w:w="1269" w:type="dxa"/>
            <w:noWrap/>
            <w:hideMark/>
          </w:tcPr>
          <w:p w14:paraId="1E9B7D1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Main outcome measures</w:t>
            </w:r>
          </w:p>
        </w:tc>
        <w:tc>
          <w:tcPr>
            <w:tcW w:w="1012" w:type="dxa"/>
            <w:noWrap/>
            <w:hideMark/>
          </w:tcPr>
          <w:p w14:paraId="4E1B577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Funding</w:t>
            </w:r>
          </w:p>
        </w:tc>
        <w:tc>
          <w:tcPr>
            <w:tcW w:w="1070" w:type="dxa"/>
            <w:noWrap/>
            <w:hideMark/>
          </w:tcPr>
          <w:p w14:paraId="09F838B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COI</w:t>
            </w:r>
          </w:p>
        </w:tc>
      </w:tr>
      <w:tr w:rsidR="00665F3D" w:rsidRPr="00365D94" w14:paraId="7E87AE20" w14:textId="77777777" w:rsidTr="00FF7987">
        <w:trPr>
          <w:trHeight w:val="290"/>
        </w:trPr>
        <w:tc>
          <w:tcPr>
            <w:tcW w:w="892" w:type="dxa"/>
            <w:noWrap/>
            <w:hideMark/>
          </w:tcPr>
          <w:p w14:paraId="52266CC5"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Ayazi</w:t>
            </w:r>
            <w:proofErr w:type="spellEnd"/>
            <w:r w:rsidRPr="00365D94">
              <w:rPr>
                <w:rFonts w:ascii="Times New Roman" w:hAnsi="Times New Roman"/>
                <w:sz w:val="16"/>
                <w:szCs w:val="16"/>
                <w:lang w:val="en-US"/>
              </w:rPr>
              <w:t xml:space="preserve"> et al 2017</w:t>
            </w:r>
          </w:p>
        </w:tc>
        <w:tc>
          <w:tcPr>
            <w:tcW w:w="741" w:type="dxa"/>
            <w:noWrap/>
            <w:hideMark/>
          </w:tcPr>
          <w:p w14:paraId="272793C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Iran</w:t>
            </w:r>
          </w:p>
        </w:tc>
        <w:tc>
          <w:tcPr>
            <w:tcW w:w="867" w:type="dxa"/>
            <w:noWrap/>
            <w:hideMark/>
          </w:tcPr>
          <w:p w14:paraId="345C83A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2013-2014</w:t>
            </w:r>
          </w:p>
        </w:tc>
        <w:tc>
          <w:tcPr>
            <w:tcW w:w="945" w:type="dxa"/>
            <w:noWrap/>
            <w:hideMark/>
          </w:tcPr>
          <w:p w14:paraId="5C3328A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Children’s Hospital Outpatient clinic</w:t>
            </w:r>
          </w:p>
        </w:tc>
        <w:tc>
          <w:tcPr>
            <w:tcW w:w="892" w:type="dxa"/>
            <w:noWrap/>
            <w:hideMark/>
          </w:tcPr>
          <w:p w14:paraId="31AC8FF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Unblinded</w:t>
            </w:r>
          </w:p>
        </w:tc>
        <w:tc>
          <w:tcPr>
            <w:tcW w:w="834" w:type="dxa"/>
            <w:noWrap/>
            <w:hideMark/>
          </w:tcPr>
          <w:p w14:paraId="441B36F7"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&lt;7 days</w:t>
            </w:r>
          </w:p>
        </w:tc>
        <w:tc>
          <w:tcPr>
            <w:tcW w:w="557" w:type="dxa"/>
            <w:noWrap/>
            <w:hideMark/>
          </w:tcPr>
          <w:p w14:paraId="63188BD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1-12 years</w:t>
            </w:r>
          </w:p>
        </w:tc>
        <w:tc>
          <w:tcPr>
            <w:tcW w:w="1785" w:type="dxa"/>
            <w:noWrap/>
            <w:hideMark/>
          </w:tcPr>
          <w:p w14:paraId="3FB925A6"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presence of a viral URTI-induced cough in a previously healthy subject with no past medical history. The manifestations of viral URTIs included congestion, fever (an oral temperature of less than 39C), pharyngitis, malaise, or headaches.</w:t>
            </w:r>
          </w:p>
        </w:tc>
        <w:tc>
          <w:tcPr>
            <w:tcW w:w="2268" w:type="dxa"/>
            <w:noWrap/>
            <w:hideMark/>
          </w:tcPr>
          <w:p w14:paraId="3CE61EC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pneumonia, laryngotracheobronchitis, sinusitis, asthma, allergic rhinitis, frequent hospitalization, recent administration of DPH to children, and use of medications that affected the sleep of the parents. Prior use of any cough or cold medication or honey</w:t>
            </w:r>
          </w:p>
        </w:tc>
        <w:tc>
          <w:tcPr>
            <w:tcW w:w="1070" w:type="dxa"/>
            <w:noWrap/>
            <w:hideMark/>
          </w:tcPr>
          <w:p w14:paraId="6337B17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Honey</w:t>
            </w:r>
          </w:p>
        </w:tc>
        <w:tc>
          <w:tcPr>
            <w:tcW w:w="1447" w:type="dxa"/>
            <w:noWrap/>
            <w:hideMark/>
          </w:tcPr>
          <w:p w14:paraId="6A9F7DF7"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Diphenhydramine</w:t>
            </w:r>
          </w:p>
        </w:tc>
        <w:tc>
          <w:tcPr>
            <w:tcW w:w="892" w:type="dxa"/>
            <w:noWrap/>
            <w:hideMark/>
          </w:tcPr>
          <w:p w14:paraId="03B049D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two weeks</w:t>
            </w:r>
          </w:p>
        </w:tc>
        <w:tc>
          <w:tcPr>
            <w:tcW w:w="1269" w:type="dxa"/>
            <w:noWrap/>
            <w:hideMark/>
          </w:tcPr>
          <w:p w14:paraId="1D0E9B06"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frequency, cough severity, bothersome nature of the cough, and the children's and parents' sleep quality.</w:t>
            </w:r>
          </w:p>
        </w:tc>
        <w:tc>
          <w:tcPr>
            <w:tcW w:w="1012" w:type="dxa"/>
            <w:noWrap/>
            <w:hideMark/>
          </w:tcPr>
          <w:p w14:paraId="545DF2B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None received</w:t>
            </w:r>
          </w:p>
        </w:tc>
        <w:tc>
          <w:tcPr>
            <w:tcW w:w="1070" w:type="dxa"/>
            <w:noWrap/>
            <w:hideMark/>
          </w:tcPr>
          <w:p w14:paraId="3334756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The authors had none</w:t>
            </w:r>
          </w:p>
        </w:tc>
      </w:tr>
      <w:tr w:rsidR="00665F3D" w:rsidRPr="00365D94" w14:paraId="0F7A7DF5" w14:textId="77777777" w:rsidTr="00FF7987">
        <w:trPr>
          <w:trHeight w:val="290"/>
        </w:trPr>
        <w:tc>
          <w:tcPr>
            <w:tcW w:w="892" w:type="dxa"/>
            <w:noWrap/>
            <w:hideMark/>
          </w:tcPr>
          <w:p w14:paraId="3630020E"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Canciani</w:t>
            </w:r>
            <w:proofErr w:type="spellEnd"/>
            <w:r w:rsidRPr="00365D94">
              <w:rPr>
                <w:rFonts w:ascii="Times New Roman" w:hAnsi="Times New Roman"/>
                <w:sz w:val="16"/>
                <w:szCs w:val="16"/>
                <w:lang w:val="en-US"/>
              </w:rPr>
              <w:t xml:space="preserve"> et al 2014</w:t>
            </w:r>
          </w:p>
        </w:tc>
        <w:tc>
          <w:tcPr>
            <w:tcW w:w="741" w:type="dxa"/>
            <w:noWrap/>
            <w:hideMark/>
          </w:tcPr>
          <w:p w14:paraId="6ACB937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Italy</w:t>
            </w:r>
          </w:p>
        </w:tc>
        <w:tc>
          <w:tcPr>
            <w:tcW w:w="867" w:type="dxa"/>
            <w:noWrap/>
            <w:hideMark/>
          </w:tcPr>
          <w:p w14:paraId="1EE47DB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Not presented</w:t>
            </w:r>
          </w:p>
        </w:tc>
        <w:tc>
          <w:tcPr>
            <w:tcW w:w="945" w:type="dxa"/>
            <w:noWrap/>
            <w:hideMark/>
          </w:tcPr>
          <w:p w14:paraId="3EB8A94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Pediatric referral unit</w:t>
            </w:r>
          </w:p>
        </w:tc>
        <w:tc>
          <w:tcPr>
            <w:tcW w:w="892" w:type="dxa"/>
            <w:noWrap/>
            <w:hideMark/>
          </w:tcPr>
          <w:p w14:paraId="4D42FF0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Double</w:t>
            </w:r>
          </w:p>
        </w:tc>
        <w:tc>
          <w:tcPr>
            <w:tcW w:w="834" w:type="dxa"/>
            <w:noWrap/>
            <w:hideMark/>
          </w:tcPr>
          <w:p w14:paraId="1E3EA18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7 to 21 days</w:t>
            </w:r>
          </w:p>
        </w:tc>
        <w:tc>
          <w:tcPr>
            <w:tcW w:w="557" w:type="dxa"/>
            <w:noWrap/>
            <w:hideMark/>
          </w:tcPr>
          <w:p w14:paraId="63C6DCA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3-6 years</w:t>
            </w:r>
          </w:p>
        </w:tc>
        <w:tc>
          <w:tcPr>
            <w:tcW w:w="1785" w:type="dxa"/>
            <w:noWrap/>
            <w:hideMark/>
          </w:tcPr>
          <w:p w14:paraId="5F0AF59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for seven days and age</w:t>
            </w:r>
          </w:p>
        </w:tc>
        <w:tc>
          <w:tcPr>
            <w:tcW w:w="2268" w:type="dxa"/>
            <w:noWrap/>
            <w:hideMark/>
          </w:tcPr>
          <w:p w14:paraId="427D5BC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Not specified</w:t>
            </w:r>
          </w:p>
        </w:tc>
        <w:tc>
          <w:tcPr>
            <w:tcW w:w="1070" w:type="dxa"/>
            <w:noWrap/>
            <w:hideMark/>
          </w:tcPr>
          <w:p w14:paraId="5E37CA85"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Grintuss</w:t>
            </w:r>
            <w:proofErr w:type="spellEnd"/>
            <w:r w:rsidRPr="00365D94">
              <w:rPr>
                <w:rFonts w:ascii="Times New Roman" w:hAnsi="Times New Roman"/>
                <w:sz w:val="16"/>
                <w:szCs w:val="16"/>
                <w:lang w:val="en-US"/>
              </w:rPr>
              <w:t xml:space="preserve"> syrup (contains honey)</w:t>
            </w:r>
          </w:p>
        </w:tc>
        <w:tc>
          <w:tcPr>
            <w:tcW w:w="1447" w:type="dxa"/>
            <w:noWrap/>
            <w:hideMark/>
          </w:tcPr>
          <w:p w14:paraId="1D61449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placebo</w:t>
            </w:r>
          </w:p>
        </w:tc>
        <w:tc>
          <w:tcPr>
            <w:tcW w:w="892" w:type="dxa"/>
            <w:noWrap/>
            <w:hideMark/>
          </w:tcPr>
          <w:p w14:paraId="3791C48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8 days</w:t>
            </w:r>
          </w:p>
        </w:tc>
        <w:tc>
          <w:tcPr>
            <w:tcW w:w="1269" w:type="dxa"/>
            <w:noWrap/>
            <w:hideMark/>
          </w:tcPr>
          <w:p w14:paraId="6E2E31A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changes in the day- and night-time cough score</w:t>
            </w:r>
          </w:p>
        </w:tc>
        <w:tc>
          <w:tcPr>
            <w:tcW w:w="1012" w:type="dxa"/>
            <w:noWrap/>
            <w:hideMark/>
          </w:tcPr>
          <w:p w14:paraId="7D34E5F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Not reported</w:t>
            </w:r>
          </w:p>
        </w:tc>
        <w:tc>
          <w:tcPr>
            <w:tcW w:w="1070" w:type="dxa"/>
            <w:noWrap/>
            <w:hideMark/>
          </w:tcPr>
          <w:p w14:paraId="7166CAA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One author had connection to study medicine company</w:t>
            </w:r>
          </w:p>
        </w:tc>
      </w:tr>
      <w:tr w:rsidR="00665F3D" w:rsidRPr="00365D94" w14:paraId="50834BD5" w14:textId="77777777" w:rsidTr="00FF7987">
        <w:trPr>
          <w:trHeight w:val="290"/>
        </w:trPr>
        <w:tc>
          <w:tcPr>
            <w:tcW w:w="892" w:type="dxa"/>
            <w:noWrap/>
            <w:hideMark/>
          </w:tcPr>
          <w:p w14:paraId="693EE682"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Carnevali</w:t>
            </w:r>
            <w:proofErr w:type="spellEnd"/>
            <w:r w:rsidRPr="00365D94">
              <w:rPr>
                <w:rFonts w:ascii="Times New Roman" w:hAnsi="Times New Roman"/>
                <w:sz w:val="16"/>
                <w:szCs w:val="16"/>
                <w:lang w:val="en-US"/>
              </w:rPr>
              <w:t xml:space="preserve"> et al 2021</w:t>
            </w:r>
          </w:p>
        </w:tc>
        <w:tc>
          <w:tcPr>
            <w:tcW w:w="741" w:type="dxa"/>
            <w:noWrap/>
            <w:hideMark/>
          </w:tcPr>
          <w:p w14:paraId="2D1E068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Italy</w:t>
            </w:r>
          </w:p>
        </w:tc>
        <w:tc>
          <w:tcPr>
            <w:tcW w:w="867" w:type="dxa"/>
            <w:noWrap/>
            <w:hideMark/>
          </w:tcPr>
          <w:p w14:paraId="73EC77A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2019</w:t>
            </w:r>
          </w:p>
        </w:tc>
        <w:tc>
          <w:tcPr>
            <w:tcW w:w="945" w:type="dxa"/>
            <w:noWrap/>
            <w:hideMark/>
          </w:tcPr>
          <w:p w14:paraId="51B8088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Pediatric referral unit</w:t>
            </w:r>
          </w:p>
        </w:tc>
        <w:tc>
          <w:tcPr>
            <w:tcW w:w="892" w:type="dxa"/>
            <w:noWrap/>
            <w:hideMark/>
          </w:tcPr>
          <w:p w14:paraId="1C2B22F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Double</w:t>
            </w:r>
          </w:p>
        </w:tc>
        <w:tc>
          <w:tcPr>
            <w:tcW w:w="834" w:type="dxa"/>
            <w:noWrap/>
            <w:hideMark/>
          </w:tcPr>
          <w:p w14:paraId="3DEA33D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3 to 21 days</w:t>
            </w:r>
          </w:p>
        </w:tc>
        <w:tc>
          <w:tcPr>
            <w:tcW w:w="557" w:type="dxa"/>
            <w:noWrap/>
            <w:hideMark/>
          </w:tcPr>
          <w:p w14:paraId="5CD41A4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3-6 years</w:t>
            </w:r>
          </w:p>
        </w:tc>
        <w:tc>
          <w:tcPr>
            <w:tcW w:w="1785" w:type="dxa"/>
            <w:noWrap/>
            <w:hideMark/>
          </w:tcPr>
          <w:p w14:paraId="5000AE5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for three days and age</w:t>
            </w:r>
          </w:p>
        </w:tc>
        <w:tc>
          <w:tcPr>
            <w:tcW w:w="2268" w:type="dxa"/>
            <w:noWrap/>
            <w:hideMark/>
          </w:tcPr>
          <w:p w14:paraId="452E3C2B"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cough lasting more than 3 weeks, children with a history of obstructive pulmonary diseases, heart diseases, cystic fibrosis, diabetes, neurological diseases, and immunodeficiencies. </w:t>
            </w:r>
          </w:p>
        </w:tc>
        <w:tc>
          <w:tcPr>
            <w:tcW w:w="1070" w:type="dxa"/>
            <w:noWrap/>
            <w:hideMark/>
          </w:tcPr>
          <w:p w14:paraId="19C7064E"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KalobaTUSS</w:t>
            </w:r>
            <w:proofErr w:type="spellEnd"/>
            <w:r w:rsidRPr="00365D94">
              <w:rPr>
                <w:rFonts w:ascii="Times New Roman" w:hAnsi="Times New Roman"/>
                <w:sz w:val="16"/>
                <w:szCs w:val="16"/>
                <w:lang w:val="en-US"/>
              </w:rPr>
              <w:t xml:space="preserve"> syrup (contains honey)</w:t>
            </w:r>
          </w:p>
        </w:tc>
        <w:tc>
          <w:tcPr>
            <w:tcW w:w="1447" w:type="dxa"/>
            <w:noWrap/>
            <w:hideMark/>
          </w:tcPr>
          <w:p w14:paraId="0349992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placebo</w:t>
            </w:r>
          </w:p>
        </w:tc>
        <w:tc>
          <w:tcPr>
            <w:tcW w:w="892" w:type="dxa"/>
            <w:noWrap/>
            <w:hideMark/>
          </w:tcPr>
          <w:p w14:paraId="39855D9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8 days</w:t>
            </w:r>
          </w:p>
        </w:tc>
        <w:tc>
          <w:tcPr>
            <w:tcW w:w="1269" w:type="dxa"/>
            <w:noWrap/>
            <w:hideMark/>
          </w:tcPr>
          <w:p w14:paraId="4C63227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change in the night-time and day-time cough score  </w:t>
            </w:r>
          </w:p>
        </w:tc>
        <w:tc>
          <w:tcPr>
            <w:tcW w:w="1012" w:type="dxa"/>
            <w:noWrap/>
            <w:hideMark/>
          </w:tcPr>
          <w:p w14:paraId="122E5F8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None received</w:t>
            </w:r>
          </w:p>
        </w:tc>
        <w:tc>
          <w:tcPr>
            <w:tcW w:w="1070" w:type="dxa"/>
            <w:noWrap/>
            <w:hideMark/>
          </w:tcPr>
          <w:p w14:paraId="1813F3F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Four of the authors were employed by the company that produces the study medicine</w:t>
            </w:r>
          </w:p>
        </w:tc>
      </w:tr>
      <w:tr w:rsidR="00665F3D" w:rsidRPr="00365D94" w14:paraId="2401FC52" w14:textId="77777777" w:rsidTr="00FF7987">
        <w:trPr>
          <w:trHeight w:val="290"/>
        </w:trPr>
        <w:tc>
          <w:tcPr>
            <w:tcW w:w="892" w:type="dxa"/>
            <w:noWrap/>
            <w:hideMark/>
          </w:tcPr>
          <w:p w14:paraId="580102F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Cohen et al 2012</w:t>
            </w:r>
          </w:p>
        </w:tc>
        <w:tc>
          <w:tcPr>
            <w:tcW w:w="741" w:type="dxa"/>
            <w:noWrap/>
            <w:hideMark/>
          </w:tcPr>
          <w:p w14:paraId="39DACC37"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Israel</w:t>
            </w:r>
          </w:p>
        </w:tc>
        <w:tc>
          <w:tcPr>
            <w:tcW w:w="867" w:type="dxa"/>
            <w:noWrap/>
            <w:hideMark/>
          </w:tcPr>
          <w:p w14:paraId="19D92CB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2009</w:t>
            </w:r>
          </w:p>
        </w:tc>
        <w:tc>
          <w:tcPr>
            <w:tcW w:w="945" w:type="dxa"/>
            <w:noWrap/>
            <w:hideMark/>
          </w:tcPr>
          <w:p w14:paraId="3B94BD3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Pediatric community clinic</w:t>
            </w:r>
          </w:p>
        </w:tc>
        <w:tc>
          <w:tcPr>
            <w:tcW w:w="892" w:type="dxa"/>
            <w:noWrap/>
            <w:hideMark/>
          </w:tcPr>
          <w:p w14:paraId="542CFB2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Double</w:t>
            </w:r>
          </w:p>
        </w:tc>
        <w:tc>
          <w:tcPr>
            <w:tcW w:w="834" w:type="dxa"/>
            <w:noWrap/>
            <w:hideMark/>
          </w:tcPr>
          <w:p w14:paraId="5CAB8B7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&lt;7 days</w:t>
            </w:r>
          </w:p>
        </w:tc>
        <w:tc>
          <w:tcPr>
            <w:tcW w:w="557" w:type="dxa"/>
            <w:noWrap/>
            <w:hideMark/>
          </w:tcPr>
          <w:p w14:paraId="3C112F17"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1-5 years</w:t>
            </w:r>
          </w:p>
        </w:tc>
        <w:tc>
          <w:tcPr>
            <w:tcW w:w="1785" w:type="dxa"/>
            <w:noWrap/>
            <w:hideMark/>
          </w:tcPr>
          <w:p w14:paraId="7A48524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duration and age</w:t>
            </w:r>
          </w:p>
        </w:tc>
        <w:tc>
          <w:tcPr>
            <w:tcW w:w="2268" w:type="dxa"/>
            <w:noWrap/>
            <w:hideMark/>
          </w:tcPr>
          <w:p w14:paraId="438A691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signs or symptoms of asthma, pneumonia, laryngotracheobronchitis, sinusitis, and/or allergic rhinitis. Patients were also excluded if they had used any cough or cold medication or honey on the night before entering the study.</w:t>
            </w:r>
          </w:p>
        </w:tc>
        <w:tc>
          <w:tcPr>
            <w:tcW w:w="1070" w:type="dxa"/>
            <w:noWrap/>
            <w:hideMark/>
          </w:tcPr>
          <w:p w14:paraId="2FEE1017"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Honey</w:t>
            </w:r>
          </w:p>
        </w:tc>
        <w:tc>
          <w:tcPr>
            <w:tcW w:w="1447" w:type="dxa"/>
            <w:noWrap/>
            <w:hideMark/>
          </w:tcPr>
          <w:p w14:paraId="5AEC047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placebo</w:t>
            </w:r>
          </w:p>
        </w:tc>
        <w:tc>
          <w:tcPr>
            <w:tcW w:w="892" w:type="dxa"/>
            <w:noWrap/>
            <w:hideMark/>
          </w:tcPr>
          <w:p w14:paraId="2B7344D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one day</w:t>
            </w:r>
          </w:p>
        </w:tc>
        <w:tc>
          <w:tcPr>
            <w:tcW w:w="1269" w:type="dxa"/>
            <w:noWrap/>
            <w:hideMark/>
          </w:tcPr>
          <w:p w14:paraId="00247AC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frequency.</w:t>
            </w:r>
          </w:p>
        </w:tc>
        <w:tc>
          <w:tcPr>
            <w:tcW w:w="1012" w:type="dxa"/>
            <w:noWrap/>
            <w:hideMark/>
          </w:tcPr>
          <w:p w14:paraId="1287884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Israel Ambulatory Pediatric Association, Maternal Infant Nutrition Research Institute, Honey </w:t>
            </w:r>
            <w:r w:rsidRPr="00365D94">
              <w:rPr>
                <w:rFonts w:ascii="Times New Roman" w:hAnsi="Times New Roman"/>
                <w:sz w:val="16"/>
                <w:szCs w:val="16"/>
                <w:lang w:val="en-US"/>
              </w:rPr>
              <w:lastRenderedPageBreak/>
              <w:t>Board of Israel.</w:t>
            </w:r>
          </w:p>
        </w:tc>
        <w:tc>
          <w:tcPr>
            <w:tcW w:w="1070" w:type="dxa"/>
            <w:noWrap/>
            <w:hideMark/>
          </w:tcPr>
          <w:p w14:paraId="7484C18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lastRenderedPageBreak/>
              <w:t>The authors had none</w:t>
            </w:r>
          </w:p>
        </w:tc>
      </w:tr>
      <w:tr w:rsidR="00665F3D" w:rsidRPr="00365D94" w14:paraId="2AD0FD44" w14:textId="77777777" w:rsidTr="00FF7987">
        <w:trPr>
          <w:trHeight w:val="290"/>
        </w:trPr>
        <w:tc>
          <w:tcPr>
            <w:tcW w:w="892" w:type="dxa"/>
            <w:noWrap/>
            <w:hideMark/>
          </w:tcPr>
          <w:p w14:paraId="7B39A76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Cohen et al 2017</w:t>
            </w:r>
          </w:p>
        </w:tc>
        <w:tc>
          <w:tcPr>
            <w:tcW w:w="741" w:type="dxa"/>
            <w:noWrap/>
            <w:hideMark/>
          </w:tcPr>
          <w:p w14:paraId="6DD7536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Israel</w:t>
            </w:r>
          </w:p>
        </w:tc>
        <w:tc>
          <w:tcPr>
            <w:tcW w:w="867" w:type="dxa"/>
            <w:noWrap/>
            <w:hideMark/>
          </w:tcPr>
          <w:p w14:paraId="78A6CF4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2013-2014</w:t>
            </w:r>
          </w:p>
        </w:tc>
        <w:tc>
          <w:tcPr>
            <w:tcW w:w="945" w:type="dxa"/>
            <w:noWrap/>
            <w:hideMark/>
          </w:tcPr>
          <w:p w14:paraId="326BFB8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Pediatric community clinic</w:t>
            </w:r>
          </w:p>
        </w:tc>
        <w:tc>
          <w:tcPr>
            <w:tcW w:w="892" w:type="dxa"/>
            <w:noWrap/>
            <w:hideMark/>
          </w:tcPr>
          <w:p w14:paraId="739CCD7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Single</w:t>
            </w:r>
          </w:p>
        </w:tc>
        <w:tc>
          <w:tcPr>
            <w:tcW w:w="834" w:type="dxa"/>
            <w:noWrap/>
            <w:hideMark/>
          </w:tcPr>
          <w:p w14:paraId="6184531B"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&lt;7 days</w:t>
            </w:r>
          </w:p>
        </w:tc>
        <w:tc>
          <w:tcPr>
            <w:tcW w:w="557" w:type="dxa"/>
            <w:noWrap/>
            <w:hideMark/>
          </w:tcPr>
          <w:p w14:paraId="2C75283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2-5 years</w:t>
            </w:r>
          </w:p>
        </w:tc>
        <w:tc>
          <w:tcPr>
            <w:tcW w:w="1785" w:type="dxa"/>
            <w:noWrap/>
            <w:hideMark/>
          </w:tcPr>
          <w:p w14:paraId="2594DE6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duration and age</w:t>
            </w:r>
          </w:p>
        </w:tc>
        <w:tc>
          <w:tcPr>
            <w:tcW w:w="2268" w:type="dxa"/>
            <w:noWrap/>
            <w:hideMark/>
          </w:tcPr>
          <w:p w14:paraId="5B2440F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signs or symptoms of asthma, pneumonia, chronic cough, stridor or laryngotracheobronchitis, sinusitis, chronic cardiac or pulmonary condition, allergic rhinitis, or if they had used steroid treatment, antihistamines or any cough or cold medication or honey for 24 hours before presentation.</w:t>
            </w:r>
          </w:p>
        </w:tc>
        <w:tc>
          <w:tcPr>
            <w:tcW w:w="1070" w:type="dxa"/>
            <w:noWrap/>
            <w:hideMark/>
          </w:tcPr>
          <w:p w14:paraId="18DD7577"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Grintuss</w:t>
            </w:r>
            <w:proofErr w:type="spellEnd"/>
            <w:r w:rsidRPr="00365D94">
              <w:rPr>
                <w:rFonts w:ascii="Times New Roman" w:hAnsi="Times New Roman"/>
                <w:sz w:val="16"/>
                <w:szCs w:val="16"/>
                <w:lang w:val="en-US"/>
              </w:rPr>
              <w:t xml:space="preserve"> syrup (contains honey)</w:t>
            </w:r>
          </w:p>
        </w:tc>
        <w:tc>
          <w:tcPr>
            <w:tcW w:w="1447" w:type="dxa"/>
            <w:noWrap/>
            <w:hideMark/>
          </w:tcPr>
          <w:p w14:paraId="02F00404"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carbocysteine</w:t>
            </w:r>
            <w:proofErr w:type="spellEnd"/>
            <w:r w:rsidRPr="00365D94">
              <w:rPr>
                <w:rFonts w:ascii="Times New Roman" w:hAnsi="Times New Roman"/>
                <w:sz w:val="16"/>
                <w:szCs w:val="16"/>
                <w:lang w:val="en-US"/>
              </w:rPr>
              <w:t xml:space="preserve"> syrup</w:t>
            </w:r>
          </w:p>
        </w:tc>
        <w:tc>
          <w:tcPr>
            <w:tcW w:w="892" w:type="dxa"/>
            <w:noWrap/>
            <w:hideMark/>
          </w:tcPr>
          <w:p w14:paraId="4CD6C04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four days</w:t>
            </w:r>
          </w:p>
        </w:tc>
        <w:tc>
          <w:tcPr>
            <w:tcW w:w="1269" w:type="dxa"/>
            <w:noWrap/>
            <w:hideMark/>
          </w:tcPr>
          <w:p w14:paraId="659A5D4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frequency, cough severity, bothersome nature of the cough, and the children's and parents' sleep quality.</w:t>
            </w:r>
          </w:p>
        </w:tc>
        <w:tc>
          <w:tcPr>
            <w:tcW w:w="1012" w:type="dxa"/>
            <w:noWrap/>
            <w:hideMark/>
          </w:tcPr>
          <w:p w14:paraId="6DFA1BB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None received</w:t>
            </w:r>
          </w:p>
        </w:tc>
        <w:tc>
          <w:tcPr>
            <w:tcW w:w="1070" w:type="dxa"/>
            <w:noWrap/>
            <w:hideMark/>
          </w:tcPr>
          <w:p w14:paraId="2F0696B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The authors had none</w:t>
            </w:r>
          </w:p>
        </w:tc>
      </w:tr>
      <w:tr w:rsidR="00665F3D" w:rsidRPr="00365D94" w14:paraId="3BFB3BF8" w14:textId="77777777" w:rsidTr="00FF7987">
        <w:trPr>
          <w:trHeight w:val="290"/>
        </w:trPr>
        <w:tc>
          <w:tcPr>
            <w:tcW w:w="892" w:type="dxa"/>
            <w:noWrap/>
            <w:hideMark/>
          </w:tcPr>
          <w:p w14:paraId="2E90ED2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Miceli Sopo et al 2015</w:t>
            </w:r>
          </w:p>
        </w:tc>
        <w:tc>
          <w:tcPr>
            <w:tcW w:w="741" w:type="dxa"/>
            <w:noWrap/>
            <w:hideMark/>
          </w:tcPr>
          <w:p w14:paraId="08E7982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Italy</w:t>
            </w:r>
          </w:p>
        </w:tc>
        <w:tc>
          <w:tcPr>
            <w:tcW w:w="867" w:type="dxa"/>
            <w:noWrap/>
            <w:hideMark/>
          </w:tcPr>
          <w:p w14:paraId="37C53B4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2013</w:t>
            </w:r>
          </w:p>
        </w:tc>
        <w:tc>
          <w:tcPr>
            <w:tcW w:w="945" w:type="dxa"/>
            <w:noWrap/>
            <w:hideMark/>
          </w:tcPr>
          <w:p w14:paraId="2480F41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Primary care pediatric facilities</w:t>
            </w:r>
          </w:p>
        </w:tc>
        <w:tc>
          <w:tcPr>
            <w:tcW w:w="892" w:type="dxa"/>
            <w:noWrap/>
            <w:hideMark/>
          </w:tcPr>
          <w:p w14:paraId="02208DD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Unblinded</w:t>
            </w:r>
          </w:p>
        </w:tc>
        <w:tc>
          <w:tcPr>
            <w:tcW w:w="834" w:type="dxa"/>
            <w:noWrap/>
            <w:hideMark/>
          </w:tcPr>
          <w:p w14:paraId="35ED49A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&lt;8 days</w:t>
            </w:r>
          </w:p>
        </w:tc>
        <w:tc>
          <w:tcPr>
            <w:tcW w:w="557" w:type="dxa"/>
            <w:noWrap/>
            <w:hideMark/>
          </w:tcPr>
          <w:p w14:paraId="6B2EF3B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1-14 years</w:t>
            </w:r>
          </w:p>
        </w:tc>
        <w:tc>
          <w:tcPr>
            <w:tcW w:w="1785" w:type="dxa"/>
            <w:noWrap/>
            <w:hideMark/>
          </w:tcPr>
          <w:p w14:paraId="0347B95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duration and age</w:t>
            </w:r>
          </w:p>
        </w:tc>
        <w:tc>
          <w:tcPr>
            <w:tcW w:w="2268" w:type="dxa"/>
            <w:noWrap/>
            <w:hideMark/>
          </w:tcPr>
          <w:p w14:paraId="719E627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asthma, pneumonia, streptococcal tonsillitis, sinusitis, bronchitis, </w:t>
            </w:r>
            <w:proofErr w:type="spellStart"/>
            <w:r w:rsidRPr="00365D94">
              <w:rPr>
                <w:rFonts w:ascii="Times New Roman" w:hAnsi="Times New Roman"/>
                <w:sz w:val="16"/>
                <w:szCs w:val="16"/>
                <w:lang w:val="en-US"/>
              </w:rPr>
              <w:t>allergicrhinitis</w:t>
            </w:r>
            <w:proofErr w:type="spellEnd"/>
            <w:r w:rsidRPr="00365D94">
              <w:rPr>
                <w:rFonts w:ascii="Times New Roman" w:hAnsi="Times New Roman"/>
                <w:sz w:val="16"/>
                <w:szCs w:val="16"/>
                <w:lang w:val="en-US"/>
              </w:rPr>
              <w:t>; prior use of analgesic medications for cough over the counter products, oral antihistamines, cortisone, NSAIDs, or honey</w:t>
            </w:r>
          </w:p>
        </w:tc>
        <w:tc>
          <w:tcPr>
            <w:tcW w:w="1070" w:type="dxa"/>
            <w:noWrap/>
            <w:hideMark/>
          </w:tcPr>
          <w:p w14:paraId="64349F5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Honey</w:t>
            </w:r>
          </w:p>
        </w:tc>
        <w:tc>
          <w:tcPr>
            <w:tcW w:w="1447" w:type="dxa"/>
            <w:noWrap/>
            <w:hideMark/>
          </w:tcPr>
          <w:p w14:paraId="51D0AB6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dextromethorphan and </w:t>
            </w:r>
            <w:proofErr w:type="spellStart"/>
            <w:r w:rsidRPr="00365D94">
              <w:rPr>
                <w:rFonts w:ascii="Times New Roman" w:hAnsi="Times New Roman"/>
                <w:sz w:val="16"/>
                <w:szCs w:val="16"/>
                <w:lang w:val="en-US"/>
              </w:rPr>
              <w:t>levodropropizine</w:t>
            </w:r>
            <w:proofErr w:type="spellEnd"/>
          </w:p>
        </w:tc>
        <w:tc>
          <w:tcPr>
            <w:tcW w:w="892" w:type="dxa"/>
            <w:noWrap/>
            <w:hideMark/>
          </w:tcPr>
          <w:p w14:paraId="4D4DA65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3 days</w:t>
            </w:r>
          </w:p>
        </w:tc>
        <w:tc>
          <w:tcPr>
            <w:tcW w:w="1269" w:type="dxa"/>
            <w:noWrap/>
            <w:hideMark/>
          </w:tcPr>
          <w:p w14:paraId="36F2B8A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frequency and bothersome nature of cough</w:t>
            </w:r>
          </w:p>
        </w:tc>
        <w:tc>
          <w:tcPr>
            <w:tcW w:w="1012" w:type="dxa"/>
            <w:noWrap/>
            <w:hideMark/>
          </w:tcPr>
          <w:p w14:paraId="18A3049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None received</w:t>
            </w:r>
          </w:p>
        </w:tc>
        <w:tc>
          <w:tcPr>
            <w:tcW w:w="1070" w:type="dxa"/>
            <w:noWrap/>
            <w:hideMark/>
          </w:tcPr>
          <w:p w14:paraId="40F2C1A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The authors had none</w:t>
            </w:r>
          </w:p>
        </w:tc>
      </w:tr>
      <w:tr w:rsidR="00665F3D" w:rsidRPr="00365D94" w14:paraId="3C68501B" w14:textId="77777777" w:rsidTr="00FF7987">
        <w:trPr>
          <w:trHeight w:val="290"/>
        </w:trPr>
        <w:tc>
          <w:tcPr>
            <w:tcW w:w="892" w:type="dxa"/>
            <w:noWrap/>
            <w:hideMark/>
          </w:tcPr>
          <w:p w14:paraId="303863F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Nishimura et al 2022</w:t>
            </w:r>
          </w:p>
        </w:tc>
        <w:tc>
          <w:tcPr>
            <w:tcW w:w="741" w:type="dxa"/>
            <w:noWrap/>
            <w:hideMark/>
          </w:tcPr>
          <w:p w14:paraId="7E5F265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Japan</w:t>
            </w:r>
          </w:p>
        </w:tc>
        <w:tc>
          <w:tcPr>
            <w:tcW w:w="867" w:type="dxa"/>
            <w:noWrap/>
            <w:hideMark/>
          </w:tcPr>
          <w:p w14:paraId="234F836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2021-2022</w:t>
            </w:r>
          </w:p>
        </w:tc>
        <w:tc>
          <w:tcPr>
            <w:tcW w:w="945" w:type="dxa"/>
            <w:noWrap/>
            <w:hideMark/>
          </w:tcPr>
          <w:p w14:paraId="3C7089CA"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Pediatric community clinic</w:t>
            </w:r>
          </w:p>
        </w:tc>
        <w:tc>
          <w:tcPr>
            <w:tcW w:w="892" w:type="dxa"/>
            <w:noWrap/>
            <w:hideMark/>
          </w:tcPr>
          <w:p w14:paraId="4462EAE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double</w:t>
            </w:r>
          </w:p>
        </w:tc>
        <w:tc>
          <w:tcPr>
            <w:tcW w:w="834" w:type="dxa"/>
            <w:noWrap/>
            <w:hideMark/>
          </w:tcPr>
          <w:p w14:paraId="21DA04D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&lt;8 days</w:t>
            </w:r>
          </w:p>
        </w:tc>
        <w:tc>
          <w:tcPr>
            <w:tcW w:w="557" w:type="dxa"/>
            <w:noWrap/>
            <w:hideMark/>
          </w:tcPr>
          <w:p w14:paraId="43F9A2E6"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1-5 years</w:t>
            </w:r>
          </w:p>
        </w:tc>
        <w:tc>
          <w:tcPr>
            <w:tcW w:w="1785" w:type="dxa"/>
            <w:noWrap/>
            <w:hideMark/>
          </w:tcPr>
          <w:p w14:paraId="5AEB1AC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duration and age</w:t>
            </w:r>
          </w:p>
        </w:tc>
        <w:tc>
          <w:tcPr>
            <w:tcW w:w="2268" w:type="dxa"/>
            <w:noWrap/>
            <w:hideMark/>
          </w:tcPr>
          <w:p w14:paraId="086E701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asthma, croup or any other obvious </w:t>
            </w:r>
            <w:proofErr w:type="spellStart"/>
            <w:r w:rsidRPr="00365D94">
              <w:rPr>
                <w:rFonts w:ascii="Times New Roman" w:hAnsi="Times New Roman"/>
                <w:sz w:val="16"/>
                <w:szCs w:val="16"/>
                <w:lang w:val="en-US"/>
              </w:rPr>
              <w:t>dyspnoea</w:t>
            </w:r>
            <w:proofErr w:type="spellEnd"/>
            <w:r w:rsidRPr="00365D94">
              <w:rPr>
                <w:rFonts w:ascii="Times New Roman" w:hAnsi="Times New Roman"/>
                <w:sz w:val="16"/>
                <w:szCs w:val="16"/>
                <w:lang w:val="en-US"/>
              </w:rPr>
              <w:t xml:space="preserve"> or wheezing. Prior cough medication. Antimicrobial treatment.  COVID-19 positivity.</w:t>
            </w:r>
          </w:p>
        </w:tc>
        <w:tc>
          <w:tcPr>
            <w:tcW w:w="1070" w:type="dxa"/>
            <w:noWrap/>
            <w:hideMark/>
          </w:tcPr>
          <w:p w14:paraId="0FCE5C7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honey</w:t>
            </w:r>
          </w:p>
        </w:tc>
        <w:tc>
          <w:tcPr>
            <w:tcW w:w="1447" w:type="dxa"/>
            <w:noWrap/>
            <w:hideMark/>
          </w:tcPr>
          <w:p w14:paraId="7ABD6F8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placebo</w:t>
            </w:r>
          </w:p>
        </w:tc>
        <w:tc>
          <w:tcPr>
            <w:tcW w:w="892" w:type="dxa"/>
            <w:noWrap/>
            <w:hideMark/>
          </w:tcPr>
          <w:p w14:paraId="506D9B3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 days</w:t>
            </w:r>
          </w:p>
        </w:tc>
        <w:tc>
          <w:tcPr>
            <w:tcW w:w="1269" w:type="dxa"/>
            <w:noWrap/>
            <w:hideMark/>
          </w:tcPr>
          <w:p w14:paraId="17E9485B"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frequency, cough severity, bothersome nature of the cough,</w:t>
            </w:r>
          </w:p>
        </w:tc>
        <w:tc>
          <w:tcPr>
            <w:tcW w:w="1012" w:type="dxa"/>
            <w:noWrap/>
            <w:hideMark/>
          </w:tcPr>
          <w:p w14:paraId="6B8992B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None received</w:t>
            </w:r>
          </w:p>
        </w:tc>
        <w:tc>
          <w:tcPr>
            <w:tcW w:w="1070" w:type="dxa"/>
            <w:noWrap/>
            <w:hideMark/>
          </w:tcPr>
          <w:p w14:paraId="17CD5CA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The authors had none</w:t>
            </w:r>
          </w:p>
        </w:tc>
      </w:tr>
      <w:tr w:rsidR="00665F3D" w:rsidRPr="00365D94" w14:paraId="5EF39818" w14:textId="77777777" w:rsidTr="00FF7987">
        <w:trPr>
          <w:trHeight w:val="290"/>
        </w:trPr>
        <w:tc>
          <w:tcPr>
            <w:tcW w:w="892" w:type="dxa"/>
            <w:noWrap/>
            <w:hideMark/>
          </w:tcPr>
          <w:p w14:paraId="08D5E2B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Paul et al 2007</w:t>
            </w:r>
          </w:p>
        </w:tc>
        <w:tc>
          <w:tcPr>
            <w:tcW w:w="741" w:type="dxa"/>
            <w:noWrap/>
            <w:hideMark/>
          </w:tcPr>
          <w:p w14:paraId="106673B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USA</w:t>
            </w:r>
          </w:p>
        </w:tc>
        <w:tc>
          <w:tcPr>
            <w:tcW w:w="867" w:type="dxa"/>
            <w:noWrap/>
            <w:hideMark/>
          </w:tcPr>
          <w:p w14:paraId="457153D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2005-2006</w:t>
            </w:r>
          </w:p>
        </w:tc>
        <w:tc>
          <w:tcPr>
            <w:tcW w:w="945" w:type="dxa"/>
            <w:noWrap/>
            <w:hideMark/>
          </w:tcPr>
          <w:p w14:paraId="27AB748B"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General pediatric practice</w:t>
            </w:r>
          </w:p>
        </w:tc>
        <w:tc>
          <w:tcPr>
            <w:tcW w:w="892" w:type="dxa"/>
            <w:noWrap/>
            <w:hideMark/>
          </w:tcPr>
          <w:p w14:paraId="77A2CCD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Single</w:t>
            </w:r>
          </w:p>
        </w:tc>
        <w:tc>
          <w:tcPr>
            <w:tcW w:w="834" w:type="dxa"/>
            <w:noWrap/>
            <w:hideMark/>
          </w:tcPr>
          <w:p w14:paraId="3B9A285B"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&lt;8 days</w:t>
            </w:r>
          </w:p>
        </w:tc>
        <w:tc>
          <w:tcPr>
            <w:tcW w:w="557" w:type="dxa"/>
            <w:noWrap/>
            <w:hideMark/>
          </w:tcPr>
          <w:p w14:paraId="240AFE7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2-18 years</w:t>
            </w:r>
          </w:p>
        </w:tc>
        <w:tc>
          <w:tcPr>
            <w:tcW w:w="1785" w:type="dxa"/>
            <w:noWrap/>
            <w:hideMark/>
          </w:tcPr>
          <w:p w14:paraId="54D0885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presence of rhinorrhea and cough for 7 or fewer days’ duration. Other symptoms may have included but were not limited to congestion, fever, sore throat, myalgias, and headache.</w:t>
            </w:r>
          </w:p>
        </w:tc>
        <w:tc>
          <w:tcPr>
            <w:tcW w:w="2268" w:type="dxa"/>
            <w:noWrap/>
            <w:hideMark/>
          </w:tcPr>
          <w:p w14:paraId="5F0BA0D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asthma, pneumonia, laryngotracheobronchitis, sinusitis, allergic rhinitis). They were also ineligible when they had a history of reactive airways disease, asthma, or chronic lung disease. Subjects were also excluded if on the prior use of medication.</w:t>
            </w:r>
          </w:p>
        </w:tc>
        <w:tc>
          <w:tcPr>
            <w:tcW w:w="1070" w:type="dxa"/>
            <w:noWrap/>
            <w:hideMark/>
          </w:tcPr>
          <w:p w14:paraId="5C2712A7"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Honey</w:t>
            </w:r>
          </w:p>
        </w:tc>
        <w:tc>
          <w:tcPr>
            <w:tcW w:w="1447" w:type="dxa"/>
            <w:noWrap/>
            <w:hideMark/>
          </w:tcPr>
          <w:p w14:paraId="62037EB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 treatment or dextromethorphan</w:t>
            </w:r>
          </w:p>
        </w:tc>
        <w:tc>
          <w:tcPr>
            <w:tcW w:w="892" w:type="dxa"/>
            <w:noWrap/>
            <w:hideMark/>
          </w:tcPr>
          <w:p w14:paraId="3B21EBFB"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one day</w:t>
            </w:r>
          </w:p>
        </w:tc>
        <w:tc>
          <w:tcPr>
            <w:tcW w:w="1269" w:type="dxa"/>
            <w:noWrap/>
            <w:hideMark/>
          </w:tcPr>
          <w:p w14:paraId="1F66D56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frequency, cough severity, bothersome nature of cough, and child and parent sleep quality.</w:t>
            </w:r>
          </w:p>
        </w:tc>
        <w:tc>
          <w:tcPr>
            <w:tcW w:w="1012" w:type="dxa"/>
            <w:noWrap/>
            <w:hideMark/>
          </w:tcPr>
          <w:p w14:paraId="471676E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National Honey Board, an industry-funded agency of the US Department of Agriculture.</w:t>
            </w:r>
          </w:p>
        </w:tc>
        <w:tc>
          <w:tcPr>
            <w:tcW w:w="1070" w:type="dxa"/>
            <w:noWrap/>
            <w:hideMark/>
          </w:tcPr>
          <w:p w14:paraId="43DBB676"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One author had been a consultant to the Consumer Healthcare Products Association and McNeil Consumer Healthcare.</w:t>
            </w:r>
          </w:p>
        </w:tc>
      </w:tr>
      <w:tr w:rsidR="00665F3D" w:rsidRPr="00365D94" w14:paraId="5C47F079" w14:textId="77777777" w:rsidTr="00FF7987">
        <w:trPr>
          <w:trHeight w:val="290"/>
        </w:trPr>
        <w:tc>
          <w:tcPr>
            <w:tcW w:w="892" w:type="dxa"/>
            <w:noWrap/>
            <w:hideMark/>
          </w:tcPr>
          <w:p w14:paraId="421EB8A5"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lastRenderedPageBreak/>
              <w:t>Shadkam</w:t>
            </w:r>
            <w:proofErr w:type="spellEnd"/>
            <w:r w:rsidRPr="00365D94">
              <w:rPr>
                <w:rFonts w:ascii="Times New Roman" w:hAnsi="Times New Roman"/>
                <w:sz w:val="16"/>
                <w:szCs w:val="16"/>
                <w:lang w:val="en-US"/>
              </w:rPr>
              <w:t xml:space="preserve"> et al 2010</w:t>
            </w:r>
          </w:p>
        </w:tc>
        <w:tc>
          <w:tcPr>
            <w:tcW w:w="741" w:type="dxa"/>
            <w:noWrap/>
            <w:hideMark/>
          </w:tcPr>
          <w:p w14:paraId="2F9E694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Iran</w:t>
            </w:r>
          </w:p>
        </w:tc>
        <w:tc>
          <w:tcPr>
            <w:tcW w:w="867" w:type="dxa"/>
            <w:noWrap/>
            <w:hideMark/>
          </w:tcPr>
          <w:p w14:paraId="6B3ACD9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2008-2009</w:t>
            </w:r>
          </w:p>
        </w:tc>
        <w:tc>
          <w:tcPr>
            <w:tcW w:w="945" w:type="dxa"/>
            <w:noWrap/>
            <w:hideMark/>
          </w:tcPr>
          <w:p w14:paraId="49EE2E8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Not specified</w:t>
            </w:r>
          </w:p>
        </w:tc>
        <w:tc>
          <w:tcPr>
            <w:tcW w:w="892" w:type="dxa"/>
            <w:noWrap/>
            <w:hideMark/>
          </w:tcPr>
          <w:p w14:paraId="517B3FD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Unblinded</w:t>
            </w:r>
          </w:p>
        </w:tc>
        <w:tc>
          <w:tcPr>
            <w:tcW w:w="834" w:type="dxa"/>
            <w:noWrap/>
            <w:hideMark/>
          </w:tcPr>
          <w:p w14:paraId="004C01CE"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&gt;4 days</w:t>
            </w:r>
          </w:p>
        </w:tc>
        <w:tc>
          <w:tcPr>
            <w:tcW w:w="557" w:type="dxa"/>
            <w:noWrap/>
            <w:hideMark/>
          </w:tcPr>
          <w:p w14:paraId="7EEDFD3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2-5 years</w:t>
            </w:r>
          </w:p>
        </w:tc>
        <w:tc>
          <w:tcPr>
            <w:tcW w:w="1785" w:type="dxa"/>
            <w:noWrap/>
            <w:hideMark/>
          </w:tcPr>
          <w:p w14:paraId="0B1949AF"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rhinorrhea, sneeze, sore throat, and stuffed nose. Their coughing had lasted 5 days.</w:t>
            </w:r>
          </w:p>
        </w:tc>
        <w:tc>
          <w:tcPr>
            <w:tcW w:w="2268" w:type="dxa"/>
            <w:noWrap/>
            <w:hideMark/>
          </w:tcPr>
          <w:p w14:paraId="642C80B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asthma, pneumonia, laryngotracheobronchitis, sinusitis, allergic rhinitis, chronic lung disease, congenital heart disease, malignancy, and diabetes. Prior use of cough medication. Parental use of sedative medication. </w:t>
            </w:r>
          </w:p>
        </w:tc>
        <w:tc>
          <w:tcPr>
            <w:tcW w:w="1070" w:type="dxa"/>
            <w:noWrap/>
            <w:hideMark/>
          </w:tcPr>
          <w:p w14:paraId="1A53950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Honey</w:t>
            </w:r>
          </w:p>
        </w:tc>
        <w:tc>
          <w:tcPr>
            <w:tcW w:w="1447" w:type="dxa"/>
            <w:noWrap/>
            <w:hideMark/>
          </w:tcPr>
          <w:p w14:paraId="1389C4A7"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Dextromethorphan or Diphenhydramine or nothing</w:t>
            </w:r>
          </w:p>
        </w:tc>
        <w:tc>
          <w:tcPr>
            <w:tcW w:w="892" w:type="dxa"/>
            <w:noWrap/>
            <w:hideMark/>
          </w:tcPr>
          <w:p w14:paraId="274A059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one day</w:t>
            </w:r>
          </w:p>
        </w:tc>
        <w:tc>
          <w:tcPr>
            <w:tcW w:w="1269" w:type="dxa"/>
            <w:noWrap/>
            <w:hideMark/>
          </w:tcPr>
          <w:p w14:paraId="5DC58AA2"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frequency, cough severity, and sleep quality in children and their parents</w:t>
            </w:r>
          </w:p>
        </w:tc>
        <w:tc>
          <w:tcPr>
            <w:tcW w:w="1012" w:type="dxa"/>
            <w:noWrap/>
            <w:hideMark/>
          </w:tcPr>
          <w:p w14:paraId="7E6450B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University funded</w:t>
            </w:r>
          </w:p>
        </w:tc>
        <w:tc>
          <w:tcPr>
            <w:tcW w:w="1070" w:type="dxa"/>
            <w:noWrap/>
            <w:hideMark/>
          </w:tcPr>
          <w:p w14:paraId="6978D9C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The authors had none</w:t>
            </w:r>
          </w:p>
        </w:tc>
      </w:tr>
      <w:tr w:rsidR="00665F3D" w:rsidRPr="00365D94" w14:paraId="57D29D9E" w14:textId="77777777" w:rsidTr="00FF7987">
        <w:trPr>
          <w:trHeight w:val="290"/>
        </w:trPr>
        <w:tc>
          <w:tcPr>
            <w:tcW w:w="892" w:type="dxa"/>
            <w:noWrap/>
            <w:hideMark/>
          </w:tcPr>
          <w:p w14:paraId="4EE146D8" w14:textId="77777777" w:rsidR="00665F3D" w:rsidRPr="00365D94" w:rsidRDefault="00665F3D" w:rsidP="00FF7987">
            <w:pPr>
              <w:rPr>
                <w:rFonts w:ascii="Times New Roman" w:hAnsi="Times New Roman"/>
                <w:sz w:val="16"/>
                <w:szCs w:val="16"/>
                <w:lang w:val="en-US"/>
              </w:rPr>
            </w:pPr>
            <w:proofErr w:type="spellStart"/>
            <w:r w:rsidRPr="00365D94">
              <w:rPr>
                <w:rFonts w:ascii="Times New Roman" w:hAnsi="Times New Roman"/>
                <w:sz w:val="16"/>
                <w:szCs w:val="16"/>
                <w:lang w:val="en-US"/>
              </w:rPr>
              <w:t>Waris</w:t>
            </w:r>
            <w:proofErr w:type="spellEnd"/>
            <w:r w:rsidRPr="00365D94">
              <w:rPr>
                <w:rFonts w:ascii="Times New Roman" w:hAnsi="Times New Roman"/>
                <w:sz w:val="16"/>
                <w:szCs w:val="16"/>
                <w:lang w:val="en-US"/>
              </w:rPr>
              <w:t xml:space="preserve"> et al 2014</w:t>
            </w:r>
          </w:p>
        </w:tc>
        <w:tc>
          <w:tcPr>
            <w:tcW w:w="741" w:type="dxa"/>
            <w:noWrap/>
            <w:hideMark/>
          </w:tcPr>
          <w:p w14:paraId="3367B41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Kenya</w:t>
            </w:r>
          </w:p>
        </w:tc>
        <w:tc>
          <w:tcPr>
            <w:tcW w:w="867" w:type="dxa"/>
            <w:noWrap/>
            <w:hideMark/>
          </w:tcPr>
          <w:p w14:paraId="2C74DE94"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2010-2012</w:t>
            </w:r>
          </w:p>
        </w:tc>
        <w:tc>
          <w:tcPr>
            <w:tcW w:w="945" w:type="dxa"/>
            <w:noWrap/>
            <w:hideMark/>
          </w:tcPr>
          <w:p w14:paraId="1A8B8FC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University hospital pediatric clinic</w:t>
            </w:r>
          </w:p>
        </w:tc>
        <w:tc>
          <w:tcPr>
            <w:tcW w:w="892" w:type="dxa"/>
            <w:noWrap/>
            <w:hideMark/>
          </w:tcPr>
          <w:p w14:paraId="7717D873"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Double</w:t>
            </w:r>
          </w:p>
        </w:tc>
        <w:tc>
          <w:tcPr>
            <w:tcW w:w="834" w:type="dxa"/>
            <w:noWrap/>
            <w:hideMark/>
          </w:tcPr>
          <w:p w14:paraId="68D7AA16"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Not specified, acute</w:t>
            </w:r>
          </w:p>
        </w:tc>
        <w:tc>
          <w:tcPr>
            <w:tcW w:w="557" w:type="dxa"/>
            <w:noWrap/>
            <w:hideMark/>
          </w:tcPr>
          <w:p w14:paraId="34A5070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1-12 years</w:t>
            </w:r>
          </w:p>
        </w:tc>
        <w:tc>
          <w:tcPr>
            <w:tcW w:w="1785" w:type="dxa"/>
            <w:noWrap/>
            <w:hideMark/>
          </w:tcPr>
          <w:p w14:paraId="3A0A7240"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acute upper respiratory tract infection</w:t>
            </w:r>
          </w:p>
        </w:tc>
        <w:tc>
          <w:tcPr>
            <w:tcW w:w="2268" w:type="dxa"/>
            <w:noWrap/>
            <w:hideMark/>
          </w:tcPr>
          <w:p w14:paraId="3DCDE6A1"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 xml:space="preserve">prior use (48 hours) of any cough mixture, study agents, oral </w:t>
            </w:r>
            <w:proofErr w:type="gramStart"/>
            <w:r w:rsidRPr="00365D94">
              <w:rPr>
                <w:rFonts w:ascii="Times New Roman" w:hAnsi="Times New Roman"/>
                <w:sz w:val="16"/>
                <w:szCs w:val="16"/>
                <w:lang w:val="en-US"/>
              </w:rPr>
              <w:t>anti-histamines</w:t>
            </w:r>
            <w:proofErr w:type="gramEnd"/>
            <w:r w:rsidRPr="00365D94">
              <w:rPr>
                <w:rFonts w:ascii="Times New Roman" w:hAnsi="Times New Roman"/>
                <w:sz w:val="16"/>
                <w:szCs w:val="16"/>
                <w:lang w:val="en-US"/>
              </w:rPr>
              <w:t xml:space="preserve">, nasal decongestants, steroids or anti-biotics. Atopy, </w:t>
            </w:r>
            <w:proofErr w:type="gramStart"/>
            <w:r w:rsidRPr="00365D94">
              <w:rPr>
                <w:rFonts w:ascii="Times New Roman" w:hAnsi="Times New Roman"/>
                <w:sz w:val="16"/>
                <w:szCs w:val="16"/>
                <w:lang w:val="en-US"/>
              </w:rPr>
              <w:t>asthma</w:t>
            </w:r>
            <w:proofErr w:type="gramEnd"/>
            <w:r w:rsidRPr="00365D94">
              <w:rPr>
                <w:rFonts w:ascii="Times New Roman" w:hAnsi="Times New Roman"/>
                <w:sz w:val="16"/>
                <w:szCs w:val="16"/>
                <w:lang w:val="en-US"/>
              </w:rPr>
              <w:t xml:space="preserve"> or any chronic lung disease. Hospitalization for lower respiratory tract infection in the past six months.</w:t>
            </w:r>
          </w:p>
        </w:tc>
        <w:tc>
          <w:tcPr>
            <w:tcW w:w="1070" w:type="dxa"/>
            <w:noWrap/>
            <w:hideMark/>
          </w:tcPr>
          <w:p w14:paraId="1F157F1D"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Honey</w:t>
            </w:r>
          </w:p>
        </w:tc>
        <w:tc>
          <w:tcPr>
            <w:tcW w:w="1447" w:type="dxa"/>
            <w:noWrap/>
            <w:hideMark/>
          </w:tcPr>
          <w:p w14:paraId="16BA4019"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Placebo or salbutamol</w:t>
            </w:r>
          </w:p>
        </w:tc>
        <w:tc>
          <w:tcPr>
            <w:tcW w:w="892" w:type="dxa"/>
            <w:noWrap/>
            <w:hideMark/>
          </w:tcPr>
          <w:p w14:paraId="0239BA48"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five days</w:t>
            </w:r>
          </w:p>
        </w:tc>
        <w:tc>
          <w:tcPr>
            <w:tcW w:w="1269" w:type="dxa"/>
            <w:noWrap/>
          </w:tcPr>
          <w:p w14:paraId="7BABFC4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cough frequency, cough severity, and sleep quality in children and their parents</w:t>
            </w:r>
          </w:p>
        </w:tc>
        <w:tc>
          <w:tcPr>
            <w:tcW w:w="1012" w:type="dxa"/>
            <w:noWrap/>
            <w:hideMark/>
          </w:tcPr>
          <w:p w14:paraId="0FFAECE5"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Not reported</w:t>
            </w:r>
          </w:p>
        </w:tc>
        <w:tc>
          <w:tcPr>
            <w:tcW w:w="1070" w:type="dxa"/>
            <w:noWrap/>
            <w:hideMark/>
          </w:tcPr>
          <w:p w14:paraId="285ECC5C" w14:textId="77777777" w:rsidR="00665F3D" w:rsidRPr="00365D94" w:rsidRDefault="00665F3D" w:rsidP="00FF7987">
            <w:pPr>
              <w:rPr>
                <w:rFonts w:ascii="Times New Roman" w:hAnsi="Times New Roman"/>
                <w:sz w:val="16"/>
                <w:szCs w:val="16"/>
                <w:lang w:val="en-US"/>
              </w:rPr>
            </w:pPr>
            <w:r w:rsidRPr="00365D94">
              <w:rPr>
                <w:rFonts w:ascii="Times New Roman" w:hAnsi="Times New Roman"/>
                <w:sz w:val="16"/>
                <w:szCs w:val="16"/>
                <w:lang w:val="en-US"/>
              </w:rPr>
              <w:t>Not reported</w:t>
            </w:r>
          </w:p>
        </w:tc>
      </w:tr>
    </w:tbl>
    <w:p w14:paraId="45F59914" w14:textId="77777777" w:rsidR="00665F3D" w:rsidRPr="00365D94" w:rsidRDefault="00665F3D" w:rsidP="00665F3D">
      <w:pPr>
        <w:rPr>
          <w:rFonts w:ascii="Times New Roman" w:hAnsi="Times New Roman"/>
          <w:sz w:val="16"/>
          <w:szCs w:val="16"/>
          <w:lang w:val="en-US"/>
        </w:rPr>
      </w:pPr>
    </w:p>
    <w:p w14:paraId="7BE77D11" w14:textId="77777777" w:rsidR="0023395E" w:rsidRDefault="0023395E"/>
    <w:sectPr w:rsidR="0023395E" w:rsidSect="00665F3D">
      <w:pgSz w:w="16838" w:h="11906" w:orient="landscape"/>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3D"/>
    <w:rsid w:val="001378ED"/>
    <w:rsid w:val="00147D2E"/>
    <w:rsid w:val="00186D37"/>
    <w:rsid w:val="00190DFA"/>
    <w:rsid w:val="001D6213"/>
    <w:rsid w:val="0023395E"/>
    <w:rsid w:val="0024422B"/>
    <w:rsid w:val="002C4579"/>
    <w:rsid w:val="00325C10"/>
    <w:rsid w:val="00340FBF"/>
    <w:rsid w:val="003C4EC1"/>
    <w:rsid w:val="003F0F61"/>
    <w:rsid w:val="004C66D6"/>
    <w:rsid w:val="005E0B5E"/>
    <w:rsid w:val="005E6822"/>
    <w:rsid w:val="00635B06"/>
    <w:rsid w:val="00636AE5"/>
    <w:rsid w:val="00644E9C"/>
    <w:rsid w:val="00665F3D"/>
    <w:rsid w:val="006A7A5A"/>
    <w:rsid w:val="006C6C1F"/>
    <w:rsid w:val="007208D9"/>
    <w:rsid w:val="00851EC3"/>
    <w:rsid w:val="008708ED"/>
    <w:rsid w:val="008C46E5"/>
    <w:rsid w:val="00905B40"/>
    <w:rsid w:val="00925910"/>
    <w:rsid w:val="00AC3D03"/>
    <w:rsid w:val="00AE5C8D"/>
    <w:rsid w:val="00B1424D"/>
    <w:rsid w:val="00B37A43"/>
    <w:rsid w:val="00B5057F"/>
    <w:rsid w:val="00B66C4A"/>
    <w:rsid w:val="00B744D0"/>
    <w:rsid w:val="00B85B0B"/>
    <w:rsid w:val="00C20E23"/>
    <w:rsid w:val="00C33ED0"/>
    <w:rsid w:val="00C6052A"/>
    <w:rsid w:val="00D23639"/>
    <w:rsid w:val="00D25E9C"/>
    <w:rsid w:val="00D43D46"/>
    <w:rsid w:val="00D554BD"/>
    <w:rsid w:val="00D8733B"/>
    <w:rsid w:val="00DD36C7"/>
    <w:rsid w:val="00E33BD5"/>
    <w:rsid w:val="00E50123"/>
    <w:rsid w:val="00EB4FDC"/>
    <w:rsid w:val="00EE75C3"/>
    <w:rsid w:val="00F31F14"/>
    <w:rsid w:val="00F7671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7ED0F"/>
  <w15:chartTrackingRefBased/>
  <w15:docId w15:val="{4035C932-469C-4447-954F-5C0DC977E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65F3D"/>
    <w:pPr>
      <w:spacing w:after="200" w:line="276" w:lineRule="auto"/>
    </w:pPr>
    <w:rPr>
      <w:rFonts w:ascii="Calibri" w:eastAsia="Calibri" w:hAnsi="Calibri" w:cs="Times New Roman"/>
      <w:lang w:val="de-CH"/>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styleId="TaulukkoRuudukko">
    <w:name w:val="Table Grid"/>
    <w:basedOn w:val="Normaalitaulukko"/>
    <w:uiPriority w:val="39"/>
    <w:rsid w:val="00665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628</Words>
  <Characters>5087</Characters>
  <Application>Microsoft Office Word</Application>
  <DocSecurity>0</DocSecurity>
  <Lines>42</Lines>
  <Paragraphs>11</Paragraphs>
  <ScaleCrop>false</ScaleCrop>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 Kuitunen</dc:creator>
  <cp:keywords/>
  <dc:description/>
  <cp:lastModifiedBy>Ilari Kuitunen</cp:lastModifiedBy>
  <cp:revision>1</cp:revision>
  <dcterms:created xsi:type="dcterms:W3CDTF">2022-11-21T20:28:00Z</dcterms:created>
  <dcterms:modified xsi:type="dcterms:W3CDTF">2022-11-21T20:29:00Z</dcterms:modified>
</cp:coreProperties>
</file>