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pPr>
      <w:r>
        <w:drawing>
          <wp:inline distT="0" distB="0" distL="114300" distR="114300">
            <wp:extent cx="5134610" cy="558800"/>
            <wp:effectExtent l="0" t="0" r="21590" b="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4"/>
                    <a:stretch>
                      <a:fillRect/>
                    </a:stretch>
                  </pic:blipFill>
                  <pic:spPr>
                    <a:xfrm>
                      <a:off x="0" y="0"/>
                      <a:ext cx="5134610" cy="558800"/>
                    </a:xfrm>
                    <a:prstGeom prst="rect">
                      <a:avLst/>
                    </a:prstGeom>
                    <a:noFill/>
                    <a:ln>
                      <a:noFill/>
                    </a:ln>
                  </pic:spPr>
                </pic:pic>
              </a:graphicData>
            </a:graphic>
          </wp:inline>
        </w:drawing>
      </w:r>
    </w:p>
    <w:p>
      <w:pPr>
        <w:jc w:val="both"/>
        <w:rPr>
          <w:rFonts w:hint="eastAsia"/>
          <w:lang w:val="en-US" w:eastAsia="zh-CN"/>
        </w:rPr>
      </w:pPr>
    </w:p>
    <w:p>
      <w:pPr>
        <w:jc w:val="both"/>
        <w:rPr>
          <w:rFonts w:hint="eastAsia" w:eastAsiaTheme="minorEastAsia"/>
          <w:b w:val="0"/>
          <w:bCs w:val="0"/>
          <w:lang w:val="en-US" w:eastAsia="zh-CN"/>
        </w:rPr>
      </w:pPr>
      <w:bookmarkStart w:id="0" w:name="_GoBack"/>
      <w:r>
        <w:rPr>
          <w:rFonts w:hint="default"/>
          <w:b/>
          <w:bCs/>
          <w:lang w:val="en-US"/>
        </w:rPr>
        <w:t>Supplementary Fig</w:t>
      </w:r>
      <w:bookmarkEnd w:id="0"/>
      <w:r>
        <w:rPr>
          <w:rFonts w:hint="default"/>
          <w:b/>
          <w:bCs/>
          <w:lang w:val="en-US"/>
        </w:rPr>
        <w:t>.1</w:t>
      </w:r>
      <w:r>
        <w:rPr>
          <w:rFonts w:hint="default"/>
          <w:lang w:val="en-US"/>
        </w:rPr>
        <w:t xml:space="preserve"> </w:t>
      </w:r>
      <w:r>
        <w:rPr>
          <w:rFonts w:hint="eastAsia" w:eastAsiaTheme="minorEastAsia"/>
          <w:b/>
          <w:bCs/>
          <w:lang w:val="en-US" w:eastAsia="zh-CN"/>
        </w:rPr>
        <w:t>Patients with Kabuki syndrome</w:t>
      </w:r>
      <w:r>
        <w:rPr>
          <w:rFonts w:hint="default"/>
          <w:b/>
          <w:bCs/>
          <w:lang w:val="en-US" w:eastAsia="zh-CN"/>
        </w:rPr>
        <w:t xml:space="preserve"> </w:t>
      </w:r>
      <w:r>
        <w:rPr>
          <w:rFonts w:hint="default"/>
          <w:b/>
          <w:bCs/>
          <w:lang w:val="en-US"/>
        </w:rPr>
        <w:t xml:space="preserve">(KS) </w:t>
      </w:r>
      <w:r>
        <w:rPr>
          <w:rFonts w:hint="eastAsia" w:eastAsiaTheme="minorEastAsia"/>
          <w:b/>
          <w:bCs/>
          <w:lang w:val="en-US" w:eastAsia="zh-CN"/>
        </w:rPr>
        <w:t xml:space="preserve">exhibited heterogeneity in their facial characteristics. </w:t>
      </w:r>
      <w:r>
        <w:rPr>
          <w:rFonts w:hint="eastAsia"/>
          <w:b w:val="0"/>
          <w:bCs w:val="0"/>
          <w:lang w:val="en-US" w:eastAsia="zh-CN"/>
        </w:rPr>
        <w:t>M</w:t>
      </w:r>
      <w:r>
        <w:rPr>
          <w:rFonts w:hint="eastAsia" w:eastAsiaTheme="minorEastAsia"/>
          <w:b w:val="0"/>
          <w:bCs w:val="0"/>
          <w:lang w:val="en-US" w:eastAsia="zh-CN"/>
        </w:rPr>
        <w:t xml:space="preserve">ajority of patients had long palpebral fissures and large, prominent ears, as well as </w:t>
      </w:r>
      <w:r>
        <w:rPr>
          <w:rFonts w:hint="default"/>
          <w:b w:val="0"/>
          <w:bCs w:val="0"/>
          <w:lang w:val="en-US" w:eastAsia="zh-CN"/>
        </w:rPr>
        <w:t>s</w:t>
      </w:r>
      <w:r>
        <w:rPr>
          <w:rFonts w:hint="eastAsia" w:eastAsiaTheme="minorEastAsia"/>
          <w:b w:val="0"/>
          <w:bCs w:val="0"/>
          <w:lang w:val="en-US" w:eastAsia="zh-CN"/>
        </w:rPr>
        <w:t>hort columella with depressed nasal tip. However, in some patients, the eyebrows did not conform to the typical KS characteristics, as they were not arched and did not have sparsity or absence of the lateral eyebrows.</w:t>
      </w:r>
    </w:p>
    <w:p>
      <w:pPr>
        <w:rPr>
          <w:rFonts w:hint="eastAsia" w:eastAsiaTheme="minorEastAsia"/>
          <w:b w:val="0"/>
          <w:bCs w:val="0"/>
          <w:lang w:val="en-US" w:eastAsia="zh-CN"/>
        </w:rPr>
      </w:pPr>
      <w:r>
        <w:rPr>
          <w:rFonts w:hint="eastAsia" w:eastAsiaTheme="minorEastAsia"/>
          <w:b w:val="0"/>
          <w:bCs w:val="0"/>
          <w:lang w:val="en-US" w:eastAsia="zh-CN"/>
        </w:rPr>
        <w:br w:type="page"/>
      </w:r>
    </w:p>
    <w:p>
      <w:pPr>
        <w:jc w:val="both"/>
        <w:rPr>
          <w:rFonts w:hint="eastAsia" w:eastAsiaTheme="minorEastAsia"/>
          <w:b w:val="0"/>
          <w:bCs w:val="0"/>
          <w:lang w:val="en-US" w:eastAsia="zh-CN"/>
        </w:rPr>
        <w:sectPr>
          <w:pgSz w:w="11906" w:h="16838"/>
          <w:pgMar w:top="1440" w:right="1800" w:bottom="1440" w:left="1800" w:header="851" w:footer="992" w:gutter="0"/>
          <w:cols w:space="425" w:num="1"/>
          <w:docGrid w:type="lines" w:linePitch="312" w:charSpace="0"/>
        </w:sectPr>
      </w:pPr>
    </w:p>
    <w:p>
      <w:pPr>
        <w:widowControl/>
        <w:jc w:val="left"/>
        <w:rPr>
          <w:rFonts w:ascii="Times New Roman Bold" w:hAnsi="Times New Roman Bold" w:cs="Times New Roman Bold"/>
          <w:b/>
          <w:bCs/>
          <w:highlight w:val="none"/>
        </w:rPr>
      </w:pPr>
      <w:r>
        <w:rPr>
          <w:rFonts w:ascii="Times New Roman Bold" w:hAnsi="Times New Roman Bold" w:cs="Times New Roman Bold"/>
          <w:b/>
          <w:bCs/>
          <w:highlight w:val="none"/>
        </w:rPr>
        <w:t>Supplementary Table</w:t>
      </w:r>
      <w:r>
        <w:rPr>
          <w:rFonts w:hint="eastAsia" w:ascii="Times New Roman Bold" w:hAnsi="Times New Roman Bold" w:cs="Times New Roman Bold"/>
          <w:b/>
          <w:bCs/>
          <w:highlight w:val="none"/>
          <w:lang w:val="en-US" w:eastAsia="zh-CN"/>
        </w:rPr>
        <w:t xml:space="preserve"> </w:t>
      </w:r>
      <w:r>
        <w:rPr>
          <w:rFonts w:ascii="Times New Roman Bold" w:hAnsi="Times New Roman Bold" w:cs="Times New Roman Bold"/>
          <w:b/>
          <w:bCs/>
          <w:highlight w:val="none"/>
        </w:rPr>
        <w:t>1  The distribution of different types of congenital heart defects in patients with Kabuki syndrome.</w:t>
      </w:r>
    </w:p>
    <w:tbl>
      <w:tblPr>
        <w:tblStyle w:val="3"/>
        <w:tblW w:w="14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rPr>
          <w:trHeight w:val="523" w:hRule="atLeast"/>
        </w:trPr>
        <w:tc>
          <w:tcPr>
            <w:tcW w:w="2518" w:type="dxa"/>
            <w:tcBorders>
              <w:tl2br w:val="single" w:color="auto" w:sz="4" w:space="0"/>
            </w:tcBorders>
          </w:tcPr>
          <w:p>
            <w:pPr>
              <w:keepNext w:val="0"/>
              <w:keepLines w:val="0"/>
              <w:suppressLineNumbers w:val="0"/>
              <w:spacing w:before="0" w:beforeAutospacing="0" w:after="0" w:afterAutospacing="0"/>
              <w:ind w:left="0" w:right="0" w:firstLine="1440" w:firstLineChars="80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 xml:space="preserve">Patient </w:t>
            </w:r>
            <w:r>
              <w:rPr>
                <w:rFonts w:hint="eastAsia" w:ascii="Times New Roman Regular" w:hAnsi="Times New Roman Regular" w:cs="Times New Roman Regular"/>
                <w:sz w:val="18"/>
                <w:szCs w:val="21"/>
                <w:highlight w:val="none"/>
              </w:rPr>
              <w:t>ID</w:t>
            </w:r>
          </w:p>
          <w:p>
            <w:pPr>
              <w:keepNext w:val="0"/>
              <w:keepLines w:val="0"/>
              <w:suppressLineNumbers w:val="0"/>
              <w:spacing w:before="0" w:beforeAutospacing="0" w:after="0" w:afterAutospacing="0"/>
              <w:ind w:left="0" w:right="0"/>
              <w:rPr>
                <w:rFonts w:hint="eastAsia" w:ascii="Times New Roman Regular" w:hAnsi="Times New Roman Regular" w:cs="Times New Roman Regular"/>
                <w:bCs/>
                <w:sz w:val="18"/>
                <w:szCs w:val="21"/>
                <w:highlight w:val="none"/>
              </w:rPr>
            </w:pPr>
            <w:r>
              <w:rPr>
                <w:rFonts w:hint="eastAsia" w:ascii="Times New Roman Regular" w:hAnsi="Times New Roman Regular" w:cs="Times New Roman Regular"/>
                <w:bCs/>
                <w:sz w:val="18"/>
                <w:highlight w:val="none"/>
              </w:rPr>
              <w:t>P</w:t>
            </w:r>
            <w:r>
              <w:rPr>
                <w:rFonts w:hint="default" w:ascii="Times New Roman Regular" w:hAnsi="Times New Roman Regular" w:cs="Times New Roman Regular"/>
                <w:bCs/>
                <w:sz w:val="18"/>
                <w:highlight w:val="none"/>
              </w:rPr>
              <w:t>henotypes</w:t>
            </w:r>
          </w:p>
        </w:tc>
        <w:tc>
          <w:tcPr>
            <w:tcW w:w="443" w:type="dxa"/>
          </w:tcPr>
          <w:p>
            <w:pPr>
              <w:keepNext w:val="0"/>
              <w:keepLines w:val="0"/>
              <w:suppressLineNumbers w:val="0"/>
              <w:spacing w:before="0" w:beforeAutospacing="0" w:after="0" w:afterAutospacing="0"/>
              <w:ind w:left="0" w:right="0"/>
              <w:rPr>
                <w:rFonts w:hint="eastAsia"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2</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4</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8</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16</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28</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30</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31</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34</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36</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37</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47</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49</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51</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53</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54</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56</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57</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59</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65</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75</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81</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88</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90</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91</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93</w:t>
            </w:r>
          </w:p>
        </w:tc>
      </w:tr>
      <w:tr>
        <w:tc>
          <w:tcPr>
            <w:tcW w:w="2518"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Left-sided obstructive lesion</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Aortic Coarctation</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Bicuspid Aortic Valve</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Aortic Regurgitation</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r>
              <w:rPr>
                <w:rFonts w:hint="default" w:ascii="Times New Roman Regular" w:hAnsi="Times New Roman Regular" w:cs="Times New Roman Regular"/>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8"/>
                <w:szCs w:val="21"/>
                <w:highlight w:val="none"/>
              </w:rPr>
            </w:pPr>
          </w:p>
        </w:tc>
      </w:tr>
      <w:tr>
        <w:tc>
          <w:tcPr>
            <w:tcW w:w="2518"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Septal defects</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Patent Foramen Ovale</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Atrial Septal Defect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Ventricular Septal Defect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Conotruncal heart defects</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Double outlet right ventricle</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Aortic Double Arch Anomaly</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Other</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5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5"/>
                <w:szCs w:val="18"/>
                <w:highlight w:val="none"/>
              </w:rPr>
              <w:t>Persistent Left Superior Vena Cava</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Tricuspid Regurgitation</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shd w:val="clear" w:color="auto" w:fill="auto"/>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default" w:ascii="Times New Roman Regular" w:hAnsi="Times New Roman Regular" w:cs="Times New Roman Regular"/>
                <w:sz w:val="16"/>
                <w:szCs w:val="20"/>
                <w:highlight w:val="none"/>
              </w:rPr>
              <w:t>Pulmonary Hypertension</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Dilated Coronary Sinus</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r>
        <w:tc>
          <w:tcPr>
            <w:tcW w:w="2518" w:type="dxa"/>
          </w:tcPr>
          <w:p>
            <w:pPr>
              <w:keepNext w:val="0"/>
              <w:keepLines w:val="0"/>
              <w:suppressLineNumbers w:val="0"/>
              <w:spacing w:before="0" w:beforeAutospacing="0" w:after="0" w:afterAutospacing="0"/>
              <w:ind w:left="0" w:right="0" w:firstLine="160" w:firstLineChars="100"/>
              <w:rPr>
                <w:rFonts w:hint="default"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PAPVC</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ascii="Arial" w:hAnsi="Arial" w:cs="Arial"/>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c>
          <w:tcPr>
            <w:tcW w:w="443" w:type="dxa"/>
          </w:tcPr>
          <w:p>
            <w:pPr>
              <w:keepNext w:val="0"/>
              <w:keepLines w:val="0"/>
              <w:suppressLineNumbers w:val="0"/>
              <w:spacing w:before="0" w:beforeAutospacing="0" w:after="0" w:afterAutospacing="0"/>
              <w:ind w:left="0" w:right="0"/>
              <w:rPr>
                <w:rFonts w:hint="default"/>
                <w:sz w:val="18"/>
                <w:szCs w:val="21"/>
                <w:highlight w:val="none"/>
              </w:rPr>
            </w:pPr>
            <w:r>
              <w:rPr>
                <w:rFonts w:hint="default" w:ascii="Arial" w:hAnsi="Arial" w:cs="Arial"/>
                <w:sz w:val="18"/>
                <w:szCs w:val="21"/>
                <w:highlight w:val="none"/>
              </w:rPr>
              <w:t>√</w:t>
            </w:r>
          </w:p>
        </w:tc>
        <w:tc>
          <w:tcPr>
            <w:tcW w:w="443" w:type="dxa"/>
          </w:tcPr>
          <w:p>
            <w:pPr>
              <w:keepNext w:val="0"/>
              <w:keepLines w:val="0"/>
              <w:suppressLineNumbers w:val="0"/>
              <w:spacing w:before="0" w:beforeAutospacing="0" w:after="0" w:afterAutospacing="0"/>
              <w:ind w:left="0" w:right="0"/>
              <w:rPr>
                <w:rFonts w:hint="default"/>
                <w:sz w:val="18"/>
                <w:szCs w:val="21"/>
                <w:highlight w:val="none"/>
              </w:rPr>
            </w:pPr>
          </w:p>
        </w:tc>
      </w:tr>
    </w:tbl>
    <w:p>
      <w:pPr>
        <w:rPr>
          <w:rFonts w:ascii="Times New Roman Regular" w:hAnsi="Times New Roman Regular" w:cs="Times New Roman Regular"/>
          <w:sz w:val="16"/>
          <w:szCs w:val="20"/>
          <w:highlight w:val="none"/>
        </w:rPr>
      </w:pPr>
      <w:r>
        <w:rPr>
          <w:rFonts w:hint="eastAsia" w:ascii="Times New Roman Regular" w:hAnsi="Times New Roman Regular" w:cs="Times New Roman Regular"/>
          <w:sz w:val="16"/>
          <w:szCs w:val="20"/>
          <w:highlight w:val="none"/>
        </w:rPr>
        <w:t>PAPVC</w:t>
      </w:r>
      <w:r>
        <w:rPr>
          <w:rFonts w:ascii="Times New Roman Regular" w:hAnsi="Times New Roman Regular" w:cs="Times New Roman Regular"/>
          <w:sz w:val="16"/>
          <w:szCs w:val="20"/>
          <w:highlight w:val="none"/>
        </w:rPr>
        <w:t>: Partial Anomalous Pulmonary Venous Connection</w:t>
      </w:r>
    </w:p>
    <w:p>
      <w:pPr>
        <w:rPr>
          <w:rFonts w:ascii="Times New Roman Regular" w:hAnsi="Times New Roman Regular" w:cs="Times New Roman Regular"/>
          <w:sz w:val="16"/>
          <w:szCs w:val="20"/>
          <w:highlight w:val="none"/>
        </w:rPr>
      </w:pPr>
    </w:p>
    <w:p>
      <w:pPr>
        <w:rPr>
          <w:rFonts w:ascii="Times New Roman Regular" w:hAnsi="Times New Roman Regular" w:cs="Times New Roman Regular"/>
          <w:sz w:val="16"/>
          <w:szCs w:val="20"/>
          <w:highlight w:val="none"/>
        </w:rPr>
      </w:pPr>
    </w:p>
    <w:p>
      <w:pPr>
        <w:rPr>
          <w:rFonts w:ascii="Times New Roman Regular" w:hAnsi="Times New Roman Regular" w:cs="Times New Roman Regular"/>
          <w:sz w:val="16"/>
          <w:szCs w:val="20"/>
          <w:highlight w:val="none"/>
        </w:rPr>
      </w:pPr>
    </w:p>
    <w:p>
      <w:pPr>
        <w:rPr>
          <w:rFonts w:ascii="Times New Roman Regular" w:hAnsi="Times New Roman Regular" w:cs="Times New Roman Regular"/>
          <w:sz w:val="16"/>
          <w:szCs w:val="20"/>
          <w:highlight w:val="none"/>
        </w:rPr>
      </w:pPr>
    </w:p>
    <w:p>
      <w:pPr>
        <w:rPr>
          <w:rFonts w:ascii="Times New Roman Regular" w:hAnsi="Times New Roman Regular" w:cs="Times New Roman Regular"/>
          <w:sz w:val="16"/>
          <w:szCs w:val="20"/>
          <w:highlight w:val="none"/>
        </w:rPr>
      </w:pPr>
    </w:p>
    <w:p>
      <w:pPr>
        <w:rPr>
          <w:rFonts w:ascii="Times New Roman Regular" w:hAnsi="Times New Roman Regular" w:cs="Times New Roman Regular"/>
          <w:sz w:val="16"/>
          <w:szCs w:val="20"/>
          <w:highlight w:val="none"/>
        </w:rPr>
        <w:sectPr>
          <w:pgSz w:w="16838" w:h="11906" w:orient="landscape"/>
          <w:pgMar w:top="1800" w:right="1440" w:bottom="1800" w:left="1440" w:header="851" w:footer="992" w:gutter="0"/>
          <w:cols w:space="425" w:num="1"/>
          <w:docGrid w:type="lines" w:linePitch="312" w:charSpace="0"/>
        </w:sectPr>
      </w:pPr>
    </w:p>
    <w:p>
      <w:pPr>
        <w:widowControl/>
        <w:jc w:val="left"/>
        <w:rPr>
          <w:rFonts w:ascii="Times New Roman Bold" w:hAnsi="Times New Roman Bold" w:cs="Times New Roman Bold"/>
          <w:b/>
          <w:bCs/>
          <w:highlight w:val="none"/>
        </w:rPr>
      </w:pPr>
      <w:r>
        <w:rPr>
          <w:rFonts w:ascii="Times New Roman Bold" w:hAnsi="Times New Roman Bold" w:cs="Times New Roman Bold"/>
          <w:b/>
          <w:bCs/>
          <w:highlight w:val="none"/>
        </w:rPr>
        <w:t>Supplementary Table</w:t>
      </w:r>
      <w:r>
        <w:rPr>
          <w:rFonts w:hint="eastAsia" w:ascii="Times New Roman Bold" w:hAnsi="Times New Roman Bold" w:cs="Times New Roman Bold"/>
          <w:b/>
          <w:bCs/>
          <w:highlight w:val="none"/>
          <w:lang w:val="en-US" w:eastAsia="zh-CN"/>
        </w:rPr>
        <w:t xml:space="preserve"> 2</w:t>
      </w:r>
      <w:r>
        <w:rPr>
          <w:rFonts w:ascii="Times New Roman Bold" w:hAnsi="Times New Roman Bold" w:cs="Times New Roman Bold"/>
          <w:b/>
          <w:bCs/>
          <w:highlight w:val="none"/>
        </w:rPr>
        <w:t xml:space="preserve">  </w:t>
      </w:r>
      <w:r>
        <w:rPr>
          <w:rFonts w:hint="eastAsia" w:ascii="Times New Roman Bold" w:hAnsi="Times New Roman Bold" w:cs="Times New Roman Bold"/>
          <w:b/>
          <w:bCs/>
          <w:highlight w:val="none"/>
        </w:rPr>
        <w:t>The genotyping results of 104 KS patients</w:t>
      </w:r>
      <w:r>
        <w:rPr>
          <w:rFonts w:hint="eastAsia" w:ascii="Times New Roman Bold" w:hAnsi="Times New Roman Bold" w:cs="Times New Roman Bold"/>
          <w:b/>
          <w:bCs/>
          <w:highlight w:val="none"/>
          <w:lang w:val="en-US" w:eastAsia="zh-CN"/>
        </w:rPr>
        <w:t xml:space="preserve"> in </w:t>
      </w:r>
      <w:r>
        <w:rPr>
          <w:rFonts w:hint="default" w:ascii="Times New Roman Bold" w:hAnsi="Times New Roman Bold" w:cs="Times New Roman Bold"/>
          <w:b/>
          <w:bCs/>
          <w:highlight w:val="none"/>
          <w:lang w:val="en-US" w:eastAsia="zh-CN"/>
        </w:rPr>
        <w:t>our cohort</w:t>
      </w:r>
      <w:r>
        <w:rPr>
          <w:rFonts w:ascii="Times New Roman Bold" w:hAnsi="Times New Roman Bold" w:cs="Times New Roman Bold"/>
          <w:b/>
          <w:bCs/>
          <w:highlight w:val="none"/>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83"/>
        <w:gridCol w:w="1181"/>
        <w:gridCol w:w="1087"/>
        <w:gridCol w:w="1036"/>
        <w:gridCol w:w="3092"/>
        <w:gridCol w:w="2498"/>
        <w:gridCol w:w="2051"/>
        <w:gridCol w:w="1833"/>
      </w:tblGrid>
      <w:tr>
        <w:trPr>
          <w:trHeight w:val="428"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cs="Times New Roman Regular"/>
                <w:sz w:val="18"/>
                <w:szCs w:val="21"/>
                <w:highlight w:val="none"/>
              </w:rPr>
              <w:t xml:space="preserve">Patient </w:t>
            </w:r>
            <w:r>
              <w:rPr>
                <w:rFonts w:hint="eastAsia" w:ascii="Times New Roman Regular" w:hAnsi="Times New Roman Regular" w:cs="Times New Roman Regular"/>
                <w:sz w:val="18"/>
                <w:szCs w:val="21"/>
                <w:highlight w:val="none"/>
              </w:rPr>
              <w:t>ID</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eastAsia" w:ascii="Times New Roman Regular" w:hAnsi="Times New Roman Regular" w:eastAsia="宋体" w:cs="Times New Roman Regular"/>
                <w:color w:val="000000"/>
                <w:kern w:val="0"/>
                <w:sz w:val="20"/>
                <w:szCs w:val="20"/>
                <w:highlight w:val="none"/>
                <w:lang w:val="en-US" w:eastAsia="zh-CN" w:bidi="ar"/>
              </w:rPr>
              <w:t>Gene</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bidi="ar"/>
              </w:rPr>
              <w:t>Gender</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Age</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bidi="ar"/>
              </w:rPr>
              <w:t>Mutation Site</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bidi="ar"/>
              </w:rPr>
              <w:t>Mutation Type</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eastAsia" w:ascii="Times New Roman Regular" w:hAnsi="Times New Roman Regular" w:eastAsia="宋体" w:cs="Times New Roman Regular"/>
                <w:color w:val="000000"/>
                <w:kern w:val="0"/>
                <w:sz w:val="20"/>
                <w:szCs w:val="20"/>
                <w:highlight w:val="none"/>
                <w:lang w:val="en-US" w:eastAsia="zh-CN" w:bidi="ar"/>
              </w:rPr>
              <w:t>P</w:t>
            </w:r>
            <w:r>
              <w:rPr>
                <w:rFonts w:hint="default" w:ascii="Times New Roman Regular" w:hAnsi="Times New Roman Regular" w:eastAsia="宋体" w:cs="Times New Roman Regular"/>
                <w:color w:val="000000"/>
                <w:kern w:val="0"/>
                <w:sz w:val="20"/>
                <w:szCs w:val="20"/>
                <w:highlight w:val="none"/>
                <w:lang w:val="en-US" w:bidi="ar"/>
              </w:rPr>
              <w:t>attern of inheritance</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ACMG Criteria for P/LP</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c.11891delA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c.15089G&gt;A p.R8030H</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c.6595delT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eastAsia" w:ascii="Times New Roman Regular" w:hAnsi="Times New Roman Regular" w:eastAsia="宋体" w:cs="Times New Roman Regular"/>
                <w:color w:val="000000"/>
                <w:kern w:val="0"/>
                <w:sz w:val="20"/>
                <w:szCs w:val="20"/>
                <w:highlight w:val="none"/>
                <w:lang w:val="en-US" w:eastAsia="zh-CN" w:bidi="ar"/>
              </w:rPr>
              <w:t>1</w:t>
            </w:r>
            <w:r>
              <w:rPr>
                <w:rFonts w:hint="default" w:ascii="Times New Roman Regular" w:hAnsi="Times New Roman Regular" w:eastAsia="宋体" w:cs="Times New Roman Regular"/>
                <w:color w:val="000000"/>
                <w:kern w:val="0"/>
                <w:sz w:val="20"/>
                <w:szCs w:val="20"/>
                <w:highlight w:val="none"/>
                <w:lang w:val="en-US" w:eastAsia="zh-CN" w:bidi="ar"/>
              </w:rPr>
              <w:t xml:space="preserve">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c.15143G&gt;A p.R504</w:t>
            </w:r>
            <w:r>
              <w:rPr>
                <w:rFonts w:hint="eastAsia" w:ascii="Times New Roman Regular" w:hAnsi="Times New Roman Regular" w:eastAsia="宋体" w:cs="Times New Roman Regular"/>
                <w:color w:val="000000"/>
                <w:kern w:val="0"/>
                <w:sz w:val="20"/>
                <w:szCs w:val="20"/>
                <w:highlight w:val="none"/>
                <w:lang w:val="en-US" w:eastAsia="zh-CN" w:bidi="ar"/>
              </w:rPr>
              <w:t>8H</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250"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c.4525-4528del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c.5269C&gt;T,p.Arg1757*</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c.14382G&gt;A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c.8200C&gt;T, p.Arg2734*</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25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c.13301delA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118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c.15601C&gt;T,p.Arg5200*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162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c.16294C&gt;T,p.Arg5432Trp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c.13749-13753delCCCAG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c.335-1G&gt;A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c.2826C&gt;A, p.Y942*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c.2488G&gt;T,p.Glu830*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c.1967del(p.Leu656Argfs*274)</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45"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c.16294C&gt;T,p.Arg5432Trp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c.10255-10256delGAinsT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c.16052+1-+3delGTG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c.6595delT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c.4378dupC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c.181A&gt;T, p.R61*</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108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c.12986-13010del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eastAsia" w:ascii="Times New Roman Regular" w:hAnsi="Times New Roman Regular" w:eastAsia="宋体" w:cs="Times New Roman Regular"/>
                <w:color w:val="000000"/>
                <w:kern w:val="0"/>
                <w:sz w:val="20"/>
                <w:szCs w:val="20"/>
                <w:highlight w:val="none"/>
                <w:lang w:val="en-US" w:eastAsia="zh-CN" w:bidi="ar"/>
              </w:rPr>
              <w:t>24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110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c.12697C&gt;T, p.Q4233*</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color w:val="000000"/>
                <w:kern w:val="0"/>
                <w:sz w:val="20"/>
                <w:szCs w:val="20"/>
                <w:highlight w:val="none"/>
                <w:lang w:val="en-US" w:eastAsia="zh-CN"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116</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c.15341A&gt;G(p.His5114Arg)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c.12682C&gt;T p.Q4228*</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c.9022G&gt;T,p.Glu3008*</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c.8366+1G&gt;A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29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105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c.13696delG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c.13285C&gt;T p.Q4429*</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56</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c.4222T&gt;C(p.Cys1408Arg)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c.13749-13753delCCCAG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c.12820dupC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c.15604delG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c.15640C&gt;T p.Arg5214Cys</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c.1909-1912delTCTA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c.13426-13427dup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c.15108-15110del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39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c.14047-14048insAC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c.3721G&gt;T,p.Glu1241*</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c.12844C&gt;T,p.Arg4282*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15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c.901C&gt;T,pQ301*</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c.15461G&gt;A, p.R5154Q</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c.12352C&gt;T p.Q4118*</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c.3494-3495delCTinsT (p.Pro1165LeufsTer47)</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181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c.12753-12754delTC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c.288-305del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kern w:val="2"/>
                <w:sz w:val="21"/>
                <w:szCs w:val="21"/>
                <w:highlight w:val="none"/>
                <w:lang w:val="en-US" w:eastAsia="zh-CN" w:bidi="ar"/>
              </w:rPr>
              <w:t>Maternal inheritance</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129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c.404G&gt;A, p.Gly135Asp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kern w:val="2"/>
                <w:sz w:val="21"/>
                <w:szCs w:val="21"/>
                <w:highlight w:val="none"/>
                <w:lang w:val="en-US" w:eastAsia="zh-CN" w:bidi="ar"/>
              </w:rPr>
              <w:t>Maternal inheritance</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49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c.6595del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158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c.1834C&gt;T, p.Arg612*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c.16018C&gt;T(p.Arg5340*)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141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c.15686dupG (p.C5230Lfs*5)</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c.11601-11613dup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c.14075+2T&gt;G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c.13162-13190del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c.8200C&gt;T, p.Arg2734*</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c.14710C&gt;T, p,Arg769Trp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c.14877-14878insA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59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c.14878C&gt;T,p.Arg4960*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c.1388G&gt;A p.R463H</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c.4396A&gt;T, p.K1466*</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c.14878C&gt;T,p.Arg4960*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c.1834C&gt;T,p.R612*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86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c.1634delT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c.13033A&gt;T,p.K4345*</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c.12844C&gt;T,p.Arg4282*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c.15629A&gt;G,p.Tyr5210Cys</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c.7228C&gt;T p.Arg2410*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69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c.5627-5630del </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c.2517-2518delCA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182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c.16294C&gt;T,p.Arg5432Trp</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c.13774-13775insCTGA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c.753T&gt;G, p.Tyr251*</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c.11707C&gt;T,p.Gln3902*</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c.12284-12285del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c.7438A&gt;T p.Lys2480*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c.14878C&gt;T,p.Arg4960*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c.5792delC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79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180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c.2516-2519del  </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71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c.2170-2171delAT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c.16336-16337insC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c.4319C&gt;G, p.Ser1440*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c.5707C&gt;T,p.R1903*</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c.11875C&gt;T p.Q3959*</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50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c.3318dupC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c.13956del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25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c.4255G&gt;T,p.Gly1419*</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c.1967delT</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89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69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c.748+2T&gt;C</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Maternal inheritance</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c.11689-11690del</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131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c.1306G&gt;T, p.Glu436*</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140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c.334+1G&gt;A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c.4693+5G&gt;A</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c.15230T&gt;G,p.L5077R</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Missense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95</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KDM6A</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101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c.749-2A&gt;G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Splice site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96</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168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c.3553C&gt;T,p.Gln1185*</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97</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158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c.13289-13292del, p.Ser4430*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98</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c.11430dup,c.Gln3811AlafsTer201</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99</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41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c.12352C&gt;T p.Q4118*</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100</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c.13367C&gt;G,p.4456S*</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101</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47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c.14670-14671delTG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102</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33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c.16413-2A&gt;G</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Frameshift variant</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103</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Female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64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c.9820C&gt;T,p.Gln3274Ter</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r>
        <w:trPr>
          <w:trHeight w:val="352" w:hRule="atLeast"/>
        </w:trPr>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104</w:t>
            </w:r>
          </w:p>
        </w:tc>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KMT2D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Male</w:t>
            </w:r>
          </w:p>
        </w:tc>
        <w:tc>
          <w:tcPr>
            <w:tcW w:w="10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 xml:space="preserve">102 </w:t>
            </w:r>
          </w:p>
        </w:tc>
        <w:tc>
          <w:tcPr>
            <w:tcW w:w="30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c.4843C&gt;T,p.Arg1615*</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Nonsense variation</w:t>
            </w:r>
          </w:p>
        </w:tc>
        <w:tc>
          <w:tcPr>
            <w:tcW w:w="207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De novo</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0"/>
                <w:szCs w:val="20"/>
                <w:highlight w:val="none"/>
                <w:lang w:val="en-US" w:bidi="ar"/>
              </w:rPr>
            </w:pPr>
            <w:r>
              <w:rPr>
                <w:rFonts w:hint="default" w:ascii="Times New Roman Regular" w:hAnsi="Times New Roman Regular" w:eastAsia="宋体" w:cs="Times New Roman Regular"/>
                <w:color w:val="000000"/>
                <w:kern w:val="0"/>
                <w:sz w:val="20"/>
                <w:szCs w:val="20"/>
                <w:highlight w:val="none"/>
                <w:lang w:val="en-US" w:eastAsia="zh-CN" w:bidi="ar"/>
              </w:rPr>
              <w:t>Yes</w:t>
            </w:r>
          </w:p>
        </w:tc>
      </w:tr>
    </w:tbl>
    <w:p>
      <w:pPr>
        <w:jc w:val="both"/>
        <w:rPr>
          <w:rFonts w:hint="eastAsia" w:eastAsiaTheme="minorEastAsia"/>
          <w:b w:val="0"/>
          <w:bCs w:val="0"/>
          <w:lang w:val="en-US" w:eastAsia="zh-CN"/>
        </w:rPr>
      </w:pPr>
    </w:p>
    <w:p>
      <w:pPr>
        <w:rPr>
          <w:rFonts w:hint="eastAsia"/>
          <w:lang w:eastAsia="zh-CN"/>
        </w:rPr>
      </w:pPr>
      <w:r>
        <w:rPr>
          <w:rFonts w:hint="eastAsia"/>
          <w:lang w:eastAsia="zh-CN"/>
        </w:rPr>
        <w:t>、</w:t>
      </w:r>
    </w:p>
    <w:p>
      <w:pPr>
        <w:rPr>
          <w:rFonts w:hint="eastAsia"/>
          <w:lang w:eastAsia="zh-CN"/>
        </w:rPr>
      </w:pPr>
    </w:p>
    <w:sectPr>
      <w:pgSz w:w="16838" w:h="11906" w:orient="landscape"/>
      <w:pgMar w:top="1800" w:right="1553"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roman"/>
    <w:pitch w:val="default"/>
    <w:sig w:usb0="E0000AFF" w:usb1="00007843" w:usb2="00000001" w:usb3="00000000" w:csb0="400001BF" w:csb1="DFF70000"/>
  </w:font>
  <w:font w:name="Times New Roman Regular">
    <w:panose1 w:val="02020503050405090304"/>
    <w:charset w:val="00"/>
    <w:family w:val="roman"/>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75B89D"/>
    <w:rsid w:val="D15736C1"/>
    <w:rsid w:val="FE75B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5">
    <w:name w:val="Hyperlink"/>
    <w:basedOn w:val="4"/>
    <w:uiPriority w:val="0"/>
    <w:rPr>
      <w:color w:val="0000FF"/>
      <w:u w:val="single"/>
    </w:rPr>
  </w:style>
  <w:style w:type="character" w:customStyle="1" w:styleId="6">
    <w:name w:val="四级目录"/>
    <w:basedOn w:val="5"/>
    <w:uiPriority w:val="0"/>
    <w:rPr>
      <w:rFonts w:hint="eastAsia" w:ascii="Times New Roman" w:hAnsi="Times New Roman"/>
      <w:color w:val="0026E5" w:themeColor="hyperlink"/>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2025-02-06T22:21:00Z</dcterms:created>
  <dc:creator>柠檬</dc:creator>
  <cp:lastModifiedBy>柠檬</cp:lastModifiedBy>
  <dcterms:modified xsi:type="dcterms:W3CDTF">2025-02-06T22:23:21Z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628CB059CF9FA42E76C5A467E909FEC1_41</vt:lpwstr>
  </property>
</Properties>
</file>