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37888" w14:textId="53C06600" w:rsidR="00DD3341" w:rsidRPr="000E7EDD" w:rsidRDefault="00DD3341" w:rsidP="00DD3341">
      <w:pPr>
        <w:pBdr>
          <w:top w:val="nil"/>
          <w:left w:val="nil"/>
          <w:bottom w:val="nil"/>
          <w:right w:val="nil"/>
          <w:between w:val="nil"/>
        </w:pBdr>
        <w:spacing w:line="480" w:lineRule="auto"/>
        <w:ind w:right="-80"/>
        <w:jc w:val="both"/>
        <w:rPr>
          <w:rFonts w:ascii="Times New Roman" w:hAnsi="Times New Roman" w:cs="Times New Roman"/>
          <w:b/>
          <w:bCs/>
          <w:color w:val="000000" w:themeColor="text1"/>
          <w:sz w:val="24"/>
        </w:rPr>
      </w:pPr>
      <w:r w:rsidRPr="000E7EDD">
        <w:rPr>
          <w:rFonts w:ascii="Times New Roman" w:hAnsi="Times New Roman" w:cs="Times New Roman" w:hint="eastAsia"/>
          <w:b/>
          <w:bCs/>
          <w:color w:val="000000" w:themeColor="text1"/>
          <w:sz w:val="24"/>
        </w:rPr>
        <w:t>Supplementary methods</w:t>
      </w:r>
    </w:p>
    <w:p w14:paraId="7F68963A" w14:textId="77777777" w:rsidR="005424BB" w:rsidRPr="000E7EDD" w:rsidRDefault="005424BB" w:rsidP="005424BB">
      <w:pPr>
        <w:pBdr>
          <w:top w:val="nil"/>
          <w:left w:val="nil"/>
          <w:bottom w:val="nil"/>
          <w:right w:val="nil"/>
          <w:between w:val="nil"/>
        </w:pBdr>
        <w:spacing w:line="480" w:lineRule="auto"/>
        <w:ind w:right="-80" w:firstLine="720"/>
        <w:jc w:val="both"/>
        <w:rPr>
          <w:rFonts w:ascii="Times New Roman" w:hAnsi="Times New Roman" w:cs="Times New Roman"/>
          <w:b/>
          <w:bCs/>
          <w:color w:val="000000" w:themeColor="text1"/>
          <w:sz w:val="20"/>
          <w:szCs w:val="20"/>
        </w:rPr>
      </w:pPr>
      <w:r w:rsidRPr="000E7EDD">
        <w:rPr>
          <w:rFonts w:ascii="Times New Roman" w:hAnsi="Times New Roman" w:cs="Times New Roman"/>
          <w:b/>
          <w:bCs/>
          <w:color w:val="000000" w:themeColor="text1"/>
          <w:sz w:val="20"/>
          <w:szCs w:val="20"/>
        </w:rPr>
        <w:t>Study Population</w:t>
      </w:r>
    </w:p>
    <w:p w14:paraId="6A583677" w14:textId="1A314775" w:rsidR="005424BB" w:rsidRPr="000E7EDD" w:rsidRDefault="005424BB" w:rsidP="005424BB">
      <w:pPr>
        <w:pBdr>
          <w:top w:val="nil"/>
          <w:left w:val="nil"/>
          <w:bottom w:val="nil"/>
          <w:right w:val="nil"/>
          <w:between w:val="nil"/>
        </w:pBdr>
        <w:spacing w:line="480" w:lineRule="auto"/>
        <w:ind w:right="-80" w:firstLine="720"/>
        <w:jc w:val="both"/>
        <w:rPr>
          <w:rFonts w:ascii="Times New Roman" w:hAnsi="Times New Roman" w:cs="Times New Roman"/>
          <w:color w:val="000000" w:themeColor="text1"/>
          <w:sz w:val="20"/>
          <w:szCs w:val="20"/>
        </w:rPr>
      </w:pPr>
      <w:r w:rsidRPr="000E7EDD">
        <w:rPr>
          <w:rFonts w:ascii="Times New Roman" w:hAnsi="Times New Roman" w:cs="Times New Roman"/>
          <w:color w:val="000000" w:themeColor="text1"/>
          <w:sz w:val="20"/>
          <w:szCs w:val="20"/>
        </w:rPr>
        <w:t xml:space="preserve">To avoid the potential effect of clustering among siblings, only the firstborn infants of each mother were included. </w:t>
      </w:r>
      <w:bookmarkStart w:id="0" w:name="_Hlk190694429"/>
      <w:r w:rsidRPr="000E7EDD">
        <w:rPr>
          <w:rFonts w:ascii="Times New Roman" w:hAnsi="Times New Roman" w:cs="Times New Roman"/>
          <w:color w:val="000000" w:themeColor="text1"/>
          <w:sz w:val="20"/>
          <w:szCs w:val="20"/>
        </w:rPr>
        <w:t>"Firstborn" refers to the first recorded live birth within the study period, including the screening period, from 2011 to 2021.</w:t>
      </w:r>
      <w:r w:rsidRPr="000E7EDD">
        <w:rPr>
          <w:rFonts w:ascii="Times New Roman" w:hAnsi="Times New Roman" w:cs="Times New Roman" w:hint="eastAsia"/>
          <w:color w:val="000000" w:themeColor="text1"/>
          <w:sz w:val="20"/>
          <w:szCs w:val="20"/>
        </w:rPr>
        <w:t xml:space="preserve"> </w:t>
      </w:r>
      <w:bookmarkStart w:id="1" w:name="_Hlk190718986"/>
      <w:bookmarkStart w:id="2" w:name="_Hlk190695029"/>
      <w:bookmarkEnd w:id="0"/>
      <w:r w:rsidRPr="000E7EDD">
        <w:rPr>
          <w:rFonts w:ascii="Times New Roman" w:hAnsi="Times New Roman" w:cs="Times New Roman"/>
          <w:color w:val="000000" w:themeColor="text1"/>
          <w:sz w:val="20"/>
          <w:szCs w:val="20"/>
        </w:rPr>
        <w:t xml:space="preserve">Pregnancies </w:t>
      </w:r>
      <w:r w:rsidRPr="000E7EDD">
        <w:rPr>
          <w:rFonts w:ascii="Times New Roman" w:hAnsi="Times New Roman" w:cs="Times New Roman" w:hint="eastAsia"/>
          <w:color w:val="000000" w:themeColor="text1"/>
          <w:sz w:val="20"/>
          <w:szCs w:val="20"/>
        </w:rPr>
        <w:t xml:space="preserve">were excluded if they were </w:t>
      </w:r>
      <w:r w:rsidRPr="000E7EDD">
        <w:rPr>
          <w:rFonts w:ascii="Times New Roman" w:hAnsi="Times New Roman" w:cs="Times New Roman"/>
          <w:color w:val="000000" w:themeColor="text1"/>
          <w:sz w:val="20"/>
          <w:szCs w:val="20"/>
        </w:rPr>
        <w:t xml:space="preserve">exposed to other teratogenic drugs (e.g. retinoids, antineoplastic agents, antiepileptics, thalidomide analogues, lithium, misoprostol, mycophenolate, warfarin), as listed in Supplementary Table 1, </w:t>
      </w:r>
      <w:r w:rsidRPr="000E7EDD">
        <w:rPr>
          <w:rFonts w:ascii="Times New Roman" w:hAnsi="Times New Roman" w:cs="Times New Roman" w:hint="eastAsia"/>
          <w:color w:val="000000" w:themeColor="text1"/>
          <w:sz w:val="20"/>
          <w:szCs w:val="20"/>
        </w:rPr>
        <w:t>if mother-child linkage data was unavailable, or if they involved multiple births.</w:t>
      </w:r>
      <w:bookmarkEnd w:id="1"/>
      <w:r w:rsidRPr="000E7EDD">
        <w:rPr>
          <w:rFonts w:ascii="Times New Roman" w:hAnsi="Times New Roman" w:cs="Times New Roman" w:hint="eastAsia"/>
          <w:color w:val="000000" w:themeColor="text1"/>
          <w:sz w:val="20"/>
          <w:szCs w:val="20"/>
        </w:rPr>
        <w:t xml:space="preserve"> </w:t>
      </w:r>
      <w:bookmarkEnd w:id="2"/>
      <w:r w:rsidRPr="000E7EDD">
        <w:rPr>
          <w:rFonts w:ascii="Times New Roman" w:hAnsi="Times New Roman" w:cs="Times New Roman"/>
          <w:color w:val="000000" w:themeColor="text1"/>
          <w:sz w:val="20"/>
          <w:szCs w:val="20"/>
        </w:rPr>
        <w:t xml:space="preserve">The final cohort consisted of 218,295 pregnancies, divided into </w:t>
      </w:r>
      <w:proofErr w:type="gramStart"/>
      <w:r w:rsidRPr="000E7EDD">
        <w:rPr>
          <w:rFonts w:ascii="Times New Roman" w:hAnsi="Times New Roman" w:cs="Times New Roman"/>
          <w:color w:val="000000" w:themeColor="text1"/>
          <w:sz w:val="20"/>
          <w:szCs w:val="20"/>
        </w:rPr>
        <w:t>statin</w:t>
      </w:r>
      <w:proofErr w:type="gramEnd"/>
      <w:r w:rsidRPr="000E7EDD">
        <w:rPr>
          <w:rFonts w:ascii="Times New Roman" w:hAnsi="Times New Roman" w:cs="Times New Roman"/>
          <w:color w:val="000000" w:themeColor="text1"/>
          <w:sz w:val="20"/>
          <w:szCs w:val="20"/>
        </w:rPr>
        <w:t xml:space="preserve">-exposed and unexposed group during the first trimester. </w:t>
      </w:r>
      <w:bookmarkStart w:id="3" w:name="_Hlk190699403"/>
      <w:proofErr w:type="gramStart"/>
      <w:r w:rsidRPr="000E7EDD">
        <w:rPr>
          <w:rFonts w:ascii="Times New Roman" w:hAnsi="Times New Roman" w:cs="Times New Roman"/>
          <w:color w:val="000000" w:themeColor="text1"/>
          <w:sz w:val="20"/>
          <w:szCs w:val="20"/>
        </w:rPr>
        <w:t>Statin</w:t>
      </w:r>
      <w:proofErr w:type="gramEnd"/>
      <w:r w:rsidRPr="000E7EDD">
        <w:rPr>
          <w:rFonts w:ascii="Times New Roman" w:hAnsi="Times New Roman" w:cs="Times New Roman"/>
          <w:color w:val="000000" w:themeColor="text1"/>
          <w:sz w:val="20"/>
          <w:szCs w:val="20"/>
        </w:rPr>
        <w:t xml:space="preserve">-exposed pregnancies were defined as those in which </w:t>
      </w:r>
      <w:r w:rsidRPr="000E7EDD">
        <w:rPr>
          <w:rFonts w:ascii="Times New Roman" w:hAnsi="Times New Roman" w:cs="Times New Roman" w:hint="eastAsia"/>
          <w:color w:val="000000" w:themeColor="text1"/>
          <w:sz w:val="20"/>
          <w:szCs w:val="20"/>
        </w:rPr>
        <w:t>the first</w:t>
      </w:r>
      <w:r w:rsidRPr="000E7EDD">
        <w:rPr>
          <w:rFonts w:ascii="Times New Roman" w:hAnsi="Times New Roman" w:cs="Times New Roman"/>
          <w:color w:val="000000" w:themeColor="text1"/>
          <w:sz w:val="20"/>
          <w:szCs w:val="20"/>
        </w:rPr>
        <w:t xml:space="preserve"> statin prescription was filled during the first trimester (weeks 1-12 of gestation).</w:t>
      </w:r>
      <w:r w:rsidRPr="000E7EDD">
        <w:rPr>
          <w:rFonts w:ascii="Times New Roman" w:hAnsi="Times New Roman" w:cs="Times New Roman" w:hint="eastAsia"/>
          <w:color w:val="000000" w:themeColor="text1"/>
          <w:sz w:val="20"/>
          <w:szCs w:val="20"/>
        </w:rPr>
        <w:t xml:space="preserve"> </w:t>
      </w:r>
      <w:r w:rsidRPr="000E7EDD">
        <w:rPr>
          <w:rFonts w:ascii="Times New Roman" w:hAnsi="Times New Roman" w:cs="Times New Roman"/>
          <w:color w:val="000000" w:themeColor="text1"/>
          <w:sz w:val="20"/>
          <w:szCs w:val="20"/>
        </w:rPr>
        <w:t xml:space="preserve">2,466 pregnancies were exposed to statins during the first trimester. Due to differences in baseline characteristics, a small proportion of </w:t>
      </w:r>
      <w:proofErr w:type="gramStart"/>
      <w:r w:rsidRPr="000E7EDD">
        <w:rPr>
          <w:rFonts w:ascii="Times New Roman" w:hAnsi="Times New Roman" w:cs="Times New Roman"/>
          <w:color w:val="000000" w:themeColor="text1"/>
          <w:sz w:val="20"/>
          <w:szCs w:val="20"/>
        </w:rPr>
        <w:t>statin</w:t>
      </w:r>
      <w:proofErr w:type="gramEnd"/>
      <w:r w:rsidRPr="000E7EDD">
        <w:rPr>
          <w:rFonts w:ascii="Times New Roman" w:hAnsi="Times New Roman" w:cs="Times New Roman"/>
          <w:color w:val="000000" w:themeColor="text1"/>
          <w:sz w:val="20"/>
          <w:szCs w:val="20"/>
        </w:rPr>
        <w:t>-exposed pregnancies (n=46) could not be successfully matched and were excluded from the analysis.</w:t>
      </w:r>
      <w:r w:rsidRPr="000E7EDD">
        <w:rPr>
          <w:rFonts w:ascii="Times New Roman" w:hAnsi="Times New Roman" w:cs="Times New Roman" w:hint="eastAsia"/>
          <w:color w:val="000000" w:themeColor="text1"/>
          <w:sz w:val="20"/>
          <w:szCs w:val="20"/>
        </w:rPr>
        <w:t xml:space="preserve"> This group included both cases with a single prescription and those with continued exposure beyond the first trimester.</w:t>
      </w:r>
      <w:r w:rsidRPr="000E7EDD">
        <w:rPr>
          <w:rFonts w:ascii="Times New Roman" w:hAnsi="Times New Roman" w:cs="Times New Roman"/>
          <w:color w:val="000000" w:themeColor="text1"/>
          <w:sz w:val="20"/>
          <w:szCs w:val="20"/>
        </w:rPr>
        <w:t xml:space="preserve"> </w:t>
      </w:r>
      <w:bookmarkEnd w:id="3"/>
      <w:r w:rsidRPr="000E7EDD">
        <w:rPr>
          <w:rFonts w:ascii="Times New Roman" w:hAnsi="Times New Roman" w:cs="Times New Roman"/>
          <w:color w:val="000000" w:themeColor="text1"/>
          <w:sz w:val="20"/>
          <w:szCs w:val="20"/>
        </w:rPr>
        <w:t>The list of statins included in the analysis is provided in Supplementary Table 2. The last menstrual period was estimated by subtracting 35 weeks (245 days) from the date of birth for preterm deliveries and 39 weeks (273 days) for full-term deliveries, using a previously validated algorithm.</w:t>
      </w:r>
      <w:r w:rsidRPr="000E7EDD">
        <w:rPr>
          <w:rFonts w:ascii="Times New Roman" w:hAnsi="Times New Roman" w:cs="Times New Roman"/>
          <w:color w:val="000000" w:themeColor="text1"/>
          <w:sz w:val="20"/>
          <w:szCs w:val="20"/>
        </w:rPr>
        <w:fldChar w:fldCharType="begin"/>
      </w:r>
      <w:r w:rsidRPr="000E7EDD">
        <w:rPr>
          <w:rFonts w:ascii="Times New Roman" w:hAnsi="Times New Roman" w:cs="Times New Roman"/>
          <w:color w:val="000000" w:themeColor="text1"/>
          <w:sz w:val="20"/>
          <w:szCs w:val="20"/>
        </w:rPr>
        <w:instrText xml:space="preserve"> ADDIN EN.CITE &lt;EndNote&gt;&lt;Cite&gt;&lt;Author&gt;Margulis&lt;/Author&gt;&lt;Year&gt;2013&lt;/Year&gt;&lt;RecNum&gt;144&lt;/RecNum&gt;&lt;DisplayText&gt;[1]&lt;/DisplayText&gt;&lt;record&gt;&lt;rec-number&gt;144&lt;/rec-number&gt;&lt;foreign-keys&gt;&lt;key app="EN" db-id="vp5vrzd595vaxre5axexwt2kad2v5tsw9rfr" timestamp="1709559863"&gt;144&lt;/key&gt;&lt;/foreign-keys&gt;&lt;ref-type name="Journal Article"&gt;17&lt;/ref-type&gt;&lt;contributors&gt;&lt;authors&gt;&lt;author&gt;Margulis, A. V.&lt;/author&gt;&lt;author&gt;Setoguchi, S.&lt;/author&gt;&lt;author&gt;Mittleman, M. A.&lt;/author&gt;&lt;author&gt;Glynn, R. J.&lt;/author&gt;&lt;author&gt;Dormuth, C. R.&lt;/author&gt;&lt;author&gt;Hernández-Díaz, S.&lt;/author&gt;&lt;/authors&gt;&lt;/contributors&gt;&lt;auth-address&gt;Department of Epidemiology, Harvard School of Public Health, Boston, MA, USA. andreamargulis@post.harvard.edu&lt;/auth-address&gt;&lt;titles&gt;&lt;title&gt;Algorithms to estimate the beginning of pregnancy in administrative databases&lt;/title&gt;&lt;secondary-title&gt;Pharmacoepidemiol Drug Saf&lt;/secondary-title&gt;&lt;/titles&gt;&lt;periodical&gt;&lt;full-title&gt;Pharmacoepidemiol Drug Saf&lt;/full-title&gt;&lt;/periodical&gt;&lt;pages&gt;16-24&lt;/pages&gt;&lt;volume&gt;22&lt;/volume&gt;&lt;number&gt;1&lt;/number&gt;&lt;edition&gt;20120502&lt;/edition&gt;&lt;keywords&gt;&lt;keyword&gt;*Algorithms&lt;/keyword&gt;&lt;keyword&gt;British Columbia&lt;/keyword&gt;&lt;keyword&gt;Databases, Factual/*statistics &amp;amp; numerical data&lt;/keyword&gt;&lt;keyword&gt;Female&lt;/keyword&gt;&lt;keyword&gt;*Gestational Age&lt;/keyword&gt;&lt;keyword&gt;Humans&lt;/keyword&gt;&lt;keyword&gt;Infant, Newborn&lt;/keyword&gt;&lt;keyword&gt;Pregnancy&lt;/keyword&gt;&lt;keyword&gt;Premature Birth/epidemiology&lt;/keyword&gt;&lt;keyword&gt;Sensitivity and Specificity&lt;/keyword&gt;&lt;/keywords&gt;&lt;dates&gt;&lt;year&gt;2013&lt;/year&gt;&lt;pub-dates&gt;&lt;date&gt;Jan&lt;/date&gt;&lt;/pub-dates&gt;&lt;/dates&gt;&lt;isbn&gt;1053-8569 (Print)&amp;#xD;1053-8569&lt;/isbn&gt;&lt;accession-num&gt;22550030&lt;/accession-num&gt;&lt;urls&gt;&lt;/urls&gt;&lt;custom2&gt;PMC3437228&lt;/custom2&gt;&lt;custom6&gt;NIHMS375019&lt;/custom6&gt;&lt;electronic-resource-num&gt;10.1002/pds.3284&lt;/electronic-resource-num&gt;&lt;remote-database-provider&gt;NLM&lt;/remote-database-provider&gt;&lt;language&gt;eng&lt;/language&gt;&lt;/record&gt;&lt;/Cite&gt;&lt;/EndNote&gt;</w:instrText>
      </w:r>
      <w:r w:rsidRPr="000E7EDD">
        <w:rPr>
          <w:rFonts w:ascii="Times New Roman" w:hAnsi="Times New Roman" w:cs="Times New Roman"/>
          <w:color w:val="000000" w:themeColor="text1"/>
          <w:sz w:val="20"/>
          <w:szCs w:val="20"/>
        </w:rPr>
        <w:fldChar w:fldCharType="separate"/>
      </w:r>
      <w:r w:rsidRPr="000E7EDD">
        <w:rPr>
          <w:rFonts w:ascii="Times New Roman" w:hAnsi="Times New Roman" w:cs="Times New Roman"/>
          <w:noProof/>
          <w:color w:val="000000" w:themeColor="text1"/>
          <w:sz w:val="20"/>
          <w:szCs w:val="20"/>
        </w:rPr>
        <w:t>[1]</w:t>
      </w:r>
      <w:r w:rsidRPr="000E7EDD">
        <w:rPr>
          <w:rFonts w:ascii="Times New Roman" w:hAnsi="Times New Roman" w:cs="Times New Roman"/>
          <w:color w:val="000000" w:themeColor="text1"/>
          <w:sz w:val="20"/>
          <w:szCs w:val="20"/>
        </w:rPr>
        <w:fldChar w:fldCharType="end"/>
      </w:r>
      <w:r w:rsidRPr="000E7EDD">
        <w:rPr>
          <w:rFonts w:ascii="Times New Roman" w:hAnsi="Times New Roman" w:cs="Times New Roman"/>
          <w:color w:val="000000" w:themeColor="text1"/>
          <w:sz w:val="20"/>
          <w:szCs w:val="20"/>
        </w:rPr>
        <w:t xml:space="preserve"> </w:t>
      </w:r>
      <w:bookmarkStart w:id="4" w:name="_Hlk190699468"/>
      <w:bookmarkStart w:id="5" w:name="_Hlk190719118"/>
      <w:r w:rsidRPr="000E7EDD">
        <w:rPr>
          <w:rFonts w:ascii="Times New Roman" w:hAnsi="Times New Roman" w:cs="Times New Roman"/>
          <w:color w:val="000000" w:themeColor="text1"/>
          <w:sz w:val="20"/>
          <w:szCs w:val="20"/>
        </w:rPr>
        <w:t xml:space="preserve">The unexposed group consisted of pregnancies with no recorded statin prescriptions </w:t>
      </w:r>
      <w:r w:rsidRPr="000E7EDD">
        <w:rPr>
          <w:rFonts w:ascii="Times New Roman" w:hAnsi="Times New Roman" w:cs="Times New Roman" w:hint="eastAsia"/>
          <w:color w:val="000000" w:themeColor="text1"/>
          <w:sz w:val="20"/>
          <w:szCs w:val="20"/>
        </w:rPr>
        <w:t xml:space="preserve">at any time, including both the 90 days prior to conception and the entire pregnancy period. </w:t>
      </w:r>
      <w:bookmarkEnd w:id="4"/>
      <w:r w:rsidRPr="000E7EDD">
        <w:rPr>
          <w:rFonts w:ascii="Times New Roman" w:hAnsi="Times New Roman" w:cs="Times New Roman"/>
          <w:color w:val="000000" w:themeColor="text1"/>
          <w:sz w:val="20"/>
          <w:szCs w:val="20"/>
        </w:rPr>
        <w:t>In the control group, 1,575 individuals with a history of statin prescriptions within 90 days before pregnancy were excluded.</w:t>
      </w:r>
      <w:r w:rsidRPr="000E7EDD">
        <w:rPr>
          <w:rFonts w:ascii="Times New Roman" w:hAnsi="Times New Roman" w:cs="Times New Roman" w:hint="eastAsia"/>
          <w:color w:val="000000" w:themeColor="text1"/>
          <w:sz w:val="20"/>
          <w:szCs w:val="20"/>
        </w:rPr>
        <w:t xml:space="preserve"> </w:t>
      </w:r>
      <w:bookmarkEnd w:id="5"/>
      <w:r w:rsidRPr="000E7EDD">
        <w:rPr>
          <w:rFonts w:ascii="Times New Roman" w:hAnsi="Times New Roman" w:cs="Times New Roman"/>
          <w:color w:val="000000" w:themeColor="text1"/>
          <w:sz w:val="20"/>
          <w:szCs w:val="20"/>
        </w:rPr>
        <w:t>Comorbidities were identified based on diagnostic codes within one year before pregnancy, including diabetes mellitus (E10-14) and hypertension (I10-I13, I15).</w:t>
      </w:r>
    </w:p>
    <w:p w14:paraId="65E78F12" w14:textId="77777777" w:rsidR="005424BB" w:rsidRPr="000E7EDD" w:rsidRDefault="005424BB" w:rsidP="00DD3341">
      <w:pPr>
        <w:pBdr>
          <w:top w:val="nil"/>
          <w:left w:val="nil"/>
          <w:bottom w:val="nil"/>
          <w:right w:val="nil"/>
          <w:between w:val="nil"/>
        </w:pBdr>
        <w:spacing w:line="480" w:lineRule="auto"/>
        <w:ind w:right="-80" w:firstLine="720"/>
        <w:jc w:val="both"/>
        <w:rPr>
          <w:rFonts w:ascii="Times New Roman" w:hAnsi="Times New Roman" w:cs="Times New Roman"/>
          <w:b/>
          <w:color w:val="000000" w:themeColor="text1"/>
          <w:sz w:val="20"/>
          <w:szCs w:val="20"/>
        </w:rPr>
      </w:pPr>
    </w:p>
    <w:p w14:paraId="1DFF65F2" w14:textId="77777777" w:rsidR="005424BB" w:rsidRPr="000E7EDD" w:rsidRDefault="005424BB" w:rsidP="005424BB">
      <w:pPr>
        <w:pBdr>
          <w:top w:val="nil"/>
          <w:left w:val="nil"/>
          <w:bottom w:val="nil"/>
          <w:right w:val="nil"/>
          <w:between w:val="nil"/>
        </w:pBdr>
        <w:spacing w:line="480" w:lineRule="auto"/>
        <w:ind w:right="-80" w:firstLine="720"/>
        <w:jc w:val="both"/>
        <w:rPr>
          <w:rFonts w:ascii="Times New Roman" w:hAnsi="Times New Roman" w:cs="Times New Roman"/>
          <w:b/>
          <w:color w:val="000000" w:themeColor="text1"/>
          <w:sz w:val="20"/>
          <w:szCs w:val="20"/>
        </w:rPr>
      </w:pPr>
      <w:r w:rsidRPr="000E7EDD">
        <w:rPr>
          <w:rFonts w:ascii="Times New Roman" w:hAnsi="Times New Roman" w:cs="Times New Roman"/>
          <w:b/>
          <w:color w:val="000000" w:themeColor="text1"/>
          <w:sz w:val="20"/>
          <w:szCs w:val="20"/>
        </w:rPr>
        <w:t>Outcomes</w:t>
      </w:r>
    </w:p>
    <w:p w14:paraId="69F6C5C2" w14:textId="07D0E030" w:rsidR="005424BB" w:rsidRPr="000E7EDD" w:rsidRDefault="005424BB" w:rsidP="005424BB">
      <w:pPr>
        <w:pBdr>
          <w:top w:val="nil"/>
          <w:left w:val="nil"/>
          <w:bottom w:val="nil"/>
          <w:right w:val="nil"/>
          <w:between w:val="nil"/>
        </w:pBdr>
        <w:spacing w:line="480" w:lineRule="auto"/>
        <w:ind w:right="-80" w:firstLine="720"/>
        <w:jc w:val="both"/>
        <w:rPr>
          <w:rFonts w:ascii="Times New Roman" w:hAnsi="Times New Roman" w:cs="Times New Roman"/>
          <w:color w:val="000000" w:themeColor="text1"/>
          <w:sz w:val="20"/>
          <w:szCs w:val="20"/>
        </w:rPr>
      </w:pPr>
      <w:bookmarkStart w:id="6" w:name="_Hlk190378215"/>
      <w:bookmarkStart w:id="7" w:name="_Hlk190623001"/>
      <w:bookmarkStart w:id="8" w:name="_Hlk190622963"/>
      <w:r w:rsidRPr="000E7EDD">
        <w:rPr>
          <w:rFonts w:ascii="Times New Roman" w:hAnsi="Times New Roman" w:cs="Times New Roman"/>
          <w:color w:val="000000" w:themeColor="text1"/>
          <w:sz w:val="20"/>
          <w:szCs w:val="20"/>
        </w:rPr>
        <w:t>The presence of congenital malformations was identified through infant records within the first 30 days of life. Major congenital malformations and their subtypes were classified using the European Surveillance of Congenital Anomalies (EUROCAT) classification system, while minor defects were excluded based on the EUROCAT exclusion list.</w:t>
      </w:r>
      <w:r w:rsidRPr="000E7EDD">
        <w:rPr>
          <w:rFonts w:ascii="Times New Roman" w:hAnsi="Times New Roman" w:cs="Times New Roman"/>
          <w:color w:val="000000" w:themeColor="text1"/>
          <w:sz w:val="20"/>
          <w:szCs w:val="20"/>
        </w:rPr>
        <w:fldChar w:fldCharType="begin"/>
      </w:r>
      <w:r w:rsidRPr="000E7EDD">
        <w:rPr>
          <w:rFonts w:ascii="Times New Roman" w:hAnsi="Times New Roman" w:cs="Times New Roman"/>
          <w:color w:val="000000" w:themeColor="text1"/>
          <w:sz w:val="20"/>
          <w:szCs w:val="20"/>
        </w:rPr>
        <w:instrText xml:space="preserve"> ADDIN EN.CITE &lt;EndNote&gt;&lt;Cite&gt;&lt;Author&gt;Commission.&lt;/Author&gt;&lt;RecNum&gt;161&lt;/RecNum&gt;&lt;DisplayText&gt;[2]&lt;/DisplayText&gt;&lt;record&gt;&lt;rec-number&gt;161&lt;/rec-number&gt;&lt;foreign-keys&gt;&lt;key app="EN" db-id="vp5vrzd595vaxre5axexwt2kad2v5tsw9rfr" timestamp="1721290753"&gt;161&lt;/key&gt;&lt;/foreign-keys&gt;&lt;ref-type name="Web Page"&gt;12&lt;/ref-type&gt;&lt;contributors&gt;&lt;authors&gt;&lt;author&gt;European Commission.&lt;/author&gt;&lt;/authors&gt;&lt;/contributors&gt;&lt;titles&gt;&lt;title&gt;EUROCAT: European network of population-based registries for the epidemiological surveillance of congenital anomalies&lt;/title&gt;&lt;/titles&gt;&lt;number&gt;18 Jul 2024&lt;/number&gt;&lt;dates&gt;&lt;/dates&gt;&lt;urls&gt;&lt;related-urls&gt;&lt;url&gt;https://eu-rd-platform.jrc.ec.europa.eu/eurocat_en&lt;/url&gt;&lt;/related-urls&gt;&lt;/urls&gt;&lt;/record&gt;&lt;/Cite&gt;&lt;/EndNote&gt;</w:instrText>
      </w:r>
      <w:r w:rsidRPr="000E7EDD">
        <w:rPr>
          <w:rFonts w:ascii="Times New Roman" w:hAnsi="Times New Roman" w:cs="Times New Roman"/>
          <w:color w:val="000000" w:themeColor="text1"/>
          <w:sz w:val="20"/>
          <w:szCs w:val="20"/>
        </w:rPr>
        <w:fldChar w:fldCharType="separate"/>
      </w:r>
      <w:r w:rsidRPr="000E7EDD">
        <w:rPr>
          <w:rFonts w:ascii="Times New Roman" w:hAnsi="Times New Roman" w:cs="Times New Roman"/>
          <w:noProof/>
          <w:color w:val="000000" w:themeColor="text1"/>
          <w:sz w:val="20"/>
          <w:szCs w:val="20"/>
        </w:rPr>
        <w:t>[2]</w:t>
      </w:r>
      <w:r w:rsidRPr="000E7EDD">
        <w:rPr>
          <w:rFonts w:ascii="Times New Roman" w:hAnsi="Times New Roman" w:cs="Times New Roman"/>
          <w:color w:val="000000" w:themeColor="text1"/>
          <w:sz w:val="20"/>
          <w:szCs w:val="20"/>
        </w:rPr>
        <w:fldChar w:fldCharType="end"/>
      </w:r>
      <w:r w:rsidRPr="000E7EDD">
        <w:rPr>
          <w:rFonts w:ascii="Times New Roman" w:hAnsi="Times New Roman" w:cs="Times New Roman" w:hint="eastAsia"/>
          <w:color w:val="000000" w:themeColor="text1"/>
          <w:sz w:val="20"/>
          <w:szCs w:val="20"/>
        </w:rPr>
        <w:t xml:space="preserve"> Other outcomes included </w:t>
      </w:r>
      <w:bookmarkStart w:id="9" w:name="_Hlk190622806"/>
      <w:r w:rsidRPr="000E7EDD">
        <w:rPr>
          <w:rFonts w:ascii="Times New Roman" w:hAnsi="Times New Roman" w:cs="Times New Roman"/>
          <w:color w:val="000000" w:themeColor="text1"/>
          <w:sz w:val="20"/>
          <w:szCs w:val="20"/>
        </w:rPr>
        <w:t>preterm birth (ICD-10 codes O42</w:t>
      </w:r>
      <w:r w:rsidRPr="000E7EDD">
        <w:rPr>
          <w:rFonts w:ascii="Times New Roman" w:hAnsi="Times New Roman" w:cs="Times New Roman" w:hint="eastAsia"/>
          <w:color w:val="000000" w:themeColor="text1"/>
          <w:sz w:val="20"/>
          <w:szCs w:val="20"/>
        </w:rPr>
        <w:t xml:space="preserve"> [Premature rupture of membranes before 37 weeks]</w:t>
      </w:r>
      <w:r w:rsidRPr="000E7EDD">
        <w:rPr>
          <w:rFonts w:ascii="Times New Roman" w:hAnsi="Times New Roman" w:cs="Times New Roman"/>
          <w:color w:val="000000" w:themeColor="text1"/>
          <w:sz w:val="20"/>
          <w:szCs w:val="20"/>
        </w:rPr>
        <w:t>, P07.2</w:t>
      </w:r>
      <w:r w:rsidRPr="000E7EDD">
        <w:rPr>
          <w:rFonts w:ascii="Times New Roman" w:hAnsi="Times New Roman" w:cs="Times New Roman" w:hint="eastAsia"/>
          <w:color w:val="000000" w:themeColor="text1"/>
          <w:sz w:val="20"/>
          <w:szCs w:val="20"/>
        </w:rPr>
        <w:t xml:space="preserve"> [Extreme immaturity, less than 27 completed weeks]</w:t>
      </w:r>
      <w:r w:rsidRPr="000E7EDD">
        <w:rPr>
          <w:rFonts w:ascii="Times New Roman" w:hAnsi="Times New Roman" w:cs="Times New Roman"/>
          <w:color w:val="000000" w:themeColor="text1"/>
          <w:sz w:val="20"/>
          <w:szCs w:val="20"/>
        </w:rPr>
        <w:t>, P07.3</w:t>
      </w:r>
      <w:r w:rsidRPr="000E7EDD">
        <w:rPr>
          <w:rFonts w:ascii="Times New Roman" w:hAnsi="Times New Roman" w:cs="Times New Roman" w:hint="eastAsia"/>
          <w:color w:val="000000" w:themeColor="text1"/>
          <w:sz w:val="20"/>
          <w:szCs w:val="20"/>
        </w:rPr>
        <w:t xml:space="preserve"> [Other preterm infants, 28-36 completed weeks]</w:t>
      </w:r>
      <w:r w:rsidRPr="000E7EDD">
        <w:rPr>
          <w:rFonts w:ascii="Times New Roman" w:hAnsi="Times New Roman" w:cs="Times New Roman"/>
          <w:color w:val="000000" w:themeColor="text1"/>
          <w:sz w:val="20"/>
          <w:szCs w:val="20"/>
        </w:rPr>
        <w:t>),</w:t>
      </w:r>
      <w:r w:rsidRPr="000E7EDD">
        <w:rPr>
          <w:rFonts w:ascii="Times New Roman" w:hAnsi="Times New Roman" w:cs="Times New Roman" w:hint="eastAsia"/>
          <w:color w:val="000000" w:themeColor="text1"/>
          <w:sz w:val="20"/>
          <w:szCs w:val="20"/>
        </w:rPr>
        <w:t xml:space="preserve"> </w:t>
      </w:r>
      <w:r w:rsidRPr="000E7EDD">
        <w:rPr>
          <w:rFonts w:ascii="Times New Roman" w:hAnsi="Times New Roman" w:cs="Times New Roman"/>
          <w:color w:val="000000" w:themeColor="text1"/>
          <w:sz w:val="20"/>
          <w:szCs w:val="20"/>
        </w:rPr>
        <w:t xml:space="preserve">low </w:t>
      </w:r>
      <w:r w:rsidRPr="000E7EDD">
        <w:rPr>
          <w:rFonts w:ascii="Times New Roman" w:hAnsi="Times New Roman" w:cs="Times New Roman" w:hint="eastAsia"/>
          <w:color w:val="000000" w:themeColor="text1"/>
          <w:sz w:val="20"/>
          <w:szCs w:val="20"/>
        </w:rPr>
        <w:t>birth</w:t>
      </w:r>
      <w:r w:rsidRPr="000E7EDD">
        <w:rPr>
          <w:rFonts w:ascii="Times New Roman" w:hAnsi="Times New Roman" w:cs="Times New Roman"/>
          <w:color w:val="000000" w:themeColor="text1"/>
          <w:sz w:val="20"/>
          <w:szCs w:val="20"/>
        </w:rPr>
        <w:t xml:space="preserve"> weight (ICD-10 codes P07.0</w:t>
      </w:r>
      <w:r w:rsidRPr="000E7EDD">
        <w:rPr>
          <w:rFonts w:ascii="Times New Roman" w:hAnsi="Times New Roman" w:cs="Times New Roman" w:hint="eastAsia"/>
          <w:color w:val="000000" w:themeColor="text1"/>
          <w:sz w:val="20"/>
          <w:szCs w:val="20"/>
        </w:rPr>
        <w:t xml:space="preserve"> [Extremely low birth weight, less than </w:t>
      </w:r>
      <w:r w:rsidRPr="000E7EDD">
        <w:rPr>
          <w:rFonts w:ascii="Times New Roman" w:hAnsi="Times New Roman" w:cs="Times New Roman" w:hint="eastAsia"/>
          <w:color w:val="000000" w:themeColor="text1"/>
          <w:sz w:val="20"/>
          <w:szCs w:val="20"/>
        </w:rPr>
        <w:lastRenderedPageBreak/>
        <w:t>999 g]</w:t>
      </w:r>
      <w:r w:rsidRPr="000E7EDD">
        <w:rPr>
          <w:rFonts w:ascii="Times New Roman" w:hAnsi="Times New Roman" w:cs="Times New Roman"/>
          <w:color w:val="000000" w:themeColor="text1"/>
          <w:sz w:val="20"/>
          <w:szCs w:val="20"/>
        </w:rPr>
        <w:t>, P07.1</w:t>
      </w:r>
      <w:r w:rsidRPr="000E7EDD">
        <w:rPr>
          <w:rFonts w:ascii="Times New Roman" w:hAnsi="Times New Roman" w:cs="Times New Roman" w:hint="eastAsia"/>
          <w:color w:val="000000" w:themeColor="text1"/>
          <w:sz w:val="20"/>
          <w:szCs w:val="20"/>
        </w:rPr>
        <w:t xml:space="preserve"> [Other low birth weight, 1000-2499 g]</w:t>
      </w:r>
      <w:r w:rsidRPr="000E7EDD">
        <w:rPr>
          <w:rFonts w:ascii="Times New Roman" w:hAnsi="Times New Roman" w:cs="Times New Roman"/>
          <w:color w:val="000000" w:themeColor="text1"/>
          <w:sz w:val="20"/>
          <w:szCs w:val="20"/>
        </w:rPr>
        <w:t>)</w:t>
      </w:r>
      <w:r w:rsidRPr="000E7EDD">
        <w:rPr>
          <w:rFonts w:ascii="Times New Roman" w:hAnsi="Times New Roman" w:cs="Times New Roman" w:hint="eastAsia"/>
          <w:color w:val="000000" w:themeColor="text1"/>
          <w:sz w:val="20"/>
          <w:szCs w:val="20"/>
        </w:rPr>
        <w:t xml:space="preserve">, and </w:t>
      </w:r>
      <w:r w:rsidRPr="000E7EDD">
        <w:rPr>
          <w:rFonts w:ascii="Times New Roman" w:hAnsi="Times New Roman" w:cs="Times New Roman"/>
          <w:color w:val="000000" w:themeColor="text1"/>
          <w:sz w:val="20"/>
          <w:szCs w:val="20"/>
        </w:rPr>
        <w:t xml:space="preserve">high </w:t>
      </w:r>
      <w:r w:rsidRPr="000E7EDD">
        <w:rPr>
          <w:rFonts w:ascii="Times New Roman" w:hAnsi="Times New Roman" w:cs="Times New Roman" w:hint="eastAsia"/>
          <w:color w:val="000000" w:themeColor="text1"/>
          <w:sz w:val="20"/>
          <w:szCs w:val="20"/>
        </w:rPr>
        <w:t>birth</w:t>
      </w:r>
      <w:r w:rsidRPr="000E7EDD">
        <w:rPr>
          <w:rFonts w:ascii="Times New Roman" w:hAnsi="Times New Roman" w:cs="Times New Roman"/>
          <w:color w:val="000000" w:themeColor="text1"/>
          <w:sz w:val="20"/>
          <w:szCs w:val="20"/>
        </w:rPr>
        <w:t xml:space="preserve"> weight (ICD-10 codes P08.0</w:t>
      </w:r>
      <w:r w:rsidRPr="000E7EDD">
        <w:rPr>
          <w:rFonts w:ascii="Times New Roman" w:hAnsi="Times New Roman" w:cs="Times New Roman" w:hint="eastAsia"/>
          <w:color w:val="000000" w:themeColor="text1"/>
          <w:sz w:val="20"/>
          <w:szCs w:val="20"/>
        </w:rPr>
        <w:t xml:space="preserve"> [Exceptionally large baby, </w:t>
      </w:r>
      <w:r w:rsidRPr="000E7EDD">
        <w:rPr>
          <w:rFonts w:ascii="Times New Roman" w:eastAsia="맑은 고딕" w:hAnsi="Times New Roman" w:cs="Times New Roman"/>
          <w:color w:val="000000" w:themeColor="text1"/>
          <w:sz w:val="20"/>
          <w:szCs w:val="20"/>
        </w:rPr>
        <w:t>≥</w:t>
      </w:r>
      <w:r w:rsidRPr="000E7EDD">
        <w:rPr>
          <w:rFonts w:ascii="Times New Roman" w:hAnsi="Times New Roman" w:cs="Times New Roman" w:hint="eastAsia"/>
          <w:color w:val="000000" w:themeColor="text1"/>
          <w:sz w:val="20"/>
          <w:szCs w:val="20"/>
        </w:rPr>
        <w:t>4500 g]</w:t>
      </w:r>
      <w:r w:rsidRPr="000E7EDD">
        <w:rPr>
          <w:rFonts w:ascii="Times New Roman" w:hAnsi="Times New Roman" w:cs="Times New Roman"/>
          <w:color w:val="000000" w:themeColor="text1"/>
          <w:sz w:val="20"/>
          <w:szCs w:val="20"/>
        </w:rPr>
        <w:t>, P08.1</w:t>
      </w:r>
      <w:r w:rsidRPr="000E7EDD">
        <w:rPr>
          <w:rFonts w:ascii="Times New Roman" w:hAnsi="Times New Roman" w:cs="Times New Roman" w:hint="eastAsia"/>
          <w:color w:val="000000" w:themeColor="text1"/>
          <w:sz w:val="20"/>
          <w:szCs w:val="20"/>
        </w:rPr>
        <w:t xml:space="preserve"> [Other heavy for gestational age infants, fetus or infant heavy- or large- for dates regardless of period of gestation, usually implies a birth weight &gt;90</w:t>
      </w:r>
      <w:r w:rsidRPr="000E7EDD">
        <w:rPr>
          <w:rFonts w:ascii="Times New Roman" w:hAnsi="Times New Roman" w:cs="Times New Roman" w:hint="eastAsia"/>
          <w:color w:val="000000" w:themeColor="text1"/>
          <w:sz w:val="20"/>
          <w:szCs w:val="20"/>
          <w:vertAlign w:val="superscript"/>
        </w:rPr>
        <w:t xml:space="preserve">th </w:t>
      </w:r>
      <w:r w:rsidRPr="000E7EDD">
        <w:rPr>
          <w:rFonts w:ascii="Times New Roman" w:hAnsi="Times New Roman" w:cs="Times New Roman" w:hint="eastAsia"/>
          <w:color w:val="000000" w:themeColor="text1"/>
          <w:sz w:val="20"/>
          <w:szCs w:val="20"/>
        </w:rPr>
        <w:t>percentile for gestational age or 4000 g or more at term]</w:t>
      </w:r>
      <w:r w:rsidRPr="000E7EDD">
        <w:rPr>
          <w:rFonts w:ascii="Times New Roman" w:hAnsi="Times New Roman" w:cs="Times New Roman"/>
          <w:color w:val="000000" w:themeColor="text1"/>
          <w:sz w:val="20"/>
          <w:szCs w:val="20"/>
        </w:rPr>
        <w:t>).</w:t>
      </w:r>
      <w:r w:rsidRPr="000E7EDD">
        <w:rPr>
          <w:rFonts w:ascii="Times New Roman" w:hAnsi="Times New Roman" w:cs="Times New Roman" w:hint="eastAsia"/>
          <w:color w:val="000000" w:themeColor="text1"/>
          <w:sz w:val="20"/>
          <w:szCs w:val="20"/>
        </w:rPr>
        <w:t xml:space="preserve"> Preterm birth was defined as delivery before 37 weeks of gestation and low birth weight was defined as having a birth weight below 2500 g according to the World Health Organization criteria.</w:t>
      </w:r>
      <w:r w:rsidRPr="000E7EDD">
        <w:rPr>
          <w:rFonts w:ascii="Times New Roman" w:hAnsi="Times New Roman" w:cs="Times New Roman"/>
          <w:color w:val="000000" w:themeColor="text1"/>
          <w:sz w:val="20"/>
          <w:szCs w:val="20"/>
        </w:rPr>
        <w:fldChar w:fldCharType="begin"/>
      </w:r>
      <w:r w:rsidRPr="000E7EDD">
        <w:rPr>
          <w:rFonts w:ascii="Times New Roman" w:hAnsi="Times New Roman" w:cs="Times New Roman"/>
          <w:color w:val="000000" w:themeColor="text1"/>
          <w:sz w:val="20"/>
          <w:szCs w:val="20"/>
        </w:rPr>
        <w:instrText xml:space="preserve"> ADDIN EN.CITE &lt;EndNote&gt;&lt;Cite&gt;&lt;Author&gt;Organization&lt;/Author&gt;&lt;Year&gt;2022&lt;/Year&gt;&lt;RecNum&gt;203&lt;/RecNum&gt;&lt;DisplayText&gt;[3]&lt;/DisplayText&gt;&lt;record&gt;&lt;rec-number&gt;203&lt;/rec-number&gt;&lt;foreign-keys&gt;&lt;key app="EN" db-id="vp5vrzd595vaxre5axexwt2kad2v5tsw9rfr" timestamp="1739697973"&gt;203&lt;/key&gt;&lt;/foreign-keys&gt;&lt;ref-type name="Book"&gt;6&lt;/ref-type&gt;&lt;contributors&gt;&lt;authors&gt;&lt;author&gt;World Health Organization&lt;/author&gt;&lt;/authors&gt;&lt;/contributors&gt;&lt;titles&gt;&lt;title&gt;WHO recommendations for care of the preterm or low birth weight infant&lt;/title&gt;&lt;/titles&gt;&lt;dates&gt;&lt;year&gt;2022&lt;/year&gt;&lt;/dates&gt;&lt;publisher&gt;World Health Organization&lt;/publisher&gt;&lt;isbn&gt;9240058265&lt;/isbn&gt;&lt;urls&gt;&lt;/urls&gt;&lt;/record&gt;&lt;/Cite&gt;&lt;/EndNote&gt;</w:instrText>
      </w:r>
      <w:r w:rsidRPr="000E7EDD">
        <w:rPr>
          <w:rFonts w:ascii="Times New Roman" w:hAnsi="Times New Roman" w:cs="Times New Roman"/>
          <w:color w:val="000000" w:themeColor="text1"/>
          <w:sz w:val="20"/>
          <w:szCs w:val="20"/>
        </w:rPr>
        <w:fldChar w:fldCharType="separate"/>
      </w:r>
      <w:r w:rsidRPr="000E7EDD">
        <w:rPr>
          <w:rFonts w:ascii="Times New Roman" w:hAnsi="Times New Roman" w:cs="Times New Roman"/>
          <w:noProof/>
          <w:color w:val="000000" w:themeColor="text1"/>
          <w:sz w:val="20"/>
          <w:szCs w:val="20"/>
        </w:rPr>
        <w:t>[3]</w:t>
      </w:r>
      <w:r w:rsidRPr="000E7EDD">
        <w:rPr>
          <w:rFonts w:ascii="Times New Roman" w:hAnsi="Times New Roman" w:cs="Times New Roman"/>
          <w:color w:val="000000" w:themeColor="text1"/>
          <w:sz w:val="20"/>
          <w:szCs w:val="20"/>
        </w:rPr>
        <w:fldChar w:fldCharType="end"/>
      </w:r>
      <w:bookmarkEnd w:id="7"/>
      <w:bookmarkEnd w:id="9"/>
      <w:r w:rsidRPr="000E7EDD">
        <w:rPr>
          <w:rFonts w:ascii="Times New Roman" w:hAnsi="Times New Roman" w:cs="Times New Roman" w:hint="eastAsia"/>
          <w:color w:val="000000" w:themeColor="text1"/>
          <w:sz w:val="20"/>
          <w:szCs w:val="20"/>
        </w:rPr>
        <w:t xml:space="preserve"> </w:t>
      </w:r>
      <w:bookmarkStart w:id="10" w:name="_Hlk190697896"/>
      <w:bookmarkEnd w:id="8"/>
      <w:r w:rsidRPr="000E7EDD">
        <w:rPr>
          <w:rFonts w:ascii="Times New Roman" w:hAnsi="Times New Roman" w:cs="Times New Roman" w:hint="eastAsia"/>
          <w:color w:val="000000" w:themeColor="text1"/>
          <w:sz w:val="20"/>
          <w:szCs w:val="20"/>
        </w:rPr>
        <w:t>Congenital malformations were assessed as a binary outcome, defined as the presence or absence of malformations with the first 30 days of life. Since these conditions are typically diagnosed at birth or during the neonatal period, they were analyzed using logistic regression models.</w:t>
      </w:r>
      <w:bookmarkEnd w:id="10"/>
    </w:p>
    <w:bookmarkEnd w:id="6"/>
    <w:p w14:paraId="54F7CC35" w14:textId="77777777" w:rsidR="005424BB" w:rsidRPr="000E7EDD" w:rsidRDefault="005424BB" w:rsidP="00DD3341">
      <w:pPr>
        <w:pBdr>
          <w:top w:val="nil"/>
          <w:left w:val="nil"/>
          <w:bottom w:val="nil"/>
          <w:right w:val="nil"/>
          <w:between w:val="nil"/>
        </w:pBdr>
        <w:spacing w:line="480" w:lineRule="auto"/>
        <w:ind w:right="-80" w:firstLine="720"/>
        <w:jc w:val="both"/>
        <w:rPr>
          <w:rFonts w:ascii="Times New Roman" w:hAnsi="Times New Roman" w:cs="Times New Roman" w:hint="eastAsia"/>
          <w:b/>
          <w:color w:val="000000" w:themeColor="text1"/>
          <w:sz w:val="20"/>
          <w:szCs w:val="20"/>
        </w:rPr>
      </w:pPr>
    </w:p>
    <w:p w14:paraId="24B7C8A2" w14:textId="397202F0" w:rsidR="00DD3341" w:rsidRPr="000E7EDD" w:rsidRDefault="00DD3341" w:rsidP="00DD3341">
      <w:pPr>
        <w:pBdr>
          <w:top w:val="nil"/>
          <w:left w:val="nil"/>
          <w:bottom w:val="nil"/>
          <w:right w:val="nil"/>
          <w:between w:val="nil"/>
        </w:pBdr>
        <w:spacing w:line="480" w:lineRule="auto"/>
        <w:ind w:right="-80" w:firstLine="720"/>
        <w:jc w:val="both"/>
        <w:rPr>
          <w:rFonts w:ascii="Times New Roman" w:hAnsi="Times New Roman" w:cs="Times New Roman"/>
          <w:b/>
          <w:color w:val="000000" w:themeColor="text1"/>
          <w:sz w:val="20"/>
          <w:szCs w:val="20"/>
        </w:rPr>
      </w:pPr>
      <w:r w:rsidRPr="000E7EDD">
        <w:rPr>
          <w:rFonts w:ascii="Times New Roman" w:hAnsi="Times New Roman" w:cs="Times New Roman"/>
          <w:b/>
          <w:color w:val="000000" w:themeColor="text1"/>
          <w:sz w:val="20"/>
          <w:szCs w:val="20"/>
        </w:rPr>
        <w:t xml:space="preserve">Statistical </w:t>
      </w:r>
      <w:proofErr w:type="gramStart"/>
      <w:r w:rsidRPr="000E7EDD">
        <w:rPr>
          <w:rFonts w:ascii="Times New Roman" w:hAnsi="Times New Roman" w:cs="Times New Roman"/>
          <w:b/>
          <w:color w:val="000000" w:themeColor="text1"/>
          <w:sz w:val="20"/>
          <w:szCs w:val="20"/>
        </w:rPr>
        <w:t>analyses</w:t>
      </w:r>
      <w:proofErr w:type="gramEnd"/>
    </w:p>
    <w:p w14:paraId="3998B463" w14:textId="23DDD9CF" w:rsidR="00DD3341" w:rsidRPr="000E7EDD" w:rsidRDefault="00DD3341" w:rsidP="00DD3341">
      <w:pPr>
        <w:pBdr>
          <w:top w:val="nil"/>
          <w:left w:val="nil"/>
          <w:bottom w:val="nil"/>
          <w:right w:val="nil"/>
          <w:between w:val="nil"/>
        </w:pBdr>
        <w:spacing w:line="480" w:lineRule="auto"/>
        <w:ind w:right="-80" w:firstLine="720"/>
        <w:jc w:val="both"/>
        <w:rPr>
          <w:rFonts w:ascii="Times New Roman" w:hAnsi="Times New Roman" w:cs="Times New Roman"/>
          <w:color w:val="000000" w:themeColor="text1"/>
          <w:sz w:val="20"/>
          <w:szCs w:val="20"/>
        </w:rPr>
      </w:pPr>
      <w:r w:rsidRPr="000E7EDD">
        <w:rPr>
          <w:rFonts w:ascii="Times New Roman" w:hAnsi="Times New Roman" w:cs="Times New Roman"/>
          <w:color w:val="000000" w:themeColor="text1"/>
          <w:sz w:val="20"/>
          <w:szCs w:val="20"/>
        </w:rPr>
        <w:t xml:space="preserve">Continuous variables were compared using Student’s t-test, and categorical variables were compared using the chi-square test. </w:t>
      </w:r>
    </w:p>
    <w:p w14:paraId="324D0305" w14:textId="10F98E21" w:rsidR="00DD3341" w:rsidRPr="000E7EDD" w:rsidRDefault="00DD3341" w:rsidP="00DD3341">
      <w:pPr>
        <w:pBdr>
          <w:top w:val="nil"/>
          <w:left w:val="nil"/>
          <w:bottom w:val="nil"/>
          <w:right w:val="nil"/>
          <w:between w:val="nil"/>
        </w:pBdr>
        <w:spacing w:line="480" w:lineRule="auto"/>
        <w:ind w:right="-80" w:firstLine="720"/>
        <w:jc w:val="both"/>
        <w:rPr>
          <w:rFonts w:ascii="Times New Roman" w:hAnsi="Times New Roman" w:cs="Times New Roman"/>
          <w:color w:val="000000" w:themeColor="text1"/>
          <w:sz w:val="20"/>
          <w:szCs w:val="20"/>
        </w:rPr>
      </w:pPr>
      <w:bookmarkStart w:id="11" w:name="_Hlk190719010"/>
      <w:r w:rsidRPr="000E7EDD">
        <w:rPr>
          <w:rFonts w:ascii="Times New Roman" w:hAnsi="Times New Roman" w:cs="Times New Roman"/>
          <w:color w:val="000000" w:themeColor="text1"/>
          <w:sz w:val="20"/>
          <w:szCs w:val="20"/>
        </w:rPr>
        <w:t>Covariates included maternal characteristics (age, year of delivery, parity, and socioeconomic status), maternal comorbidities (diabetes mellitus [ICD-10: E10-E14], hypertension [ICD-10: I10-I13, I15]), and concomitant medications (antidiabetic agents, antihypertensives, and antidepressants, as detailed in Supplementary Table 3). Socioeconomic status, a potential confounder in health disparity research, was assessed using the 20-tier insurance premium classification provided by the NHIS. Baseline characteristics, such as maternal age, delivery year, and income level, were collected at the time of delivery, while comorbidities were identified based on diagnostic codes within one year before pregnancy. Concomitant medication use was determined from prescription records within one year before pregnancy.</w:t>
      </w:r>
      <w:r w:rsidRPr="000E7EDD">
        <w:rPr>
          <w:rFonts w:ascii="Times New Roman" w:hAnsi="Times New Roman" w:cs="Times New Roman" w:hint="eastAsia"/>
          <w:color w:val="000000" w:themeColor="text1"/>
          <w:sz w:val="20"/>
          <w:szCs w:val="20"/>
        </w:rPr>
        <w:t xml:space="preserve"> </w:t>
      </w:r>
      <w:bookmarkEnd w:id="11"/>
    </w:p>
    <w:p w14:paraId="4F79B47A" w14:textId="771BB3D0" w:rsidR="00DD3341" w:rsidRPr="000E7EDD" w:rsidRDefault="00DD3341" w:rsidP="00DD3341">
      <w:pPr>
        <w:pBdr>
          <w:top w:val="nil"/>
          <w:left w:val="nil"/>
          <w:bottom w:val="nil"/>
          <w:right w:val="nil"/>
          <w:between w:val="nil"/>
        </w:pBdr>
        <w:spacing w:line="480" w:lineRule="auto"/>
        <w:ind w:right="-80" w:firstLine="720"/>
        <w:jc w:val="both"/>
        <w:rPr>
          <w:rFonts w:ascii="Times New Roman" w:hAnsi="Times New Roman" w:cs="Times New Roman"/>
          <w:color w:val="000000" w:themeColor="text1"/>
          <w:sz w:val="20"/>
          <w:szCs w:val="20"/>
        </w:rPr>
      </w:pPr>
      <w:r w:rsidRPr="000E7EDD">
        <w:rPr>
          <w:rFonts w:ascii="Times New Roman" w:hAnsi="Times New Roman" w:cs="Times New Roman"/>
          <w:color w:val="000000" w:themeColor="text1"/>
          <w:sz w:val="20"/>
          <w:szCs w:val="20"/>
        </w:rPr>
        <w:t xml:space="preserve">Standardized mean differences (SMDs) were utilized to compare the baseline characteristics of statin-exposed and </w:t>
      </w:r>
      <w:proofErr w:type="gramStart"/>
      <w:r w:rsidRPr="000E7EDD">
        <w:rPr>
          <w:rFonts w:ascii="Times New Roman" w:hAnsi="Times New Roman" w:cs="Times New Roman"/>
          <w:color w:val="000000" w:themeColor="text1"/>
          <w:sz w:val="20"/>
          <w:szCs w:val="20"/>
        </w:rPr>
        <w:t>statin</w:t>
      </w:r>
      <w:proofErr w:type="gramEnd"/>
      <w:r w:rsidRPr="000E7EDD">
        <w:rPr>
          <w:rFonts w:ascii="Times New Roman" w:hAnsi="Times New Roman" w:cs="Times New Roman"/>
          <w:color w:val="000000" w:themeColor="text1"/>
          <w:sz w:val="20"/>
          <w:szCs w:val="20"/>
        </w:rPr>
        <w:t>-unexposed pregnancies. An SMD value of less than 0.1 was considered indicative of balanced characteristics between the two groups.</w:t>
      </w:r>
      <w:r w:rsidRPr="000E7EDD">
        <w:rPr>
          <w:rFonts w:ascii="Times New Roman" w:hAnsi="Times New Roman" w:cs="Times New Roman" w:hint="eastAsia"/>
          <w:color w:val="000000" w:themeColor="text1"/>
          <w:sz w:val="20"/>
          <w:szCs w:val="20"/>
        </w:rPr>
        <w:t xml:space="preserve"> For all outcomes, logistic regression models were applied to estimate the ORs and 95% </w:t>
      </w:r>
      <w:r w:rsidRPr="000E7EDD">
        <w:rPr>
          <w:rFonts w:ascii="Times New Roman" w:hAnsi="Times New Roman" w:cs="Times New Roman"/>
          <w:color w:val="000000" w:themeColor="text1"/>
          <w:sz w:val="20"/>
          <w:szCs w:val="20"/>
        </w:rPr>
        <w:t>confidence intervals (CI)</w:t>
      </w:r>
      <w:r w:rsidRPr="000E7EDD">
        <w:rPr>
          <w:rFonts w:ascii="Times New Roman" w:hAnsi="Times New Roman" w:cs="Times New Roman" w:hint="eastAsia"/>
          <w:color w:val="000000" w:themeColor="text1"/>
          <w:sz w:val="20"/>
          <w:szCs w:val="20"/>
        </w:rPr>
        <w:t xml:space="preserve">. </w:t>
      </w:r>
    </w:p>
    <w:p w14:paraId="0B0D881C" w14:textId="528619DF" w:rsidR="00DD3341" w:rsidRPr="000E7EDD" w:rsidRDefault="00DD3341" w:rsidP="00DD3341">
      <w:pPr>
        <w:pBdr>
          <w:top w:val="nil"/>
          <w:left w:val="nil"/>
          <w:bottom w:val="nil"/>
          <w:right w:val="nil"/>
          <w:between w:val="nil"/>
        </w:pBdr>
        <w:spacing w:line="480" w:lineRule="auto"/>
        <w:ind w:right="-80" w:firstLine="720"/>
        <w:jc w:val="both"/>
        <w:rPr>
          <w:rFonts w:ascii="Times New Roman" w:hAnsi="Times New Roman" w:cs="Times New Roman"/>
          <w:color w:val="000000" w:themeColor="text1"/>
          <w:sz w:val="20"/>
          <w:szCs w:val="20"/>
        </w:rPr>
      </w:pPr>
      <w:r w:rsidRPr="000E7EDD">
        <w:rPr>
          <w:rFonts w:ascii="Times New Roman" w:hAnsi="Times New Roman" w:cs="Times New Roman"/>
          <w:color w:val="000000" w:themeColor="text1"/>
          <w:sz w:val="20"/>
          <w:szCs w:val="20"/>
        </w:rPr>
        <w:t>Statin intensity was categorized according to the 2013 the American College of Cardiology and the American Heart Association Guidelines, which classify statins by type and daily dose.</w:t>
      </w:r>
      <w:r w:rsidRPr="000E7EDD">
        <w:rPr>
          <w:rFonts w:ascii="Times New Roman" w:hAnsi="Times New Roman" w:cs="Times New Roman"/>
          <w:color w:val="000000" w:themeColor="text1"/>
          <w:sz w:val="20"/>
          <w:szCs w:val="20"/>
        </w:rPr>
        <w:fldChar w:fldCharType="begin"/>
      </w:r>
      <w:r w:rsidR="005424BB" w:rsidRPr="000E7EDD">
        <w:rPr>
          <w:rFonts w:ascii="Times New Roman" w:hAnsi="Times New Roman" w:cs="Times New Roman"/>
          <w:color w:val="000000" w:themeColor="text1"/>
          <w:sz w:val="20"/>
          <w:szCs w:val="20"/>
        </w:rPr>
        <w:instrText xml:space="preserve"> ADDIN EN.CITE &lt;EndNote&gt;&lt;Cite&gt;&lt;Author&gt;Stone&lt;/Author&gt;&lt;Year&gt;2014&lt;/Year&gt;&lt;RecNum&gt;160&lt;/RecNum&gt;&lt;DisplayText&gt;[4]&lt;/DisplayText&gt;&lt;record&gt;&lt;rec-number&gt;160&lt;/rec-number&gt;&lt;foreign-keys&gt;&lt;key app="EN" db-id="vp5vrzd595vaxre5axexwt2kad2v5tsw9rfr" timestamp="1721285780"&gt;160&lt;/key&gt;&lt;/foreign-keys&gt;&lt;ref-type name="Journal Article"&gt;17&lt;/ref-type&gt;&lt;contributors&gt;&lt;authors&gt;&lt;author&gt;Stone, Neil J&lt;/author&gt;&lt;author&gt;Robinson, Jennifer G&lt;/author&gt;&lt;author&gt;Lichtenstein, Alice H&lt;/author&gt;&lt;author&gt;Goff Jr, David C&lt;/author&gt;&lt;author&gt;Lloyd-Jones, Donald M&lt;/author&gt;&lt;author&gt;Smith Jr, Sidney C&lt;/author&gt;&lt;author&gt;Blum, Conrad&lt;/author&gt;&lt;author&gt;Schwartz, J Sanford&lt;/author&gt;&lt;author&gt;ACC/AHA Cholesterol Guideline Panel*&lt;/author&gt;&lt;/authors&gt;&lt;/contributors&gt;&lt;titles&gt;&lt;title&gt;Treatment of blood cholesterol to reduce atherosclerotic cardiovascular disease risk in adults: synopsis of the 2013 American College of Cardiology/American Heart Association cholesterol guideline&lt;/title&gt;&lt;secondary-title&gt;Annals of internal medicine&lt;/secondary-title&gt;&lt;/titles&gt;&lt;periodical&gt;&lt;full-title&gt;Annals of internal medicine&lt;/full-title&gt;&lt;/periodical&gt;&lt;pages&gt;339-343&lt;/pages&gt;&lt;volume&gt;160&lt;/volume&gt;&lt;number&gt;5&lt;/number&gt;&lt;dates&gt;&lt;year&gt;2014&lt;/year&gt;&lt;/dates&gt;&lt;isbn&gt;0003-4819&lt;/isbn&gt;&lt;urls&gt;&lt;/urls&gt;&lt;/record&gt;&lt;/Cite&gt;&lt;/EndNote&gt;</w:instrText>
      </w:r>
      <w:r w:rsidRPr="000E7EDD">
        <w:rPr>
          <w:rFonts w:ascii="Times New Roman" w:hAnsi="Times New Roman" w:cs="Times New Roman"/>
          <w:color w:val="000000" w:themeColor="text1"/>
          <w:sz w:val="20"/>
          <w:szCs w:val="20"/>
        </w:rPr>
        <w:fldChar w:fldCharType="separate"/>
      </w:r>
      <w:r w:rsidR="005424BB" w:rsidRPr="000E7EDD">
        <w:rPr>
          <w:rFonts w:ascii="Times New Roman" w:hAnsi="Times New Roman" w:cs="Times New Roman"/>
          <w:noProof/>
          <w:color w:val="000000" w:themeColor="text1"/>
          <w:sz w:val="20"/>
          <w:szCs w:val="20"/>
        </w:rPr>
        <w:t>[4]</w:t>
      </w:r>
      <w:r w:rsidRPr="000E7EDD">
        <w:rPr>
          <w:rFonts w:ascii="Times New Roman" w:hAnsi="Times New Roman" w:cs="Times New Roman"/>
          <w:color w:val="000000" w:themeColor="text1"/>
          <w:sz w:val="20"/>
          <w:szCs w:val="20"/>
        </w:rPr>
        <w:fldChar w:fldCharType="end"/>
      </w:r>
      <w:r w:rsidRPr="000E7EDD">
        <w:rPr>
          <w:rFonts w:ascii="Times New Roman" w:hAnsi="Times New Roman" w:cs="Times New Roman"/>
          <w:color w:val="000000" w:themeColor="text1"/>
          <w:sz w:val="20"/>
          <w:szCs w:val="20"/>
        </w:rPr>
        <w:t xml:space="preserve"> High-intensity statins included atorvastatin 40-80 mg and rosuvastatin 20-40 mg. Low-intensity statins included simvastatin 10 mg, pravastatin 10-20 mg, lovastatin 20 mg, fluvastatin 20-40 mg, and </w:t>
      </w:r>
      <w:proofErr w:type="spellStart"/>
      <w:r w:rsidRPr="000E7EDD">
        <w:rPr>
          <w:rFonts w:ascii="Times New Roman" w:hAnsi="Times New Roman" w:cs="Times New Roman"/>
          <w:color w:val="000000" w:themeColor="text1"/>
          <w:sz w:val="20"/>
          <w:szCs w:val="20"/>
        </w:rPr>
        <w:t>pitavastatin</w:t>
      </w:r>
      <w:proofErr w:type="spellEnd"/>
      <w:r w:rsidRPr="000E7EDD">
        <w:rPr>
          <w:rFonts w:ascii="Times New Roman" w:hAnsi="Times New Roman" w:cs="Times New Roman"/>
          <w:color w:val="000000" w:themeColor="text1"/>
          <w:sz w:val="20"/>
          <w:szCs w:val="20"/>
        </w:rPr>
        <w:t xml:space="preserve"> 1 mg. The remaining daily doses of </w:t>
      </w:r>
      <w:r w:rsidRPr="000E7EDD">
        <w:rPr>
          <w:rFonts w:ascii="Times New Roman" w:hAnsi="Times New Roman" w:cs="Times New Roman"/>
          <w:color w:val="000000" w:themeColor="text1"/>
          <w:sz w:val="20"/>
          <w:szCs w:val="20"/>
        </w:rPr>
        <w:lastRenderedPageBreak/>
        <w:t>statin therapy were classified as moderate-intensity statins.</w:t>
      </w:r>
    </w:p>
    <w:p w14:paraId="212B6135" w14:textId="77777777" w:rsidR="00DD3341" w:rsidRPr="000E7EDD" w:rsidRDefault="00DD3341" w:rsidP="00DD3341">
      <w:pPr>
        <w:pBdr>
          <w:top w:val="nil"/>
          <w:left w:val="nil"/>
          <w:bottom w:val="nil"/>
          <w:right w:val="nil"/>
          <w:between w:val="nil"/>
        </w:pBdr>
        <w:spacing w:line="480" w:lineRule="auto"/>
        <w:ind w:right="-80" w:firstLine="720"/>
        <w:jc w:val="both"/>
        <w:rPr>
          <w:rFonts w:ascii="Times New Roman" w:hAnsi="Times New Roman" w:cs="Times New Roman"/>
          <w:color w:val="000000" w:themeColor="text1"/>
          <w:sz w:val="20"/>
          <w:szCs w:val="20"/>
        </w:rPr>
      </w:pPr>
      <w:r w:rsidRPr="000E7EDD">
        <w:rPr>
          <w:rFonts w:ascii="Times New Roman" w:hAnsi="Times New Roman" w:cs="Times New Roman"/>
          <w:color w:val="000000" w:themeColor="text1"/>
          <w:sz w:val="20"/>
          <w:szCs w:val="20"/>
        </w:rPr>
        <w:t xml:space="preserve">Sensitivity analyses </w:t>
      </w:r>
      <w:r w:rsidRPr="000E7EDD">
        <w:rPr>
          <w:rFonts w:ascii="Times New Roman" w:hAnsi="Times New Roman" w:cs="Times New Roman" w:hint="eastAsia"/>
          <w:color w:val="000000" w:themeColor="text1"/>
          <w:sz w:val="20"/>
          <w:szCs w:val="20"/>
        </w:rPr>
        <w:t>were performed to assess</w:t>
      </w:r>
      <w:r w:rsidRPr="000E7EDD">
        <w:rPr>
          <w:rFonts w:ascii="Times New Roman" w:hAnsi="Times New Roman" w:cs="Times New Roman"/>
          <w:color w:val="000000" w:themeColor="text1"/>
          <w:sz w:val="20"/>
          <w:szCs w:val="20"/>
        </w:rPr>
        <w:t xml:space="preserve"> the robustness of the primary findings</w:t>
      </w:r>
      <w:r w:rsidRPr="000E7EDD">
        <w:rPr>
          <w:rFonts w:ascii="Times New Roman" w:hAnsi="Times New Roman" w:cs="Times New Roman" w:hint="eastAsia"/>
          <w:color w:val="000000" w:themeColor="text1"/>
          <w:sz w:val="20"/>
          <w:szCs w:val="20"/>
        </w:rPr>
        <w:t xml:space="preserve"> from different perspectives</w:t>
      </w:r>
      <w:r w:rsidRPr="000E7EDD">
        <w:rPr>
          <w:rFonts w:ascii="Times New Roman" w:hAnsi="Times New Roman" w:cs="Times New Roman"/>
          <w:color w:val="000000" w:themeColor="text1"/>
          <w:sz w:val="20"/>
          <w:szCs w:val="20"/>
        </w:rPr>
        <w:t xml:space="preserve">. </w:t>
      </w:r>
      <w:r w:rsidRPr="000E7EDD">
        <w:rPr>
          <w:rFonts w:ascii="Times New Roman" w:hAnsi="Times New Roman" w:cs="Times New Roman" w:hint="eastAsia"/>
          <w:color w:val="000000" w:themeColor="text1"/>
          <w:sz w:val="20"/>
          <w:szCs w:val="20"/>
        </w:rPr>
        <w:t>First, c</w:t>
      </w:r>
      <w:r w:rsidRPr="000E7EDD">
        <w:rPr>
          <w:rFonts w:ascii="Times New Roman" w:hAnsi="Times New Roman" w:cs="Times New Roman"/>
          <w:color w:val="000000" w:themeColor="text1"/>
          <w:sz w:val="20"/>
          <w:szCs w:val="20"/>
        </w:rPr>
        <w:t xml:space="preserve">onsidering the first eight weeks of pregnancy as a </w:t>
      </w:r>
      <w:r w:rsidRPr="000E7EDD">
        <w:rPr>
          <w:rFonts w:ascii="Times New Roman" w:hAnsi="Times New Roman" w:cs="Times New Roman" w:hint="eastAsia"/>
          <w:color w:val="000000" w:themeColor="text1"/>
          <w:sz w:val="20"/>
          <w:szCs w:val="20"/>
        </w:rPr>
        <w:t>critical window</w:t>
      </w:r>
      <w:r w:rsidRPr="000E7EDD">
        <w:rPr>
          <w:rFonts w:ascii="Times New Roman" w:hAnsi="Times New Roman" w:cs="Times New Roman"/>
          <w:color w:val="000000" w:themeColor="text1"/>
          <w:sz w:val="20"/>
          <w:szCs w:val="20"/>
        </w:rPr>
        <w:t xml:space="preserve"> for organogenesis, </w:t>
      </w:r>
      <w:r w:rsidRPr="000E7EDD">
        <w:rPr>
          <w:rFonts w:ascii="Times New Roman" w:hAnsi="Times New Roman" w:cs="Times New Roman" w:hint="eastAsia"/>
          <w:color w:val="000000" w:themeColor="text1"/>
          <w:sz w:val="20"/>
          <w:szCs w:val="20"/>
        </w:rPr>
        <w:t xml:space="preserve">we refined </w:t>
      </w:r>
      <w:r w:rsidRPr="000E7EDD">
        <w:rPr>
          <w:rFonts w:ascii="Times New Roman" w:hAnsi="Times New Roman" w:cs="Times New Roman"/>
          <w:color w:val="000000" w:themeColor="text1"/>
          <w:sz w:val="20"/>
          <w:szCs w:val="20"/>
        </w:rPr>
        <w:t xml:space="preserve">the definition of early pregnancy exposure </w:t>
      </w:r>
      <w:r w:rsidRPr="000E7EDD">
        <w:rPr>
          <w:rFonts w:ascii="Times New Roman" w:hAnsi="Times New Roman" w:cs="Times New Roman" w:hint="eastAsia"/>
          <w:color w:val="000000" w:themeColor="text1"/>
          <w:sz w:val="20"/>
          <w:szCs w:val="20"/>
        </w:rPr>
        <w:t>by adjusting the exposure period</w:t>
      </w:r>
      <w:r w:rsidRPr="000E7EDD">
        <w:rPr>
          <w:rFonts w:ascii="Times New Roman" w:hAnsi="Times New Roman" w:cs="Times New Roman"/>
          <w:color w:val="000000" w:themeColor="text1"/>
          <w:sz w:val="20"/>
          <w:szCs w:val="20"/>
        </w:rPr>
        <w:t xml:space="preserve"> from 90 days to eight weeks. </w:t>
      </w:r>
      <w:bookmarkStart w:id="12" w:name="_Hlk190354605"/>
      <w:r w:rsidRPr="000E7EDD">
        <w:rPr>
          <w:rFonts w:ascii="Times New Roman" w:hAnsi="Times New Roman" w:cs="Times New Roman" w:hint="eastAsia"/>
          <w:color w:val="000000" w:themeColor="text1"/>
          <w:sz w:val="20"/>
          <w:szCs w:val="20"/>
        </w:rPr>
        <w:t>Second, acknowledging</w:t>
      </w:r>
      <w:r w:rsidRPr="000E7EDD">
        <w:rPr>
          <w:rFonts w:ascii="Times New Roman" w:hAnsi="Times New Roman" w:cs="Times New Roman"/>
          <w:color w:val="000000" w:themeColor="text1"/>
          <w:sz w:val="20"/>
          <w:szCs w:val="20"/>
        </w:rPr>
        <w:t xml:space="preserve"> that claims data </w:t>
      </w:r>
      <w:r w:rsidRPr="000E7EDD">
        <w:rPr>
          <w:rFonts w:ascii="Times New Roman" w:hAnsi="Times New Roman" w:cs="Times New Roman" w:hint="eastAsia"/>
          <w:color w:val="000000" w:themeColor="text1"/>
          <w:sz w:val="20"/>
          <w:szCs w:val="20"/>
        </w:rPr>
        <w:t>capture</w:t>
      </w:r>
      <w:r w:rsidRPr="000E7EDD">
        <w:rPr>
          <w:rFonts w:ascii="Times New Roman" w:hAnsi="Times New Roman" w:cs="Times New Roman"/>
          <w:color w:val="000000" w:themeColor="text1"/>
          <w:sz w:val="20"/>
          <w:szCs w:val="20"/>
        </w:rPr>
        <w:t xml:space="preserve"> prescriptions rather than actual medication intake, we conducted a sensitivity analysis to </w:t>
      </w:r>
      <w:r w:rsidRPr="000E7EDD">
        <w:rPr>
          <w:rFonts w:ascii="Times New Roman" w:hAnsi="Times New Roman" w:cs="Times New Roman" w:hint="eastAsia"/>
          <w:color w:val="000000" w:themeColor="text1"/>
          <w:sz w:val="20"/>
          <w:szCs w:val="20"/>
        </w:rPr>
        <w:t>evaluate</w:t>
      </w:r>
      <w:r w:rsidRPr="000E7EDD">
        <w:rPr>
          <w:rFonts w:ascii="Times New Roman" w:hAnsi="Times New Roman" w:cs="Times New Roman"/>
          <w:color w:val="000000" w:themeColor="text1"/>
          <w:sz w:val="20"/>
          <w:szCs w:val="20"/>
        </w:rPr>
        <w:t xml:space="preserve"> the potential impact of non-adherence. In this analysis, we restricted the </w:t>
      </w:r>
      <w:proofErr w:type="gramStart"/>
      <w:r w:rsidRPr="000E7EDD">
        <w:rPr>
          <w:rFonts w:ascii="Times New Roman" w:hAnsi="Times New Roman" w:cs="Times New Roman"/>
          <w:color w:val="000000" w:themeColor="text1"/>
          <w:sz w:val="20"/>
          <w:szCs w:val="20"/>
        </w:rPr>
        <w:t>statin</w:t>
      </w:r>
      <w:proofErr w:type="gramEnd"/>
      <w:r w:rsidRPr="000E7EDD">
        <w:rPr>
          <w:rFonts w:ascii="Times New Roman" w:hAnsi="Times New Roman" w:cs="Times New Roman"/>
          <w:color w:val="000000" w:themeColor="text1"/>
          <w:sz w:val="20"/>
          <w:szCs w:val="20"/>
        </w:rPr>
        <w:t>-exposed group to individuals with at least two recorded prescriptions, under the assumption that repeated dispensing increases the likelihood of actual medication use.</w:t>
      </w:r>
      <w:bookmarkEnd w:id="12"/>
    </w:p>
    <w:p w14:paraId="4C57D65C" w14:textId="77777777" w:rsidR="00DD3341" w:rsidRPr="000E7EDD" w:rsidRDefault="00DD3341">
      <w:pPr>
        <w:rPr>
          <w:color w:val="000000" w:themeColor="text1"/>
        </w:rPr>
      </w:pPr>
    </w:p>
    <w:p w14:paraId="5B6F7E92" w14:textId="48B2302E" w:rsidR="00DD3341" w:rsidRPr="000E7EDD" w:rsidRDefault="00DD3341">
      <w:pPr>
        <w:rPr>
          <w:rFonts w:ascii="Times New Roman" w:hAnsi="Times New Roman" w:cs="Times New Roman"/>
          <w:b/>
          <w:bCs/>
          <w:color w:val="000000" w:themeColor="text1"/>
          <w:sz w:val="24"/>
          <w:szCs w:val="28"/>
        </w:rPr>
      </w:pPr>
      <w:r w:rsidRPr="000E7EDD">
        <w:rPr>
          <w:rFonts w:ascii="Times New Roman" w:hAnsi="Times New Roman" w:cs="Times New Roman"/>
          <w:b/>
          <w:bCs/>
          <w:color w:val="000000" w:themeColor="text1"/>
          <w:sz w:val="24"/>
          <w:szCs w:val="28"/>
        </w:rPr>
        <w:t>References</w:t>
      </w:r>
    </w:p>
    <w:p w14:paraId="017DA021" w14:textId="77777777" w:rsidR="005424BB" w:rsidRPr="000E7EDD" w:rsidRDefault="00DD3341" w:rsidP="005424BB">
      <w:pPr>
        <w:pStyle w:val="EndNoteBibliography"/>
        <w:spacing w:after="0"/>
        <w:ind w:left="720" w:hanging="720"/>
        <w:rPr>
          <w:color w:val="000000" w:themeColor="text1"/>
        </w:rPr>
      </w:pPr>
      <w:r w:rsidRPr="000E7EDD">
        <w:rPr>
          <w:color w:val="000000" w:themeColor="text1"/>
        </w:rPr>
        <w:fldChar w:fldCharType="begin"/>
      </w:r>
      <w:r w:rsidRPr="000E7EDD">
        <w:rPr>
          <w:color w:val="000000" w:themeColor="text1"/>
        </w:rPr>
        <w:instrText xml:space="preserve"> ADDIN EN.REFLIST </w:instrText>
      </w:r>
      <w:r w:rsidRPr="000E7EDD">
        <w:rPr>
          <w:color w:val="000000" w:themeColor="text1"/>
        </w:rPr>
        <w:fldChar w:fldCharType="separate"/>
      </w:r>
      <w:r w:rsidR="005424BB" w:rsidRPr="000E7EDD">
        <w:rPr>
          <w:color w:val="000000" w:themeColor="text1"/>
        </w:rPr>
        <w:t>1.</w:t>
      </w:r>
      <w:r w:rsidR="005424BB" w:rsidRPr="000E7EDD">
        <w:rPr>
          <w:color w:val="000000" w:themeColor="text1"/>
        </w:rPr>
        <w:tab/>
        <w:t xml:space="preserve">Margulis, A.V., et al., </w:t>
      </w:r>
      <w:r w:rsidR="005424BB" w:rsidRPr="000E7EDD">
        <w:rPr>
          <w:i/>
          <w:color w:val="000000" w:themeColor="text1"/>
        </w:rPr>
        <w:t>Algorithms to estimate the beginning of pregnancy in administrative databases.</w:t>
      </w:r>
      <w:r w:rsidR="005424BB" w:rsidRPr="000E7EDD">
        <w:rPr>
          <w:color w:val="000000" w:themeColor="text1"/>
        </w:rPr>
        <w:t xml:space="preserve"> Pharmacoepidemiol Drug Saf, 2013. </w:t>
      </w:r>
      <w:r w:rsidR="005424BB" w:rsidRPr="000E7EDD">
        <w:rPr>
          <w:b/>
          <w:color w:val="000000" w:themeColor="text1"/>
        </w:rPr>
        <w:t>22</w:t>
      </w:r>
      <w:r w:rsidR="005424BB" w:rsidRPr="000E7EDD">
        <w:rPr>
          <w:color w:val="000000" w:themeColor="text1"/>
        </w:rPr>
        <w:t>(1): p. 16-24.</w:t>
      </w:r>
    </w:p>
    <w:p w14:paraId="1A1E3914" w14:textId="1ABB6AC0" w:rsidR="005424BB" w:rsidRPr="000E7EDD" w:rsidRDefault="005424BB" w:rsidP="005424BB">
      <w:pPr>
        <w:pStyle w:val="EndNoteBibliography"/>
        <w:spacing w:after="0"/>
        <w:ind w:left="720" w:hanging="720"/>
        <w:rPr>
          <w:color w:val="000000" w:themeColor="text1"/>
        </w:rPr>
      </w:pPr>
      <w:r w:rsidRPr="000E7EDD">
        <w:rPr>
          <w:color w:val="000000" w:themeColor="text1"/>
        </w:rPr>
        <w:t>2.</w:t>
      </w:r>
      <w:r w:rsidRPr="000E7EDD">
        <w:rPr>
          <w:color w:val="000000" w:themeColor="text1"/>
        </w:rPr>
        <w:tab/>
        <w:t xml:space="preserve">Commission., E. </w:t>
      </w:r>
      <w:r w:rsidRPr="000E7EDD">
        <w:rPr>
          <w:i/>
          <w:color w:val="000000" w:themeColor="text1"/>
        </w:rPr>
        <w:t>EUROCAT: European network of population-based registries for the epidemiological surveillance of congenital anomalies</w:t>
      </w:r>
      <w:r w:rsidRPr="000E7EDD">
        <w:rPr>
          <w:color w:val="000000" w:themeColor="text1"/>
        </w:rPr>
        <w:t xml:space="preserve">.  18 Jul 2024]; Available from: </w:t>
      </w:r>
      <w:hyperlink r:id="rId4" w:history="1">
        <w:r w:rsidRPr="000E7EDD">
          <w:rPr>
            <w:rStyle w:val="aa"/>
            <w:color w:val="000000" w:themeColor="text1"/>
          </w:rPr>
          <w:t>https://eu-rd-platform.jrc.ec.europa.eu/eurocat_en</w:t>
        </w:r>
      </w:hyperlink>
      <w:r w:rsidRPr="000E7EDD">
        <w:rPr>
          <w:color w:val="000000" w:themeColor="text1"/>
        </w:rPr>
        <w:t>.</w:t>
      </w:r>
    </w:p>
    <w:p w14:paraId="1E018B39" w14:textId="77777777" w:rsidR="005424BB" w:rsidRPr="000E7EDD" w:rsidRDefault="005424BB" w:rsidP="005424BB">
      <w:pPr>
        <w:pStyle w:val="EndNoteBibliography"/>
        <w:spacing w:after="0"/>
        <w:ind w:left="720" w:hanging="720"/>
        <w:rPr>
          <w:color w:val="000000" w:themeColor="text1"/>
        </w:rPr>
      </w:pPr>
      <w:r w:rsidRPr="000E7EDD">
        <w:rPr>
          <w:color w:val="000000" w:themeColor="text1"/>
        </w:rPr>
        <w:t>3.</w:t>
      </w:r>
      <w:r w:rsidRPr="000E7EDD">
        <w:rPr>
          <w:color w:val="000000" w:themeColor="text1"/>
        </w:rPr>
        <w:tab/>
        <w:t xml:space="preserve">Organization, W.H., </w:t>
      </w:r>
      <w:r w:rsidRPr="000E7EDD">
        <w:rPr>
          <w:i/>
          <w:color w:val="000000" w:themeColor="text1"/>
        </w:rPr>
        <w:t>WHO recommendations for care of the preterm or low birth weight infant</w:t>
      </w:r>
      <w:r w:rsidRPr="000E7EDD">
        <w:rPr>
          <w:color w:val="000000" w:themeColor="text1"/>
        </w:rPr>
        <w:t>. 2022: World Health Organization.</w:t>
      </w:r>
    </w:p>
    <w:p w14:paraId="4DEAB354" w14:textId="77777777" w:rsidR="005424BB" w:rsidRPr="000E7EDD" w:rsidRDefault="005424BB" w:rsidP="005424BB">
      <w:pPr>
        <w:pStyle w:val="EndNoteBibliography"/>
        <w:ind w:left="720" w:hanging="720"/>
        <w:rPr>
          <w:color w:val="000000" w:themeColor="text1"/>
        </w:rPr>
      </w:pPr>
      <w:r w:rsidRPr="000E7EDD">
        <w:rPr>
          <w:color w:val="000000" w:themeColor="text1"/>
        </w:rPr>
        <w:t>4.</w:t>
      </w:r>
      <w:r w:rsidRPr="000E7EDD">
        <w:rPr>
          <w:color w:val="000000" w:themeColor="text1"/>
        </w:rPr>
        <w:tab/>
        <w:t xml:space="preserve">Stone, N.J., et al., </w:t>
      </w:r>
      <w:r w:rsidRPr="000E7EDD">
        <w:rPr>
          <w:i/>
          <w:color w:val="000000" w:themeColor="text1"/>
        </w:rPr>
        <w:t>Treatment of blood cholesterol to reduce atherosclerotic cardiovascular disease risk in adults: synopsis of the 2013 American College of Cardiology/American Heart Association cholesterol guideline.</w:t>
      </w:r>
      <w:r w:rsidRPr="000E7EDD">
        <w:rPr>
          <w:color w:val="000000" w:themeColor="text1"/>
        </w:rPr>
        <w:t xml:space="preserve"> Annals of internal medicine, 2014. </w:t>
      </w:r>
      <w:r w:rsidRPr="000E7EDD">
        <w:rPr>
          <w:b/>
          <w:color w:val="000000" w:themeColor="text1"/>
        </w:rPr>
        <w:t>160</w:t>
      </w:r>
      <w:r w:rsidRPr="000E7EDD">
        <w:rPr>
          <w:color w:val="000000" w:themeColor="text1"/>
        </w:rPr>
        <w:t>(5): p. 339-343.</w:t>
      </w:r>
    </w:p>
    <w:p w14:paraId="419C500D" w14:textId="468A97B4" w:rsidR="00DD3341" w:rsidRPr="000E7EDD" w:rsidRDefault="00DD3341">
      <w:pPr>
        <w:rPr>
          <w:rFonts w:hint="eastAsia"/>
          <w:color w:val="000000" w:themeColor="text1"/>
        </w:rPr>
      </w:pPr>
      <w:r w:rsidRPr="000E7EDD">
        <w:rPr>
          <w:color w:val="000000" w:themeColor="text1"/>
        </w:rPr>
        <w:fldChar w:fldCharType="end"/>
      </w:r>
    </w:p>
    <w:sectPr w:rsidR="00DD3341" w:rsidRPr="000E7EDD">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vp5vrzd595vaxre5axexwt2kad2v5tsw9rfr&quot;&gt;My EndNote Library&lt;record-ids&gt;&lt;item&gt;144&lt;/item&gt;&lt;item&gt;160&lt;/item&gt;&lt;item&gt;161&lt;/item&gt;&lt;item&gt;203&lt;/item&gt;&lt;/record-ids&gt;&lt;/item&gt;&lt;/Libraries&gt;"/>
    <w:docVar w:name="EN.UseJSCitationFormat" w:val="False"/>
  </w:docVars>
  <w:rsids>
    <w:rsidRoot w:val="00DD3341"/>
    <w:rsid w:val="000E7EDD"/>
    <w:rsid w:val="005424BB"/>
    <w:rsid w:val="005F0812"/>
    <w:rsid w:val="00600EF7"/>
    <w:rsid w:val="008A3F1C"/>
    <w:rsid w:val="00DD334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CEAD3"/>
  <w15:chartTrackingRefBased/>
  <w15:docId w15:val="{49396C3C-E52B-40D3-9274-791CA5DCF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DD334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DD334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DD334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DD334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DD334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DD334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DD334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DD334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DD334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DD3341"/>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DD3341"/>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DD3341"/>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DD3341"/>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DD3341"/>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DD3341"/>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DD3341"/>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DD3341"/>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DD3341"/>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DD3341"/>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DD334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D334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DD3341"/>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DD3341"/>
    <w:pPr>
      <w:spacing w:before="160"/>
      <w:jc w:val="center"/>
    </w:pPr>
    <w:rPr>
      <w:i/>
      <w:iCs/>
      <w:color w:val="404040" w:themeColor="text1" w:themeTint="BF"/>
    </w:rPr>
  </w:style>
  <w:style w:type="character" w:customStyle="1" w:styleId="Char1">
    <w:name w:val="인용 Char"/>
    <w:basedOn w:val="a0"/>
    <w:link w:val="a5"/>
    <w:uiPriority w:val="29"/>
    <w:rsid w:val="00DD3341"/>
    <w:rPr>
      <w:i/>
      <w:iCs/>
      <w:color w:val="404040" w:themeColor="text1" w:themeTint="BF"/>
    </w:rPr>
  </w:style>
  <w:style w:type="paragraph" w:styleId="a6">
    <w:name w:val="List Paragraph"/>
    <w:basedOn w:val="a"/>
    <w:uiPriority w:val="34"/>
    <w:qFormat/>
    <w:rsid w:val="00DD3341"/>
    <w:pPr>
      <w:ind w:left="720"/>
      <w:contextualSpacing/>
    </w:pPr>
  </w:style>
  <w:style w:type="character" w:styleId="a7">
    <w:name w:val="Intense Emphasis"/>
    <w:basedOn w:val="a0"/>
    <w:uiPriority w:val="21"/>
    <w:qFormat/>
    <w:rsid w:val="00DD3341"/>
    <w:rPr>
      <w:i/>
      <w:iCs/>
      <w:color w:val="0F4761" w:themeColor="accent1" w:themeShade="BF"/>
    </w:rPr>
  </w:style>
  <w:style w:type="paragraph" w:styleId="a8">
    <w:name w:val="Intense Quote"/>
    <w:basedOn w:val="a"/>
    <w:next w:val="a"/>
    <w:link w:val="Char2"/>
    <w:uiPriority w:val="30"/>
    <w:qFormat/>
    <w:rsid w:val="00DD3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DD3341"/>
    <w:rPr>
      <w:i/>
      <w:iCs/>
      <w:color w:val="0F4761" w:themeColor="accent1" w:themeShade="BF"/>
    </w:rPr>
  </w:style>
  <w:style w:type="character" w:styleId="a9">
    <w:name w:val="Intense Reference"/>
    <w:basedOn w:val="a0"/>
    <w:uiPriority w:val="32"/>
    <w:qFormat/>
    <w:rsid w:val="00DD3341"/>
    <w:rPr>
      <w:b/>
      <w:bCs/>
      <w:smallCaps/>
      <w:color w:val="0F4761" w:themeColor="accent1" w:themeShade="BF"/>
      <w:spacing w:val="5"/>
    </w:rPr>
  </w:style>
  <w:style w:type="paragraph" w:customStyle="1" w:styleId="EndNoteBibliographyTitle">
    <w:name w:val="EndNote Bibliography Title"/>
    <w:basedOn w:val="a"/>
    <w:link w:val="EndNoteBibliographyTitleChar"/>
    <w:rsid w:val="00DD3341"/>
    <w:pPr>
      <w:spacing w:after="0"/>
      <w:jc w:val="center"/>
    </w:pPr>
    <w:rPr>
      <w:rFonts w:ascii="Times New Roman" w:eastAsia="맑은 고딕" w:hAnsi="Times New Roman" w:cs="Times New Roman"/>
      <w:noProof/>
      <w:sz w:val="20"/>
    </w:rPr>
  </w:style>
  <w:style w:type="character" w:customStyle="1" w:styleId="EndNoteBibliographyTitleChar">
    <w:name w:val="EndNote Bibliography Title Char"/>
    <w:basedOn w:val="a0"/>
    <w:link w:val="EndNoteBibliographyTitle"/>
    <w:rsid w:val="00DD3341"/>
    <w:rPr>
      <w:rFonts w:ascii="Times New Roman" w:eastAsia="맑은 고딕" w:hAnsi="Times New Roman" w:cs="Times New Roman"/>
      <w:noProof/>
      <w:sz w:val="20"/>
    </w:rPr>
  </w:style>
  <w:style w:type="paragraph" w:customStyle="1" w:styleId="EndNoteBibliography">
    <w:name w:val="EndNote Bibliography"/>
    <w:basedOn w:val="a"/>
    <w:link w:val="EndNoteBibliographyChar"/>
    <w:rsid w:val="00DD3341"/>
    <w:pPr>
      <w:spacing w:line="480" w:lineRule="auto"/>
    </w:pPr>
    <w:rPr>
      <w:rFonts w:ascii="Times New Roman" w:eastAsia="맑은 고딕" w:hAnsi="Times New Roman" w:cs="Times New Roman"/>
      <w:noProof/>
      <w:sz w:val="20"/>
    </w:rPr>
  </w:style>
  <w:style w:type="character" w:customStyle="1" w:styleId="EndNoteBibliographyChar">
    <w:name w:val="EndNote Bibliography Char"/>
    <w:basedOn w:val="a0"/>
    <w:link w:val="EndNoteBibliography"/>
    <w:rsid w:val="00DD3341"/>
    <w:rPr>
      <w:rFonts w:ascii="Times New Roman" w:eastAsia="맑은 고딕" w:hAnsi="Times New Roman" w:cs="Times New Roman"/>
      <w:noProof/>
      <w:sz w:val="20"/>
    </w:rPr>
  </w:style>
  <w:style w:type="character" w:styleId="aa">
    <w:name w:val="Hyperlink"/>
    <w:basedOn w:val="a0"/>
    <w:uiPriority w:val="99"/>
    <w:unhideWhenUsed/>
    <w:rsid w:val="005424BB"/>
    <w:rPr>
      <w:color w:val="467886" w:themeColor="hyperlink"/>
      <w:u w:val="single"/>
    </w:rPr>
  </w:style>
  <w:style w:type="character" w:styleId="ab">
    <w:name w:val="Unresolved Mention"/>
    <w:basedOn w:val="a0"/>
    <w:uiPriority w:val="99"/>
    <w:semiHidden/>
    <w:unhideWhenUsed/>
    <w:rsid w:val="00542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d-platform.jrc.ec.europa.eu/eurocat_en"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1690</Words>
  <Characters>9638</Characters>
  <Application>Microsoft Office Word</Application>
  <DocSecurity>0</DocSecurity>
  <Lines>80</Lines>
  <Paragraphs>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 Kay</dc:creator>
  <cp:keywords/>
  <dc:description/>
  <cp:lastModifiedBy>HY Kay</cp:lastModifiedBy>
  <cp:revision>3</cp:revision>
  <dcterms:created xsi:type="dcterms:W3CDTF">2025-02-24T17:29:00Z</dcterms:created>
  <dcterms:modified xsi:type="dcterms:W3CDTF">2025-02-25T04:02:00Z</dcterms:modified>
</cp:coreProperties>
</file>