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26AFE">
      <w:pPr>
        <w:spacing w:after="0" w:line="480" w:lineRule="auto"/>
        <w:jc w:val="both"/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  <w:t>(</w:t>
      </w:r>
      <w:r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  <w:fldChar w:fldCharType="begin"/>
      </w:r>
      <w:r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  <w:instrText xml:space="preserve"> HYPERLINK "https://pmc.ncbi.nlm.nih.gov/articles/PMC9874350/" \l "appsec1" </w:instrText>
      </w:r>
      <w:r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  <w:fldChar w:fldCharType="separate"/>
      </w:r>
      <w:r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  <w:t>Supplementary material</w:t>
      </w:r>
      <w:r>
        <w:rPr>
          <w:rFonts w:hint="eastAsia" w:ascii="Times New Roman" w:hAnsi="Times New Roman" w:eastAsia="等线" w:cs="Times New Roman"/>
          <w:b/>
          <w:bCs/>
          <w:sz w:val="24"/>
          <w:highlight w:val="none"/>
          <w:lang w:val="en-US" w:eastAsia="zh-CN"/>
          <w14:ligatures w14:val="standardContextual"/>
        </w:rPr>
        <w:t>: Section 5</w:t>
      </w:r>
      <w:r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  <w:fldChar w:fldCharType="end"/>
      </w:r>
      <w:bookmarkStart w:id="0" w:name="_GoBack"/>
      <w:bookmarkEnd w:id="0"/>
      <w:r>
        <w:rPr>
          <w:rFonts w:hint="default" w:ascii="Times New Roman" w:hAnsi="Times New Roman" w:eastAsia="等线" w:cs="Times New Roman"/>
          <w:b/>
          <w:bCs/>
          <w:sz w:val="24"/>
          <w:highlight w:val="none"/>
          <w:lang w:val="en-GB"/>
          <w14:ligatures w14:val="standardContextual"/>
        </w:rPr>
        <w:t>)</w:t>
      </w:r>
    </w:p>
    <w:p w14:paraId="315ABF65">
      <w:pPr>
        <w:spacing w:after="0" w:line="480" w:lineRule="auto"/>
        <w:jc w:val="both"/>
      </w:pPr>
      <w:r>
        <w:rPr>
          <w:rFonts w:ascii="Times New Roman" w:hAnsi="Times New Roman" w:cs="Times New Roman"/>
          <w:b/>
          <w:bCs/>
          <w:sz w:val="24"/>
        </w:rPr>
        <w:t>Ethical Oversight and Safety Protocols</w:t>
      </w:r>
      <w:r>
        <w:rPr>
          <w:rFonts w:ascii="Times New Roman" w:hAnsi="Times New Roman" w:cs="Times New Roman"/>
          <w:b/>
          <w:bCs/>
          <w:sz w:val="24"/>
        </w:rPr>
        <w:br w:type="textWrapping"/>
      </w:r>
      <w:r>
        <w:rPr>
          <w:rFonts w:ascii="Times New Roman" w:hAnsi="Times New Roman" w:cs="Times New Roman"/>
          <w:sz w:val="24"/>
        </w:rPr>
        <w:t xml:space="preserve">The institutional Review Board of Fujian Provincial Maternity and Children's Hospital approved the study protocol and supervised its safety implementation. Potential procedure-related adverse events (AEs), including haemodynamic instability (bradycardia, hypotension) and oxygen desaturation, were continuously monitored during POCUS examinations. </w:t>
      </w:r>
      <w:r>
        <w:rPr>
          <w:rFonts w:ascii="Times New Roman" w:hAnsi="Times New Roman" w:eastAsia="等线" w:cs="Times New Roman"/>
          <w:sz w:val="24"/>
        </w:rPr>
        <w:t>The operators</w:t>
      </w:r>
      <w:r>
        <w:rPr>
          <w:rFonts w:ascii="Times New Roman" w:hAnsi="Times New Roman" w:cs="Times New Roman"/>
          <w:sz w:val="24"/>
        </w:rPr>
        <w:t xml:space="preserve"> were instructed to perform probe manipulation with gentle movements and minimize abrupt positional changes. A predefined emergency protocol mandated </w:t>
      </w:r>
      <w:r>
        <w:rPr>
          <w:rFonts w:ascii="Times New Roman" w:hAnsi="Times New Roman" w:eastAsia="等线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immediate suspension of examinations upon </w:t>
      </w:r>
      <w:r>
        <w:rPr>
          <w:rFonts w:ascii="Times New Roman" w:hAnsi="Times New Roman" w:eastAsia="等线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occurrence of grade ≥3 AEs (CTCAE v5.0 criteria), followed by prompt resuscitative interventions. The study discontinuation criterion was established at a 20% incidence threshold for serious adverse events (SAEs) potentially related to POCUS procedures, requiring mandatory reporting to both the DMC and ethics committee.</w:t>
      </w:r>
    </w:p>
    <w:p w14:paraId="69ACB9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9209A"/>
    <w:rsid w:val="24846983"/>
    <w:rsid w:val="420C1086"/>
    <w:rsid w:val="4D153293"/>
    <w:rsid w:val="558A571B"/>
    <w:rsid w:val="5889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GB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838</Characters>
  <Lines>0</Lines>
  <Paragraphs>0</Paragraphs>
  <TotalTime>0</TotalTime>
  <ScaleCrop>false</ScaleCrop>
  <LinksUpToDate>false</LinksUpToDate>
  <CharactersWithSpaces>956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2025-05-27T14:35:00Z</dcterms:created>
  <dc:creator>欧阳夏</dc:creator>
  <cp:lastModifiedBy>小火柴</cp:lastModifiedBy>
  <dcterms:modified xsi:type="dcterms:W3CDTF">2025-06-12T09:26:42Z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eyJoZGlkIjoiMzEwNTM5NzYwMDRjMzkwZTVkZjY2ODkwMGIxNGU0OTUiLCJ1c2VySWQiOiI0NTg4NTA1MjcifQ==</vt:lpwstr>
  </property>
  <property fmtid="{D5CDD505-2E9C-101B-9397-08002B2CF9AE}" pid="4" name="ICV">
    <vt:lpwstr>237B243934A74F838E11EEBA16A24413_12</vt:lpwstr>
  </property>
</Properties>
</file>