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148" w:rsidRDefault="00DF2148" w:rsidP="00DF2148">
      <w:pPr>
        <w:spacing w:line="240" w:lineRule="auto"/>
        <w:jc w:val="both"/>
        <w:rPr>
          <w:rFonts w:ascii="Times New Roman" w:eastAsia="SimHei" w:hAnsi="Times New Roman" w:cs="Times New Roman"/>
          <w:szCs w:val="22"/>
        </w:rPr>
      </w:pPr>
      <w:proofErr w:type="gramStart"/>
      <w:r>
        <w:rPr>
          <w:rFonts w:ascii="Times New Roman" w:hAnsi="Times New Roman" w:cs="Times New Roman"/>
          <w:b/>
          <w:bCs/>
          <w:szCs w:val="22"/>
        </w:rPr>
        <w:t>Supplementary Figure 1</w:t>
      </w:r>
      <w:r>
        <w:rPr>
          <w:rFonts w:ascii="Times New Roman" w:hAnsi="Times New Roman" w:cs="Times New Roman" w:hint="eastAsia"/>
          <w:b/>
          <w:bCs/>
          <w:szCs w:val="22"/>
        </w:rPr>
        <w:t>.</w:t>
      </w:r>
      <w:proofErr w:type="gramEnd"/>
      <w:r>
        <w:rPr>
          <w:rFonts w:ascii="Times New Roman" w:hAnsi="Times New Roman" w:cs="Times New Roman" w:hint="eastAsia"/>
          <w:szCs w:val="22"/>
        </w:rPr>
        <w:t xml:space="preserve"> </w:t>
      </w:r>
      <w:r>
        <w:rPr>
          <w:rFonts w:ascii="Times New Roman" w:eastAsia="SimHei" w:hAnsi="Times New Roman" w:cs="Times New Roman"/>
          <w:szCs w:val="22"/>
        </w:rPr>
        <w:t xml:space="preserve">Performance of PSS, </w:t>
      </w:r>
      <w:proofErr w:type="spellStart"/>
      <w:r>
        <w:rPr>
          <w:rFonts w:ascii="Times New Roman" w:eastAsia="SimHei" w:hAnsi="Times New Roman" w:cs="Times New Roman" w:hint="eastAsia"/>
          <w:szCs w:val="22"/>
        </w:rPr>
        <w:t>p</w:t>
      </w:r>
      <w:r>
        <w:rPr>
          <w:rFonts w:ascii="Times New Roman" w:eastAsia="SimHei" w:hAnsi="Times New Roman" w:cs="Times New Roman"/>
          <w:szCs w:val="22"/>
        </w:rPr>
        <w:t>SOFA</w:t>
      </w:r>
      <w:proofErr w:type="spellEnd"/>
      <w:r>
        <w:rPr>
          <w:rFonts w:ascii="Times New Roman" w:eastAsia="SimHei" w:hAnsi="Times New Roman" w:cs="Times New Roman"/>
          <w:szCs w:val="22"/>
        </w:rPr>
        <w:t>, and PRIMS-III score in discriminating PICU mortality</w:t>
      </w:r>
    </w:p>
    <w:p w:rsidR="00DF2148" w:rsidRDefault="00DF2148" w:rsidP="00DF2148">
      <w:pPr>
        <w:spacing w:line="240" w:lineRule="auto"/>
        <w:jc w:val="both"/>
        <w:rPr>
          <w:rFonts w:ascii="Times New Roman" w:eastAsia="SimHei" w:hAnsi="Times New Roman" w:cs="Times New Roman"/>
          <w:szCs w:val="22"/>
        </w:rPr>
      </w:pPr>
      <w:r>
        <w:rPr>
          <w:rFonts w:ascii="Times New Roman" w:eastAsia="SimHei" w:hAnsi="Times New Roman" w:cs="Times New Roman" w:hint="eastAsia"/>
          <w:noProof/>
          <w:szCs w:val="22"/>
          <w:lang w:eastAsia="en-US"/>
        </w:rPr>
        <w:drawing>
          <wp:inline distT="0" distB="0" distL="0" distR="0" wp14:anchorId="6C64C1CC" wp14:editId="706BA635">
            <wp:extent cx="5262880" cy="1869440"/>
            <wp:effectExtent l="0" t="0" r="0" b="0"/>
            <wp:docPr id="85315135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151357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Y="4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DF2148" w:rsidTr="003155C6">
        <w:tc>
          <w:tcPr>
            <w:tcW w:w="8306" w:type="dxa"/>
          </w:tcPr>
          <w:p w:rsidR="00DF2148" w:rsidRDefault="00DF2148" w:rsidP="003155C6">
            <w:pPr>
              <w:pStyle w:val="EndNoteBibliography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Receiver operating characteristic (ROC) curves of PSS,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pSOFA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and PRIMS-III score in discriminating PICU mortality.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Precision-recall curve (PRC) of PSS,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pSOFA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and PRIMS-III score in discriminating PICU mortality.</w:t>
            </w:r>
          </w:p>
        </w:tc>
      </w:tr>
    </w:tbl>
    <w:p w:rsidR="00DF2148" w:rsidRDefault="00DF2148" w:rsidP="00DF2148">
      <w:pPr>
        <w:rPr>
          <w:rFonts w:ascii="Times New Roman" w:hAnsi="Times New Roman" w:cs="Times New Roman"/>
          <w:b/>
          <w:bCs/>
          <w:szCs w:val="22"/>
        </w:rPr>
      </w:pPr>
      <w:bookmarkStart w:id="0" w:name="OLE_LINK49"/>
      <w:r>
        <w:rPr>
          <w:rFonts w:ascii="Times New Roman" w:hAnsi="Times New Roman" w:cs="Times New Roman"/>
          <w:b/>
          <w:bCs/>
          <w:szCs w:val="22"/>
        </w:rPr>
        <w:br w:type="page"/>
      </w:r>
    </w:p>
    <w:p w:rsidR="00DF2148" w:rsidRDefault="00DF2148" w:rsidP="00DF2148">
      <w:pPr>
        <w:spacing w:line="240" w:lineRule="auto"/>
        <w:jc w:val="both"/>
        <w:rPr>
          <w:rFonts w:ascii="Times New Roman" w:hAnsi="Times New Roman" w:cs="Times New Roman"/>
          <w:szCs w:val="22"/>
        </w:rPr>
      </w:pPr>
      <w:proofErr w:type="gramStart"/>
      <w:r>
        <w:rPr>
          <w:rFonts w:ascii="Times New Roman" w:hAnsi="Times New Roman" w:cs="Times New Roman"/>
          <w:b/>
          <w:bCs/>
          <w:szCs w:val="22"/>
        </w:rPr>
        <w:lastRenderedPageBreak/>
        <w:t>Supplementary Table 1</w:t>
      </w:r>
      <w:r>
        <w:rPr>
          <w:rFonts w:ascii="Times New Roman" w:hAnsi="Times New Roman" w:cs="Times New Roman" w:hint="eastAsia"/>
          <w:b/>
          <w:bCs/>
          <w:szCs w:val="22"/>
        </w:rPr>
        <w:t>.</w:t>
      </w:r>
      <w:proofErr w:type="gramEnd"/>
      <w:r>
        <w:rPr>
          <w:rFonts w:ascii="Times New Roman" w:hAnsi="Times New Roman" w:cs="Times New Roman" w:hint="eastAsia"/>
          <w:b/>
          <w:bCs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Cs w:val="22"/>
        </w:rPr>
        <w:t>Missing observations for all baseline variables</w:t>
      </w:r>
      <w:bookmarkEnd w:id="0"/>
      <w:r>
        <w:rPr>
          <w:rFonts w:ascii="Times New Roman" w:hAnsi="Times New Roman" w:cs="Times New Roman" w:hint="eastAsia"/>
          <w:szCs w:val="22"/>
        </w:rPr>
        <w:t>.</w:t>
      </w:r>
      <w:proofErr w:type="gramEnd"/>
    </w:p>
    <w:tbl>
      <w:tblPr>
        <w:tblW w:w="8317" w:type="dxa"/>
        <w:tblLook w:val="04A0" w:firstRow="1" w:lastRow="0" w:firstColumn="1" w:lastColumn="0" w:noHBand="0" w:noVBand="1"/>
      </w:tblPr>
      <w:tblGrid>
        <w:gridCol w:w="2127"/>
        <w:gridCol w:w="234"/>
        <w:gridCol w:w="2034"/>
        <w:gridCol w:w="91"/>
        <w:gridCol w:w="1652"/>
        <w:gridCol w:w="2179"/>
      </w:tblGrid>
      <w:tr w:rsidR="00DF2148" w:rsidTr="003155C6">
        <w:trPr>
          <w:trHeight w:val="303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Variable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Total valid sample</w:t>
            </w:r>
          </w:p>
        </w:tc>
        <w:tc>
          <w:tcPr>
            <w:tcW w:w="17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Missing number</w:t>
            </w:r>
          </w:p>
        </w:tc>
        <w:tc>
          <w:tcPr>
            <w:tcW w:w="21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Missing proportion (%)</w:t>
            </w:r>
          </w:p>
        </w:tc>
      </w:tr>
      <w:tr w:rsidR="00DF2148" w:rsidTr="003155C6">
        <w:trPr>
          <w:trHeight w:val="27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Age, months</w:t>
            </w:r>
          </w:p>
        </w:tc>
        <w:tc>
          <w:tcPr>
            <w:tcW w:w="23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Female gender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Weight (kg)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post LT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Reason for LT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1.52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Respiratory failure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Coagulation disorder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AKI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MODS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CRRT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TPE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ECMO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pSOFA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score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PRISM III score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PICU mortality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PICU LOS days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MV duration days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74"/>
        </w:trPr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28-day VFDs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284"/>
        </w:trPr>
        <w:tc>
          <w:tcPr>
            <w:tcW w:w="236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ind w:firstLineChars="100" w:firstLine="20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28-day PFDs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</w:tbl>
    <w:p w:rsidR="00DF2148" w:rsidRDefault="00DF2148" w:rsidP="00DF2148">
      <w:pPr>
        <w:spacing w:line="240" w:lineRule="auto"/>
        <w:jc w:val="both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 xml:space="preserve"> Abbreviations: AKI, acute kidney injury;</w:t>
      </w:r>
      <w:r>
        <w:rPr>
          <w:rFonts w:ascii="Times New Roman" w:eastAsia="DengXian" w:hAnsi="Times New Roman" w:cs="Times New Roman" w:hint="eastAsia"/>
          <w:color w:val="000000"/>
          <w:kern w:val="0"/>
          <w:sz w:val="18"/>
          <w:szCs w:val="18"/>
        </w:rPr>
        <w:t xml:space="preserve"> </w:t>
      </w:r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CRRT, continuous renal replacement therapy; ECMO, extracorporeal</w:t>
      </w:r>
      <w:r>
        <w:rPr>
          <w:rFonts w:ascii="Times New Roman" w:eastAsia="DengXian" w:hAnsi="Times New Roman" w:cs="Times New Roman" w:hint="eastAsia"/>
          <w:color w:val="000000"/>
          <w:kern w:val="0"/>
          <w:sz w:val="18"/>
          <w:szCs w:val="18"/>
        </w:rPr>
        <w:t xml:space="preserve"> </w:t>
      </w:r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membrane oxygenation;</w:t>
      </w:r>
      <w:r>
        <w:rPr>
          <w:rFonts w:ascii="Times New Roman" w:eastAsia="DengXian" w:hAnsi="Times New Roman" w:cs="Times New Roman" w:hint="eastAsia"/>
          <w:color w:val="000000"/>
          <w:kern w:val="0"/>
          <w:sz w:val="18"/>
          <w:szCs w:val="18"/>
        </w:rPr>
        <w:t xml:space="preserve"> </w:t>
      </w:r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LOS</w:t>
      </w:r>
      <w:r>
        <w:rPr>
          <w:rFonts w:ascii="Times New Roman" w:eastAsia="DengXian" w:hAnsi="Times New Roman" w:cs="Times New Roman" w:hint="eastAsia"/>
          <w:color w:val="000000"/>
          <w:kern w:val="0"/>
          <w:sz w:val="18"/>
          <w:szCs w:val="18"/>
        </w:rPr>
        <w:t>,</w:t>
      </w:r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 xml:space="preserve"> length of stay;</w:t>
      </w:r>
      <w:r>
        <w:rPr>
          <w:rFonts w:ascii="Times New Roman" w:eastAsia="DengXian" w:hAnsi="Times New Roman" w:cs="Times New Roman" w:hint="eastAsia"/>
          <w:color w:val="000000"/>
          <w:kern w:val="0"/>
          <w:sz w:val="18"/>
          <w:szCs w:val="18"/>
        </w:rPr>
        <w:t xml:space="preserve"> </w:t>
      </w:r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LT, liver transplantation; MODS, multiple organ dysfunction syndrome; MV</w:t>
      </w:r>
      <w:r>
        <w:rPr>
          <w:rFonts w:ascii="Times New Roman" w:eastAsia="DengXian" w:hAnsi="Times New Roman" w:cs="Times New Roman" w:hint="eastAsia"/>
          <w:color w:val="000000"/>
          <w:kern w:val="0"/>
          <w:sz w:val="18"/>
          <w:szCs w:val="18"/>
        </w:rPr>
        <w:t>,</w:t>
      </w:r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 xml:space="preserve"> mechanical ventilation;</w:t>
      </w:r>
      <w:r>
        <w:rPr>
          <w:rFonts w:ascii="Times New Roman" w:eastAsia="DengXian" w:hAnsi="Times New Roman" w:cs="Times New Roman" w:hint="eastAsia"/>
          <w:color w:val="000000"/>
          <w:kern w:val="0"/>
          <w:sz w:val="18"/>
          <w:szCs w:val="18"/>
        </w:rPr>
        <w:t xml:space="preserve"> </w:t>
      </w:r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PFDs</w:t>
      </w:r>
      <w:r>
        <w:rPr>
          <w:rFonts w:ascii="Times New Roman" w:eastAsia="DengXian" w:hAnsi="Times New Roman" w:cs="Times New Roman" w:hint="eastAsia"/>
          <w:color w:val="000000"/>
          <w:kern w:val="0"/>
          <w:sz w:val="18"/>
          <w:szCs w:val="18"/>
        </w:rPr>
        <w:t>,</w:t>
      </w:r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 xml:space="preserve"> PICU-free days;</w:t>
      </w:r>
      <w:r>
        <w:rPr>
          <w:rFonts w:ascii="Times New Roman" w:eastAsia="DengXian" w:hAnsi="Times New Roman" w:cs="Times New Roman" w:hint="eastAsia"/>
          <w:color w:val="000000"/>
          <w:kern w:val="0"/>
          <w:sz w:val="18"/>
          <w:szCs w:val="18"/>
        </w:rPr>
        <w:t xml:space="preserve"> PICU, pediatric intensive care unit; </w:t>
      </w:r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PRISM III, pediatric risk of mortality ill.</w:t>
      </w:r>
      <w:r>
        <w:rPr>
          <w:rFonts w:ascii="Times New Roman" w:eastAsia="DengXian" w:hAnsi="Times New Roman" w:cs="Times New Roman" w:hint="eastAsia"/>
          <w:color w:val="000000"/>
          <w:kern w:val="0"/>
          <w:sz w:val="18"/>
          <w:szCs w:val="18"/>
        </w:rPr>
        <w:t xml:space="preserve"> </w:t>
      </w:r>
      <w:proofErr w:type="gramStart"/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 xml:space="preserve">TPE, therapeutic plasma exchange; </w:t>
      </w:r>
      <w:proofErr w:type="spellStart"/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pSOFA</w:t>
      </w:r>
      <w:proofErr w:type="spellEnd"/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, pediatric sequential organ failure assessment; VFDs</w:t>
      </w:r>
      <w:r>
        <w:rPr>
          <w:rFonts w:ascii="Times New Roman" w:eastAsia="DengXian" w:hAnsi="Times New Roman" w:cs="Times New Roman" w:hint="eastAsia"/>
          <w:color w:val="000000"/>
          <w:kern w:val="0"/>
          <w:sz w:val="18"/>
          <w:szCs w:val="18"/>
        </w:rPr>
        <w:t>,</w:t>
      </w:r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 xml:space="preserve"> ventilator-free days.</w:t>
      </w:r>
      <w:proofErr w:type="gramEnd"/>
    </w:p>
    <w:p w:rsidR="00DF2148" w:rsidRDefault="00DF2148" w:rsidP="00DF2148">
      <w:pPr>
        <w:spacing w:line="240" w:lineRule="auto"/>
        <w:jc w:val="both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</w:p>
    <w:p w:rsidR="00DF2148" w:rsidRDefault="00DF2148" w:rsidP="00DF2148">
      <w:pPr>
        <w:spacing w:line="240" w:lineRule="auto"/>
        <w:jc w:val="both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</w:p>
    <w:p w:rsidR="00DF2148" w:rsidRDefault="00DF2148" w:rsidP="00DF2148">
      <w:pPr>
        <w:spacing w:line="240" w:lineRule="auto"/>
        <w:jc w:val="both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</w:p>
    <w:p w:rsidR="00DF2148" w:rsidRDefault="00DF2148" w:rsidP="00DF2148">
      <w:pPr>
        <w:spacing w:line="240" w:lineRule="auto"/>
        <w:jc w:val="both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</w:p>
    <w:p w:rsidR="00DF2148" w:rsidRDefault="00DF2148" w:rsidP="00DF2148">
      <w:pPr>
        <w:spacing w:line="240" w:lineRule="auto"/>
        <w:jc w:val="both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</w:p>
    <w:p w:rsidR="00DF2148" w:rsidRDefault="00DF2148" w:rsidP="00DF2148">
      <w:pPr>
        <w:spacing w:line="240" w:lineRule="auto"/>
        <w:jc w:val="both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</w:p>
    <w:p w:rsidR="00DF2148" w:rsidRDefault="00DF2148" w:rsidP="00DF2148">
      <w:pPr>
        <w:spacing w:line="240" w:lineRule="auto"/>
        <w:jc w:val="both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</w:p>
    <w:p w:rsidR="00DF2148" w:rsidRDefault="00DF2148" w:rsidP="00DF2148">
      <w:pPr>
        <w:spacing w:line="240" w:lineRule="auto"/>
        <w:jc w:val="both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</w:p>
    <w:p w:rsidR="00DF2148" w:rsidRDefault="00DF2148" w:rsidP="00DF2148">
      <w:pPr>
        <w:spacing w:line="240" w:lineRule="auto"/>
        <w:jc w:val="both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</w:p>
    <w:p w:rsidR="00DF2148" w:rsidRDefault="00DF2148" w:rsidP="00DF2148">
      <w:pPr>
        <w:spacing w:line="240" w:lineRule="auto"/>
        <w:jc w:val="both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</w:p>
    <w:p w:rsidR="00DF2148" w:rsidRDefault="00DF2148" w:rsidP="00DF2148">
      <w:pPr>
        <w:spacing w:line="240" w:lineRule="auto"/>
        <w:jc w:val="both"/>
        <w:rPr>
          <w:rFonts w:ascii="Times New Roman" w:hAnsi="Times New Roman" w:cs="Times New Roman"/>
          <w:szCs w:val="22"/>
        </w:rPr>
      </w:pPr>
      <w:bookmarkStart w:id="1" w:name="OLE_LINK62"/>
      <w:proofErr w:type="gramStart"/>
      <w:r>
        <w:rPr>
          <w:rFonts w:ascii="Times New Roman" w:hAnsi="Times New Roman" w:cs="Times New Roman"/>
          <w:b/>
          <w:bCs/>
          <w:szCs w:val="22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Cs w:val="22"/>
        </w:rPr>
        <w:t>2.</w:t>
      </w:r>
      <w:bookmarkEnd w:id="1"/>
      <w:proofErr w:type="gramEnd"/>
      <w:r>
        <w:rPr>
          <w:rFonts w:ascii="Times New Roman" w:hAnsi="Times New Roman" w:cs="Times New Roman" w:hint="eastAsia"/>
          <w:b/>
          <w:bCs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Cs w:val="22"/>
        </w:rPr>
        <w:t xml:space="preserve">Performance for identifying PICU mortality of </w:t>
      </w:r>
      <w:r>
        <w:rPr>
          <w:rFonts w:ascii="Times New Roman" w:hAnsi="Times New Roman" w:cs="Times New Roman" w:hint="eastAsia"/>
          <w:szCs w:val="22"/>
        </w:rPr>
        <w:t xml:space="preserve">different </w:t>
      </w:r>
      <w:r>
        <w:rPr>
          <w:rFonts w:ascii="Times New Roman" w:hAnsi="Times New Roman" w:cs="Times New Roman"/>
          <w:szCs w:val="22"/>
        </w:rPr>
        <w:t>sepsis</w:t>
      </w:r>
      <w:r>
        <w:rPr>
          <w:rFonts w:ascii="Times New Roman" w:hAnsi="Times New Roman" w:cs="Times New Roman" w:hint="eastAsia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criteria</w:t>
      </w:r>
      <w:r>
        <w:rPr>
          <w:rFonts w:ascii="Times New Roman" w:hAnsi="Times New Roman" w:cs="Times New Roman" w:hint="eastAsia"/>
          <w:szCs w:val="22"/>
        </w:rPr>
        <w:t>.</w:t>
      </w:r>
      <w:proofErr w:type="gramEnd"/>
    </w:p>
    <w:tbl>
      <w:tblPr>
        <w:tblpPr w:leftFromText="180" w:rightFromText="180" w:vertAnchor="text" w:horzAnchor="margin" w:tblpY="701"/>
        <w:tblW w:w="9340" w:type="dxa"/>
        <w:tblLayout w:type="fixed"/>
        <w:tblLook w:val="04A0" w:firstRow="1" w:lastRow="0" w:firstColumn="1" w:lastColumn="0" w:noHBand="0" w:noVBand="1"/>
      </w:tblPr>
      <w:tblGrid>
        <w:gridCol w:w="1378"/>
        <w:gridCol w:w="177"/>
        <w:gridCol w:w="1272"/>
        <w:gridCol w:w="282"/>
        <w:gridCol w:w="1273"/>
        <w:gridCol w:w="281"/>
        <w:gridCol w:w="1415"/>
        <w:gridCol w:w="1412"/>
        <w:gridCol w:w="114"/>
        <w:gridCol w:w="868"/>
        <w:gridCol w:w="868"/>
      </w:tblGrid>
      <w:tr w:rsidR="00DF2148" w:rsidTr="003155C6">
        <w:trPr>
          <w:trHeight w:val="325"/>
        </w:trPr>
        <w:tc>
          <w:tcPr>
            <w:tcW w:w="155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Diagnostic Criteria</w:t>
            </w:r>
          </w:p>
        </w:tc>
        <w:tc>
          <w:tcPr>
            <w:tcW w:w="155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Sensitivity (%) (95% CI)</w:t>
            </w:r>
          </w:p>
        </w:tc>
        <w:tc>
          <w:tcPr>
            <w:tcW w:w="155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Specificity(%)(95%CI)</w:t>
            </w:r>
          </w:p>
        </w:tc>
        <w:tc>
          <w:tcPr>
            <w:tcW w:w="141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PPV (%) (95% CI)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NPV(</w:t>
            </w:r>
            <w:proofErr w:type="gramEnd"/>
            <w:r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%) (95% CI)</w:t>
            </w:r>
          </w:p>
        </w:tc>
        <w:tc>
          <w:tcPr>
            <w:tcW w:w="98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LR+ </w:t>
            </w:r>
          </w:p>
        </w:tc>
        <w:tc>
          <w:tcPr>
            <w:tcW w:w="8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LR-</w:t>
            </w:r>
          </w:p>
        </w:tc>
      </w:tr>
      <w:tr w:rsidR="00DF2148" w:rsidTr="003155C6">
        <w:trPr>
          <w:trHeight w:val="314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Phenix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Sepsis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Criteria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100.00 (90.82-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100.00)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15.96 (9.92-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24.67)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32.48 (24.67-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41.40)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100.00 (79.61-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100.00)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1.1899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F2148" w:rsidTr="003155C6">
        <w:trPr>
          <w:trHeight w:val="302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Phenix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Septic Shock Criteria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76.32 (60.79-87.01)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73.40 (63.68-81.29)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54.72 (41.45–67.34)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88.46 (79.50-93.81)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2.8695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0.3227</w:t>
            </w:r>
          </w:p>
        </w:tc>
      </w:tr>
      <w:tr w:rsidR="00DF2148" w:rsidTr="003155C6">
        <w:trPr>
          <w:trHeight w:val="302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IPSCC Sepsis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65.79 (49.89-78.79)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31.91 (23.36-41.89)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28.09 (19.81-38.18)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69.77 (54.89-81.40)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0.9663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1.0719</w:t>
            </w:r>
          </w:p>
        </w:tc>
      </w:tr>
      <w:tr w:rsidR="00DF2148" w:rsidTr="003155C6">
        <w:trPr>
          <w:trHeight w:val="302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IPSCC Severe Sepsis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65.79 (49.89-78.79)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34.04 (25.26-44.08)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28.74 (20.29-38.98)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71.11 (56.63-82.27)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0.9975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1.0049</w:t>
            </w:r>
          </w:p>
        </w:tc>
      </w:tr>
      <w:tr w:rsidR="00DF2148" w:rsidTr="003155C6">
        <w:trPr>
          <w:trHeight w:val="314"/>
        </w:trPr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IPSCC Septic Shock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52.63 (37.26-67.52)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73.40 (63.68-81.29)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44.44 (30.94-58.82)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79.31 (69.65-86.49)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1.9789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F2148" w:rsidRDefault="00DF2148" w:rsidP="003155C6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0.6453</w:t>
            </w:r>
          </w:p>
        </w:tc>
      </w:tr>
    </w:tbl>
    <w:p w:rsidR="00DF2148" w:rsidRDefault="00DF2148" w:rsidP="00DF2148">
      <w:pPr>
        <w:spacing w:line="240" w:lineRule="auto"/>
        <w:jc w:val="both"/>
        <w:rPr>
          <w:rFonts w:ascii="Times New Roman" w:hAnsi="Times New Roman" w:cs="Times New Roman"/>
          <w:szCs w:val="22"/>
        </w:rPr>
      </w:pPr>
    </w:p>
    <w:p w:rsidR="00DF2148" w:rsidRDefault="00DF2148" w:rsidP="00DF214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Abbreviations: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95%CI</w:t>
      </w:r>
      <w:r>
        <w:rPr>
          <w:rFonts w:ascii="Times New Roman" w:hAnsi="Times New Roman" w:cs="Times New Roman" w:hint="eastAsia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95% confidence interval; IPSCC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International Pediatric Sepsis Consensus Conference; </w:t>
      </w:r>
      <w:r>
        <w:rPr>
          <w:rFonts w:ascii="Times New Roman" w:hAnsi="Times New Roman" w:cs="Times New Roman" w:hint="eastAsia"/>
          <w:sz w:val="18"/>
          <w:szCs w:val="18"/>
        </w:rPr>
        <w:t>LR, likelihood ratio; NPV, nega</w:t>
      </w:r>
      <w:r>
        <w:rPr>
          <w:rFonts w:ascii="Times New Roman" w:hAnsi="Times New Roman" w:cs="Times New Roman"/>
          <w:sz w:val="18"/>
          <w:szCs w:val="18"/>
        </w:rPr>
        <w:t>tive predictive value</w:t>
      </w:r>
      <w:r>
        <w:rPr>
          <w:rFonts w:ascii="Times New Roman" w:hAnsi="Times New Roman" w:cs="Times New Roman" w:hint="eastAsia"/>
          <w:sz w:val="18"/>
          <w:szCs w:val="18"/>
        </w:rPr>
        <w:t>;</w:t>
      </w:r>
      <w:r>
        <w:rPr>
          <w:rFonts w:ascii="Times New Roman" w:eastAsia="DengXian" w:hAnsi="Times New Roman" w:cs="Times New Roman" w:hint="eastAsia"/>
          <w:color w:val="000000"/>
          <w:kern w:val="0"/>
          <w:sz w:val="18"/>
          <w:szCs w:val="18"/>
        </w:rPr>
        <w:t xml:space="preserve"> PICU, pediatric intensive care unit; </w:t>
      </w:r>
      <w:r>
        <w:rPr>
          <w:rFonts w:ascii="Times New Roman" w:hAnsi="Times New Roman" w:cs="Times New Roman"/>
          <w:sz w:val="18"/>
          <w:szCs w:val="18"/>
        </w:rPr>
        <w:t>PPV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bookmarkStart w:id="2" w:name="OLE_LINK61"/>
      <w:r>
        <w:rPr>
          <w:rFonts w:ascii="Times New Roman" w:hAnsi="Times New Roman" w:cs="Times New Roman"/>
          <w:sz w:val="18"/>
          <w:szCs w:val="18"/>
        </w:rPr>
        <w:t>positive predictive value</w:t>
      </w:r>
      <w:bookmarkEnd w:id="2"/>
      <w:r>
        <w:rPr>
          <w:rFonts w:ascii="Times New Roman" w:hAnsi="Times New Roman" w:cs="Times New Roman"/>
          <w:sz w:val="18"/>
          <w:szCs w:val="18"/>
        </w:rPr>
        <w:t>.</w:t>
      </w:r>
    </w:p>
    <w:p w:rsidR="000367AB" w:rsidRDefault="00DF2148">
      <w:bookmarkStart w:id="3" w:name="_GoBack"/>
      <w:bookmarkEnd w:id="3"/>
    </w:p>
    <w:sectPr w:rsidR="00036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48"/>
    <w:rsid w:val="00002176"/>
    <w:rsid w:val="00024EC6"/>
    <w:rsid w:val="00063026"/>
    <w:rsid w:val="00074707"/>
    <w:rsid w:val="000B2DEB"/>
    <w:rsid w:val="000D0078"/>
    <w:rsid w:val="000E67BD"/>
    <w:rsid w:val="000F6EC3"/>
    <w:rsid w:val="00100FD6"/>
    <w:rsid w:val="00125053"/>
    <w:rsid w:val="00151A10"/>
    <w:rsid w:val="0016284E"/>
    <w:rsid w:val="00171210"/>
    <w:rsid w:val="00177354"/>
    <w:rsid w:val="00190194"/>
    <w:rsid w:val="001979F8"/>
    <w:rsid w:val="00197AFE"/>
    <w:rsid w:val="00197BDB"/>
    <w:rsid w:val="001B0F5D"/>
    <w:rsid w:val="001C4CD3"/>
    <w:rsid w:val="001F4934"/>
    <w:rsid w:val="00202024"/>
    <w:rsid w:val="002063F8"/>
    <w:rsid w:val="002069DF"/>
    <w:rsid w:val="002203F7"/>
    <w:rsid w:val="00231CE2"/>
    <w:rsid w:val="00232BE5"/>
    <w:rsid w:val="002517A5"/>
    <w:rsid w:val="002617A9"/>
    <w:rsid w:val="00267924"/>
    <w:rsid w:val="00272213"/>
    <w:rsid w:val="00273583"/>
    <w:rsid w:val="002869E1"/>
    <w:rsid w:val="00287CFB"/>
    <w:rsid w:val="002B3BFC"/>
    <w:rsid w:val="002B672F"/>
    <w:rsid w:val="002C3B5C"/>
    <w:rsid w:val="002C5C9F"/>
    <w:rsid w:val="002D31AF"/>
    <w:rsid w:val="002E5C18"/>
    <w:rsid w:val="003249BC"/>
    <w:rsid w:val="00347CE8"/>
    <w:rsid w:val="00351AA2"/>
    <w:rsid w:val="003565A5"/>
    <w:rsid w:val="00361FF6"/>
    <w:rsid w:val="003B02FB"/>
    <w:rsid w:val="003F12F2"/>
    <w:rsid w:val="00404BCD"/>
    <w:rsid w:val="00443681"/>
    <w:rsid w:val="00461905"/>
    <w:rsid w:val="00491F1B"/>
    <w:rsid w:val="00497777"/>
    <w:rsid w:val="004A4C20"/>
    <w:rsid w:val="004F3E3D"/>
    <w:rsid w:val="00502EE6"/>
    <w:rsid w:val="00512FBE"/>
    <w:rsid w:val="00523CEF"/>
    <w:rsid w:val="005922D3"/>
    <w:rsid w:val="005B1CBE"/>
    <w:rsid w:val="005C3DF9"/>
    <w:rsid w:val="005D0D46"/>
    <w:rsid w:val="006203F3"/>
    <w:rsid w:val="006204FC"/>
    <w:rsid w:val="00622C70"/>
    <w:rsid w:val="0062488D"/>
    <w:rsid w:val="0066263A"/>
    <w:rsid w:val="006651AA"/>
    <w:rsid w:val="006656DE"/>
    <w:rsid w:val="00671BDC"/>
    <w:rsid w:val="00680873"/>
    <w:rsid w:val="0069077B"/>
    <w:rsid w:val="006A4508"/>
    <w:rsid w:val="006A7F56"/>
    <w:rsid w:val="006B0AEC"/>
    <w:rsid w:val="006C3AE6"/>
    <w:rsid w:val="00726B42"/>
    <w:rsid w:val="00734326"/>
    <w:rsid w:val="00737036"/>
    <w:rsid w:val="00753CAD"/>
    <w:rsid w:val="0077423F"/>
    <w:rsid w:val="00785CB0"/>
    <w:rsid w:val="007A51A0"/>
    <w:rsid w:val="007A60BF"/>
    <w:rsid w:val="007B2785"/>
    <w:rsid w:val="007C1D69"/>
    <w:rsid w:val="007C3091"/>
    <w:rsid w:val="007F39BD"/>
    <w:rsid w:val="00815483"/>
    <w:rsid w:val="0087210B"/>
    <w:rsid w:val="00896A1F"/>
    <w:rsid w:val="008A3CA0"/>
    <w:rsid w:val="008B2FEA"/>
    <w:rsid w:val="008B6B46"/>
    <w:rsid w:val="008C0E35"/>
    <w:rsid w:val="008D169E"/>
    <w:rsid w:val="00900ED7"/>
    <w:rsid w:val="009149BD"/>
    <w:rsid w:val="00915281"/>
    <w:rsid w:val="009221D9"/>
    <w:rsid w:val="009370F9"/>
    <w:rsid w:val="009607EE"/>
    <w:rsid w:val="00972BA9"/>
    <w:rsid w:val="00986594"/>
    <w:rsid w:val="009871CC"/>
    <w:rsid w:val="009937C4"/>
    <w:rsid w:val="0099491E"/>
    <w:rsid w:val="009A4D9D"/>
    <w:rsid w:val="009C10AA"/>
    <w:rsid w:val="009C3C19"/>
    <w:rsid w:val="009C6031"/>
    <w:rsid w:val="009C7060"/>
    <w:rsid w:val="009D31D0"/>
    <w:rsid w:val="00A0420A"/>
    <w:rsid w:val="00A237B1"/>
    <w:rsid w:val="00A26C1D"/>
    <w:rsid w:val="00A273FF"/>
    <w:rsid w:val="00A50822"/>
    <w:rsid w:val="00A56EEA"/>
    <w:rsid w:val="00A9619F"/>
    <w:rsid w:val="00AA734A"/>
    <w:rsid w:val="00AB18B9"/>
    <w:rsid w:val="00AC25F5"/>
    <w:rsid w:val="00AC306C"/>
    <w:rsid w:val="00AC6A63"/>
    <w:rsid w:val="00AC7C84"/>
    <w:rsid w:val="00AD29C8"/>
    <w:rsid w:val="00B007D9"/>
    <w:rsid w:val="00B146B8"/>
    <w:rsid w:val="00B200B0"/>
    <w:rsid w:val="00B50507"/>
    <w:rsid w:val="00B54B82"/>
    <w:rsid w:val="00B55760"/>
    <w:rsid w:val="00B55BBD"/>
    <w:rsid w:val="00B86848"/>
    <w:rsid w:val="00BA4D4F"/>
    <w:rsid w:val="00BA66A5"/>
    <w:rsid w:val="00BA6CDF"/>
    <w:rsid w:val="00BA76ED"/>
    <w:rsid w:val="00BB23B8"/>
    <w:rsid w:val="00BC070D"/>
    <w:rsid w:val="00C12493"/>
    <w:rsid w:val="00C2069D"/>
    <w:rsid w:val="00C33AF5"/>
    <w:rsid w:val="00C3549B"/>
    <w:rsid w:val="00C52779"/>
    <w:rsid w:val="00C53A68"/>
    <w:rsid w:val="00C5635A"/>
    <w:rsid w:val="00C6256F"/>
    <w:rsid w:val="00C62EB9"/>
    <w:rsid w:val="00C72CCD"/>
    <w:rsid w:val="00C76DEA"/>
    <w:rsid w:val="00C86C75"/>
    <w:rsid w:val="00CC4278"/>
    <w:rsid w:val="00CE312B"/>
    <w:rsid w:val="00CE4F33"/>
    <w:rsid w:val="00CF4451"/>
    <w:rsid w:val="00D33988"/>
    <w:rsid w:val="00D5341A"/>
    <w:rsid w:val="00D85B3A"/>
    <w:rsid w:val="00D914F0"/>
    <w:rsid w:val="00D922CE"/>
    <w:rsid w:val="00DA2FBE"/>
    <w:rsid w:val="00DB1B81"/>
    <w:rsid w:val="00DB3C9E"/>
    <w:rsid w:val="00DD5DDD"/>
    <w:rsid w:val="00DE20E4"/>
    <w:rsid w:val="00DF2148"/>
    <w:rsid w:val="00E20797"/>
    <w:rsid w:val="00E266F5"/>
    <w:rsid w:val="00E41B8A"/>
    <w:rsid w:val="00E52374"/>
    <w:rsid w:val="00E650E7"/>
    <w:rsid w:val="00E75FA9"/>
    <w:rsid w:val="00E96C16"/>
    <w:rsid w:val="00EA478E"/>
    <w:rsid w:val="00EC119F"/>
    <w:rsid w:val="00EE2CEF"/>
    <w:rsid w:val="00EF1986"/>
    <w:rsid w:val="00EF6695"/>
    <w:rsid w:val="00EF7B57"/>
    <w:rsid w:val="00F0364E"/>
    <w:rsid w:val="00FC38A4"/>
    <w:rsid w:val="00FD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148"/>
    <w:pPr>
      <w:widowControl w:val="0"/>
      <w:spacing w:after="160" w:line="278" w:lineRule="auto"/>
    </w:pPr>
    <w:rPr>
      <w:rFonts w:eastAsiaTheme="minorEastAsia"/>
      <w:kern w:val="2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DF2148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0"/>
    <w:qFormat/>
    <w:rsid w:val="00DF2148"/>
    <w:pPr>
      <w:spacing w:line="240" w:lineRule="auto"/>
    </w:pPr>
    <w:rPr>
      <w:rFonts w:ascii="DengXian" w:eastAsia="DengXian" w:hAnsi="DengXian"/>
    </w:rPr>
  </w:style>
  <w:style w:type="character" w:customStyle="1" w:styleId="EndNoteBibliography0">
    <w:name w:val="EndNote Bibliography 字符"/>
    <w:basedOn w:val="DefaultParagraphFont"/>
    <w:link w:val="EndNoteBibliography"/>
    <w:qFormat/>
    <w:rsid w:val="00DF2148"/>
    <w:rPr>
      <w:rFonts w:ascii="DengXian" w:eastAsia="DengXian" w:hAnsi="DengXian"/>
      <w:kern w:val="2"/>
      <w:szCs w:val="24"/>
      <w:lang w:eastAsia="zh-CN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148"/>
    <w:rPr>
      <w:rFonts w:ascii="Tahoma" w:eastAsiaTheme="minorEastAsia" w:hAnsi="Tahoma" w:cs="Tahoma"/>
      <w:kern w:val="2"/>
      <w:sz w:val="16"/>
      <w:szCs w:val="16"/>
      <w:lang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148"/>
    <w:pPr>
      <w:widowControl w:val="0"/>
      <w:spacing w:after="160" w:line="278" w:lineRule="auto"/>
    </w:pPr>
    <w:rPr>
      <w:rFonts w:eastAsiaTheme="minorEastAsia"/>
      <w:kern w:val="2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DF2148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0"/>
    <w:qFormat/>
    <w:rsid w:val="00DF2148"/>
    <w:pPr>
      <w:spacing w:line="240" w:lineRule="auto"/>
    </w:pPr>
    <w:rPr>
      <w:rFonts w:ascii="DengXian" w:eastAsia="DengXian" w:hAnsi="DengXian"/>
    </w:rPr>
  </w:style>
  <w:style w:type="character" w:customStyle="1" w:styleId="EndNoteBibliography0">
    <w:name w:val="EndNote Bibliography 字符"/>
    <w:basedOn w:val="DefaultParagraphFont"/>
    <w:link w:val="EndNoteBibliography"/>
    <w:qFormat/>
    <w:rsid w:val="00DF2148"/>
    <w:rPr>
      <w:rFonts w:ascii="DengXian" w:eastAsia="DengXian" w:hAnsi="DengXian"/>
      <w:kern w:val="2"/>
      <w:szCs w:val="24"/>
      <w:lang w:eastAsia="zh-CN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148"/>
    <w:rPr>
      <w:rFonts w:ascii="Tahoma" w:eastAsiaTheme="minorEastAsia" w:hAnsi="Tahoma" w:cs="Tahoma"/>
      <w:kern w:val="2"/>
      <w:sz w:val="16"/>
      <w:szCs w:val="16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 Rose Balasabas Vallaso</dc:creator>
  <cp:lastModifiedBy>Mell Rose Balasabas Vallaso</cp:lastModifiedBy>
  <cp:revision>1</cp:revision>
  <dcterms:created xsi:type="dcterms:W3CDTF">2026-07-27T23:35:00Z</dcterms:created>
  <dcterms:modified xsi:type="dcterms:W3CDTF">2026-07-27T23:35:00Z</dcterms:modified>
</cp:coreProperties>
</file>