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42CAD" w14:textId="41080DE1" w:rsidR="00C72B20" w:rsidRPr="00C72B20" w:rsidRDefault="00C72B20" w:rsidP="00C72B20">
      <w:pPr>
        <w:spacing w:line="360" w:lineRule="auto"/>
        <w:rPr>
          <w:rFonts w:ascii="Times New Roman" w:hAnsi="Times New Roman" w:cs="Times New Roman"/>
          <w:b/>
          <w:bCs/>
          <w:lang w:val="en-US"/>
        </w:rPr>
      </w:pPr>
      <w:r w:rsidRPr="00C72B20">
        <w:rPr>
          <w:rFonts w:ascii="Times New Roman" w:hAnsi="Times New Roman" w:cs="Times New Roman"/>
          <w:b/>
          <w:bCs/>
          <w:lang w:val="en-US"/>
        </w:rPr>
        <w:t>Results</w:t>
      </w:r>
    </w:p>
    <w:p w14:paraId="6E8BBB94" w14:textId="44E5F491" w:rsidR="00C72B20" w:rsidRPr="00C72B20" w:rsidRDefault="00C72B20" w:rsidP="00C72B20">
      <w:pPr>
        <w:spacing w:line="360" w:lineRule="auto"/>
        <w:rPr>
          <w:rFonts w:ascii="Times New Roman" w:hAnsi="Times New Roman" w:cs="Times New Roman"/>
          <w:lang w:val="en-US"/>
        </w:rPr>
      </w:pPr>
      <w:r w:rsidRPr="00C72B20">
        <w:rPr>
          <w:rFonts w:ascii="Times New Roman" w:hAnsi="Times New Roman" w:cs="Times New Roman"/>
          <w:lang w:val="en-US"/>
        </w:rPr>
        <w:t>The initial database included 123 CAH patients (64 males, 52%). After applying inclusion criteria, 63 patients remained (30 males, 48%): 45 with SW-CAH (21 males, 24 females), 13 with SV-CAH (7 males, 6 females), and 5 with NC-CAH (2 males, 3 females). Because of phenotypic similarities, patients were divided into SW and combined SV+NC (non-SW) groups. In total, 2949 visits were analyzed, with a mean of 47 visits per patient.</w:t>
      </w:r>
    </w:p>
    <w:p w14:paraId="01A8037F" w14:textId="77777777" w:rsidR="00C72B20" w:rsidRPr="00C72B20" w:rsidRDefault="00C72B20" w:rsidP="00C72B20">
      <w:pPr>
        <w:spacing w:line="360" w:lineRule="auto"/>
        <w:rPr>
          <w:rFonts w:ascii="Times New Roman" w:hAnsi="Times New Roman" w:cs="Times New Roman"/>
          <w:lang w:val="en-US"/>
        </w:rPr>
      </w:pPr>
      <w:r w:rsidRPr="00C72B20">
        <w:rPr>
          <w:rFonts w:ascii="Times New Roman" w:hAnsi="Times New Roman" w:cs="Times New Roman"/>
          <w:lang w:val="en-US"/>
        </w:rPr>
        <w:t xml:space="preserve">For the whole cohort, </w:t>
      </w:r>
      <w:proofErr w:type="spellStart"/>
      <w:r w:rsidRPr="00C72B20">
        <w:rPr>
          <w:rFonts w:ascii="Times New Roman" w:hAnsi="Times New Roman" w:cs="Times New Roman"/>
          <w:lang w:val="en-US"/>
        </w:rPr>
        <w:t>nFH</w:t>
      </w:r>
      <w:proofErr w:type="spellEnd"/>
      <w:r w:rsidRPr="00C72B20">
        <w:rPr>
          <w:rFonts w:ascii="Times New Roman" w:hAnsi="Times New Roman" w:cs="Times New Roman"/>
          <w:lang w:val="en-US"/>
        </w:rPr>
        <w:t xml:space="preserve"> was 163.87 ± 8.97 cm (160.0 [155.4-163.0] cm for females and 169.91 ± 7.57 cm for males) and </w:t>
      </w:r>
      <w:proofErr w:type="spellStart"/>
      <w:r w:rsidRPr="00C72B20">
        <w:rPr>
          <w:rFonts w:ascii="Times New Roman" w:hAnsi="Times New Roman" w:cs="Times New Roman"/>
          <w:lang w:val="en-US"/>
        </w:rPr>
        <w:t>nFH</w:t>
      </w:r>
      <w:proofErr w:type="spellEnd"/>
      <w:r w:rsidRPr="00C72B20">
        <w:rPr>
          <w:rFonts w:ascii="Times New Roman" w:hAnsi="Times New Roman" w:cs="Times New Roman"/>
          <w:lang w:val="en-US"/>
        </w:rPr>
        <w:t xml:space="preserve"> SDS was -1.20 ± 1.03. TH SDS was -0.33 ± 0.85 and corrected c-</w:t>
      </w:r>
      <w:proofErr w:type="spellStart"/>
      <w:r w:rsidRPr="00C72B20">
        <w:rPr>
          <w:rFonts w:ascii="Times New Roman" w:hAnsi="Times New Roman" w:cs="Times New Roman"/>
          <w:lang w:val="en-US"/>
        </w:rPr>
        <w:t>nFH</w:t>
      </w:r>
      <w:proofErr w:type="spellEnd"/>
      <w:r w:rsidRPr="00C72B20">
        <w:rPr>
          <w:rFonts w:ascii="Times New Roman" w:hAnsi="Times New Roman" w:cs="Times New Roman"/>
          <w:lang w:val="en-US"/>
        </w:rPr>
        <w:t xml:space="preserve"> SDS was -0.87 ± 0.84. SW patients were diagnosed at the median age of 0.6 months (0.4–1.2), while the non-SW patients were diagnosed at a mean age of 65.2 ± 47.7 months. The follow up time was 17.7 (16.4 – 18.0) years in the SW group and 12.6 ± 3.9 years in the non-SW group. TH SDS was comparable between SW and non-SW patients (−0.35 ± 0.80 vs −0.27 ± 0.99, p = 0.747), as was the TH (Tab.1). Age at </w:t>
      </w:r>
      <w:proofErr w:type="spellStart"/>
      <w:r w:rsidRPr="00C72B20">
        <w:rPr>
          <w:rFonts w:ascii="Times New Roman" w:hAnsi="Times New Roman" w:cs="Times New Roman"/>
          <w:lang w:val="en-US"/>
        </w:rPr>
        <w:t>nFH</w:t>
      </w:r>
      <w:proofErr w:type="spellEnd"/>
      <w:r w:rsidRPr="00C72B20">
        <w:rPr>
          <w:rFonts w:ascii="Times New Roman" w:hAnsi="Times New Roman" w:cs="Times New Roman"/>
          <w:lang w:val="en-US"/>
        </w:rPr>
        <w:t xml:space="preserve"> was similar between groups (SW: 16.3 [15.1–17.2] vs non-SW: 16.0 [15.1–16.7] years, p = 0.665). </w:t>
      </w:r>
      <w:proofErr w:type="spellStart"/>
      <w:r w:rsidRPr="00C72B20">
        <w:rPr>
          <w:rFonts w:ascii="Times New Roman" w:hAnsi="Times New Roman" w:cs="Times New Roman"/>
          <w:lang w:val="en-US"/>
        </w:rPr>
        <w:t>nFH</w:t>
      </w:r>
      <w:proofErr w:type="spellEnd"/>
      <w:r w:rsidRPr="00C72B20">
        <w:rPr>
          <w:rFonts w:ascii="Times New Roman" w:hAnsi="Times New Roman" w:cs="Times New Roman"/>
          <w:lang w:val="en-US"/>
        </w:rPr>
        <w:t xml:space="preserve"> did not differ significantly between males in both groups, it was however statistically different between females (SW: 159.05 [154.62-161.53] vs non-SW: 163.00 [157.50-164.50], p=0.045). </w:t>
      </w:r>
      <w:proofErr w:type="spellStart"/>
      <w:r w:rsidRPr="00C72B20">
        <w:rPr>
          <w:rFonts w:ascii="Times New Roman" w:hAnsi="Times New Roman" w:cs="Times New Roman"/>
          <w:lang w:val="en-US"/>
        </w:rPr>
        <w:t>nFH</w:t>
      </w:r>
      <w:proofErr w:type="spellEnd"/>
      <w:r w:rsidRPr="00C72B20">
        <w:rPr>
          <w:rFonts w:ascii="Times New Roman" w:hAnsi="Times New Roman" w:cs="Times New Roman"/>
          <w:lang w:val="en-US"/>
        </w:rPr>
        <w:t xml:space="preserve"> SDS (SW: −1.35 ± 1.02 vs non-SW: −0.84 ± 1.01, p = 0.081) and c-</w:t>
      </w:r>
      <w:proofErr w:type="spellStart"/>
      <w:r w:rsidRPr="00C72B20">
        <w:rPr>
          <w:rFonts w:ascii="Times New Roman" w:hAnsi="Times New Roman" w:cs="Times New Roman"/>
          <w:lang w:val="en-US"/>
        </w:rPr>
        <w:t>nFH</w:t>
      </w:r>
      <w:proofErr w:type="spellEnd"/>
      <w:r w:rsidRPr="00C72B20">
        <w:rPr>
          <w:rFonts w:ascii="Times New Roman" w:hAnsi="Times New Roman" w:cs="Times New Roman"/>
          <w:lang w:val="en-US"/>
        </w:rPr>
        <w:t xml:space="preserve"> SDS (SW: −0.99 ± 0.87 vs non-SW: −0.57 ± 0.71, p = 0.053) did not differ between the groups. Comparisons of growth, treatment, puberty, and weight variables are summarized in Table 1.</w:t>
      </w:r>
    </w:p>
    <w:p w14:paraId="259AD3D0" w14:textId="77777777" w:rsidR="00C72B20" w:rsidRPr="00C72B20" w:rsidRDefault="00C72B20" w:rsidP="00C72B20">
      <w:pPr>
        <w:spacing w:line="360" w:lineRule="auto"/>
        <w:rPr>
          <w:rFonts w:ascii="Times New Roman" w:hAnsi="Times New Roman" w:cs="Times New Roman"/>
          <w:lang w:val="en-US"/>
        </w:rPr>
      </w:pPr>
      <w:r w:rsidRPr="00C72B20">
        <w:rPr>
          <w:rFonts w:ascii="Times New Roman" w:hAnsi="Times New Roman" w:cs="Times New Roman"/>
          <w:lang w:val="en-US"/>
        </w:rPr>
        <w:t xml:space="preserve">The </w:t>
      </w:r>
      <w:r w:rsidRPr="00C72B20">
        <w:rPr>
          <w:rFonts w:ascii="Times New Roman" w:hAnsi="Times New Roman" w:cs="Times New Roman"/>
          <w:color w:val="FF0000"/>
          <w:lang w:val="en-US"/>
        </w:rPr>
        <w:t xml:space="preserve">mixed-design </w:t>
      </w:r>
      <w:r w:rsidRPr="00C72B20">
        <w:rPr>
          <w:rFonts w:ascii="Times New Roman" w:hAnsi="Times New Roman" w:cs="Times New Roman"/>
          <w:lang w:val="en-US"/>
        </w:rPr>
        <w:t>ANOVA demonstrated significantly different c-</w:t>
      </w:r>
      <w:proofErr w:type="spellStart"/>
      <w:r w:rsidRPr="00C72B20">
        <w:rPr>
          <w:rFonts w:ascii="Times New Roman" w:hAnsi="Times New Roman" w:cs="Times New Roman"/>
          <w:lang w:val="en-US"/>
        </w:rPr>
        <w:t>hSDS</w:t>
      </w:r>
      <w:proofErr w:type="spellEnd"/>
      <w:r w:rsidRPr="00C72B20">
        <w:rPr>
          <w:rFonts w:ascii="Times New Roman" w:hAnsi="Times New Roman" w:cs="Times New Roman"/>
          <w:lang w:val="en-US"/>
        </w:rPr>
        <w:t xml:space="preserve"> trajectories between groups </w:t>
      </w:r>
      <w:r w:rsidRPr="00C72B20">
        <w:rPr>
          <w:rFonts w:ascii="Times New Roman" w:hAnsi="Times New Roman" w:cs="Times New Roman"/>
          <w:color w:val="FF0000"/>
          <w:lang w:val="en-US"/>
        </w:rPr>
        <w:t>across the three timepoints</w:t>
      </w:r>
      <w:r w:rsidRPr="00C72B20">
        <w:rPr>
          <w:rFonts w:ascii="Times New Roman" w:hAnsi="Times New Roman" w:cs="Times New Roman"/>
          <w:lang w:val="en-US"/>
        </w:rPr>
        <w:t>. SW patients had significantly lower c-</w:t>
      </w:r>
      <w:proofErr w:type="spellStart"/>
      <w:r w:rsidRPr="00C72B20">
        <w:rPr>
          <w:rFonts w:ascii="Times New Roman" w:hAnsi="Times New Roman" w:cs="Times New Roman"/>
          <w:lang w:val="en-US"/>
        </w:rPr>
        <w:t>hSDS</w:t>
      </w:r>
      <w:proofErr w:type="spellEnd"/>
      <w:r w:rsidRPr="00C72B20">
        <w:rPr>
          <w:rFonts w:ascii="Times New Roman" w:hAnsi="Times New Roman" w:cs="Times New Roman"/>
          <w:lang w:val="en-US"/>
        </w:rPr>
        <w:t xml:space="preserve"> than SV and NC patients at first visit. At first puberty sign, SW remained significantly lower than SV, whereas differences with NC were no longer significant. At </w:t>
      </w:r>
      <w:proofErr w:type="spellStart"/>
      <w:r w:rsidRPr="00C72B20">
        <w:rPr>
          <w:rFonts w:ascii="Times New Roman" w:hAnsi="Times New Roman" w:cs="Times New Roman"/>
          <w:lang w:val="en-US"/>
        </w:rPr>
        <w:t>nFH</w:t>
      </w:r>
      <w:proofErr w:type="spellEnd"/>
      <w:r w:rsidRPr="00C72B20">
        <w:rPr>
          <w:rFonts w:ascii="Times New Roman" w:hAnsi="Times New Roman" w:cs="Times New Roman"/>
          <w:lang w:val="en-US"/>
        </w:rPr>
        <w:t>, no significant between-group differences were observed. SV and NC groups did not differ significantly at any timepoint (Fig. 1).</w:t>
      </w:r>
    </w:p>
    <w:p w14:paraId="3FBCA0A4" w14:textId="77777777" w:rsidR="00C72B20" w:rsidRPr="00C72B20" w:rsidRDefault="00C72B20" w:rsidP="00C72B20">
      <w:pPr>
        <w:spacing w:line="360" w:lineRule="auto"/>
        <w:rPr>
          <w:rFonts w:ascii="Times New Roman" w:hAnsi="Times New Roman" w:cs="Times New Roman"/>
          <w:lang w:val="en-US"/>
        </w:rPr>
      </w:pPr>
      <w:r w:rsidRPr="00C72B20">
        <w:rPr>
          <w:rFonts w:ascii="Times New Roman" w:hAnsi="Times New Roman" w:cs="Times New Roman"/>
          <w:lang w:val="en-US"/>
        </w:rPr>
        <w:t xml:space="preserve">HC treatment was administered to all patients except one SV patient diagnosed after reaching </w:t>
      </w:r>
      <w:proofErr w:type="spellStart"/>
      <w:r w:rsidRPr="00C72B20">
        <w:rPr>
          <w:rFonts w:ascii="Times New Roman" w:hAnsi="Times New Roman" w:cs="Times New Roman"/>
          <w:lang w:val="en-US"/>
        </w:rPr>
        <w:t>nFH</w:t>
      </w:r>
      <w:proofErr w:type="spellEnd"/>
      <w:r w:rsidRPr="00C72B20">
        <w:rPr>
          <w:rFonts w:ascii="Times New Roman" w:hAnsi="Times New Roman" w:cs="Times New Roman"/>
          <w:lang w:val="en-US"/>
        </w:rPr>
        <w:t xml:space="preserve">, who was treated with dexamethasone. SW patients began HC treatment earlier than non-SW patients (0.17 [0.09–0.28] vs 4.10 [2.34–7.12] years, p &lt; 0.001), and the age at first clinic visit was likewise lower in the SW group (0.06 [0.02–0.17] vs 4.55 [2.57–7.37] years, p &lt; 0.001). Mean HC doses divided by BSA were higher in the SW than in the non-SW group (17.15 ± 3.15 vs. 12.56 ± 4.84 [mg/(m2*day)], p = 0.0015). Mineralocorticoid treatment was used in all SW, 2/13 (15%) SV and 1/5 (20%) NC patients. </w:t>
      </w:r>
    </w:p>
    <w:p w14:paraId="426B7CE5" w14:textId="77777777" w:rsidR="00C72B20" w:rsidRPr="00C72B20" w:rsidRDefault="00C72B20" w:rsidP="00C72B20">
      <w:pPr>
        <w:spacing w:line="360" w:lineRule="auto"/>
        <w:rPr>
          <w:rFonts w:ascii="Times New Roman" w:hAnsi="Times New Roman" w:cs="Times New Roman"/>
          <w:lang w:val="en-US"/>
        </w:rPr>
      </w:pPr>
      <w:r w:rsidRPr="00C72B20">
        <w:rPr>
          <w:rFonts w:ascii="Times New Roman" w:hAnsi="Times New Roman" w:cs="Times New Roman"/>
          <w:lang w:val="en-US"/>
        </w:rPr>
        <w:t xml:space="preserve">Maximum BAA was lower in SW than non-SW patients (1.4 [0.5–2.3] vs 2.9 [2.0–4.4] years, p = 0.011), as was peak ΔBAA (0.02 [−0.45–0.99] vs 2.22 [0.29–3.75] years, p = 0.006). Age at peak ΔBAA (7.1 ± 2.6 vs 6.9 ± 2.7 years, p = 0.740) and age at maximum BAA (9.9 ± 3.7 vs 9.7 ± 4.5 years, p = 0.932) were comparable between groups. </w:t>
      </w:r>
    </w:p>
    <w:p w14:paraId="30A34019" w14:textId="77777777" w:rsidR="00C72B20" w:rsidRPr="00C72B20" w:rsidRDefault="00C72B20" w:rsidP="00C72B20">
      <w:pPr>
        <w:spacing w:line="360" w:lineRule="auto"/>
        <w:rPr>
          <w:rFonts w:ascii="Times New Roman" w:hAnsi="Times New Roman" w:cs="Times New Roman"/>
          <w:lang w:val="en-US"/>
        </w:rPr>
      </w:pPr>
      <w:r w:rsidRPr="00C72B20">
        <w:rPr>
          <w:rFonts w:ascii="Times New Roman" w:hAnsi="Times New Roman" w:cs="Times New Roman"/>
          <w:lang w:val="en-US"/>
        </w:rPr>
        <w:lastRenderedPageBreak/>
        <w:t xml:space="preserve">Age at first pubertal sign did not differ between groups (SW: 9.4 ± 2.2 vs non-SW: 8.8 ± 2.6 years, p = 0.375). Peak HV (SW: 7.5 ± 1.0 vs non-SW: 7.1 ± 0.9 cm/year, p = 0.134) and age at peak HV (SW: 10.7 ± 2.2 vs non-SW: 10.7 ± 1.1 years, p = 0.914) were similar between groups. </w:t>
      </w:r>
    </w:p>
    <w:p w14:paraId="01DECFEF" w14:textId="77777777" w:rsidR="00C72B20" w:rsidRPr="00C72B20" w:rsidRDefault="00C72B20" w:rsidP="00C72B20">
      <w:pPr>
        <w:spacing w:line="360" w:lineRule="auto"/>
        <w:rPr>
          <w:rFonts w:ascii="Times New Roman" w:hAnsi="Times New Roman" w:cs="Times New Roman"/>
          <w:lang w:val="en-US"/>
        </w:rPr>
      </w:pPr>
      <w:r w:rsidRPr="00C72B20">
        <w:rPr>
          <w:rFonts w:ascii="Times New Roman" w:hAnsi="Times New Roman" w:cs="Times New Roman"/>
          <w:lang w:val="en-US"/>
        </w:rPr>
        <w:t>Premature occurrence of puberty signs was observed in 20/62 patients (31.7%), 13/44 (28.9%) in SW group and 7/18 (38.9%) in the non-SW group. Pubarche was the first puberty sign in 29/62 (46%) of all patients, 20/44 (44.4%) of SW patients, and 9/18 (50%) of SV patients. Pubarche was the first manifestation of premature puberty signs in 13/20 (65%) of patients, 8/13 (61.5%) in the SW group and 5/7 (71.4%) in the non-SW group.</w:t>
      </w:r>
    </w:p>
    <w:p w14:paraId="5BDBB6ED" w14:textId="77777777" w:rsidR="00C72B20" w:rsidRPr="00C72B20" w:rsidRDefault="00C72B20" w:rsidP="00C72B20">
      <w:pPr>
        <w:spacing w:line="360" w:lineRule="auto"/>
        <w:rPr>
          <w:rFonts w:ascii="Times New Roman" w:hAnsi="Times New Roman" w:cs="Times New Roman"/>
          <w:lang w:val="en-US"/>
        </w:rPr>
      </w:pPr>
      <w:r w:rsidRPr="00C72B20">
        <w:rPr>
          <w:rFonts w:ascii="Times New Roman" w:hAnsi="Times New Roman" w:cs="Times New Roman"/>
          <w:lang w:val="en-US"/>
        </w:rPr>
        <w:t xml:space="preserve">BMI AUC was higher in non-SW patients compared to SW patients (20.81 ± 3.59 vs 18.11 ± 2.85, p = 0.010), while BMI SDS at </w:t>
      </w:r>
      <w:proofErr w:type="spellStart"/>
      <w:r w:rsidRPr="00C72B20">
        <w:rPr>
          <w:rFonts w:ascii="Times New Roman" w:hAnsi="Times New Roman" w:cs="Times New Roman"/>
          <w:lang w:val="en-US"/>
        </w:rPr>
        <w:t>nFH</w:t>
      </w:r>
      <w:proofErr w:type="spellEnd"/>
      <w:r w:rsidRPr="00C72B20">
        <w:rPr>
          <w:rFonts w:ascii="Times New Roman" w:hAnsi="Times New Roman" w:cs="Times New Roman"/>
          <w:lang w:val="en-US"/>
        </w:rPr>
        <w:t xml:space="preserve"> did not differ between groups (Tab.1). Age at AR and BMI at AR age did not differ between groups (SW: 3.42 [3.36–3.48] vs. non-SW: 3.40 [3.33–3.40] years, SW: 16.14 [15.27–17.69] vs. non-SW: 15.78 [15.56–16.33], respectively).</w:t>
      </w:r>
    </w:p>
    <w:p w14:paraId="1705774C" w14:textId="77777777" w:rsidR="00C72B20" w:rsidRPr="00C72B20" w:rsidRDefault="00C72B20" w:rsidP="00C72B20">
      <w:pPr>
        <w:spacing w:line="360" w:lineRule="auto"/>
        <w:rPr>
          <w:rFonts w:ascii="Times New Roman" w:hAnsi="Times New Roman" w:cs="Times New Roman"/>
          <w:b/>
          <w:bCs/>
          <w:lang w:val="en-US"/>
        </w:rPr>
      </w:pPr>
      <w:r w:rsidRPr="00C72B20">
        <w:rPr>
          <w:rFonts w:ascii="Times New Roman" w:hAnsi="Times New Roman" w:cs="Times New Roman"/>
          <w:b/>
          <w:bCs/>
          <w:lang w:val="en-US"/>
        </w:rPr>
        <w:t>Longitudinal time periods analysis</w:t>
      </w:r>
    </w:p>
    <w:p w14:paraId="47BE56E1" w14:textId="77777777" w:rsidR="00C72B20" w:rsidRPr="00C72B20" w:rsidRDefault="00C72B20" w:rsidP="00C72B20">
      <w:pPr>
        <w:spacing w:line="360" w:lineRule="auto"/>
        <w:rPr>
          <w:rFonts w:ascii="Times New Roman" w:hAnsi="Times New Roman" w:cs="Times New Roman"/>
          <w:lang w:val="en-US"/>
        </w:rPr>
      </w:pPr>
      <w:r w:rsidRPr="00C72B20">
        <w:rPr>
          <w:rFonts w:ascii="Times New Roman" w:hAnsi="Times New Roman" w:cs="Times New Roman"/>
          <w:lang w:val="en-US"/>
        </w:rPr>
        <w:t xml:space="preserve">In SW patients mean </w:t>
      </w:r>
      <w:proofErr w:type="spellStart"/>
      <w:r w:rsidRPr="00C72B20">
        <w:rPr>
          <w:rFonts w:ascii="Times New Roman" w:hAnsi="Times New Roman" w:cs="Times New Roman"/>
          <w:lang w:val="en-US"/>
        </w:rPr>
        <w:t>hSDS</w:t>
      </w:r>
      <w:proofErr w:type="spellEnd"/>
      <w:r w:rsidRPr="00C72B20">
        <w:rPr>
          <w:rFonts w:ascii="Times New Roman" w:hAnsi="Times New Roman" w:cs="Times New Roman"/>
          <w:lang w:val="en-US"/>
        </w:rPr>
        <w:t xml:space="preserve"> increased from −1.77 ± 1.10 to −0.34 ± 1.10, while c-</w:t>
      </w:r>
      <w:proofErr w:type="spellStart"/>
      <w:r w:rsidRPr="00C72B20">
        <w:rPr>
          <w:rFonts w:ascii="Times New Roman" w:hAnsi="Times New Roman" w:cs="Times New Roman"/>
          <w:lang w:val="en-US"/>
        </w:rPr>
        <w:t>hSDS</w:t>
      </w:r>
      <w:proofErr w:type="spellEnd"/>
      <w:r w:rsidRPr="00C72B20">
        <w:rPr>
          <w:rFonts w:ascii="Times New Roman" w:hAnsi="Times New Roman" w:cs="Times New Roman"/>
          <w:lang w:val="en-US"/>
        </w:rPr>
        <w:t xml:space="preserve"> changed from −1.40 ± 1.35 to 0.01 ± 1.06. HV decreased from 14.74 ± 2.35 cm/year in the first period to 4.57 ± 1.81 cm/year in the last period. Mean HC BSA was 30.88 ± 7.93 mg/m² at 0–2 years, 17.36 ± 4.25 mg/m² at 2–4 years, 14.68 (12.74–17.12) mg/m² at 4 years to puberty, and 17.65 ± 3.98 mg/m² during first puberty sign to final height. BAA values were −0.18 ± 0.35, −0.41 (−0.98 to −0.02), −0.28 ± 1.34, and 1.21 ± 1.69 across the respective periods. BMI AUC increased from 12.86 ± 3.65 to 16.58 ± 2.50 over time. Significant differences were observed for all variables and consecutive periods except early BAA and BMI AUC comparisons (Tab. 2A).</w:t>
      </w:r>
    </w:p>
    <w:p w14:paraId="6C17DF63" w14:textId="77777777" w:rsidR="00C72B20" w:rsidRPr="00C72B20" w:rsidRDefault="00C72B20" w:rsidP="00C72B20">
      <w:pPr>
        <w:spacing w:line="360" w:lineRule="auto"/>
        <w:rPr>
          <w:rFonts w:ascii="Times New Roman" w:hAnsi="Times New Roman" w:cs="Times New Roman"/>
          <w:lang w:val="en-US"/>
        </w:rPr>
      </w:pPr>
      <w:r w:rsidRPr="00C72B20">
        <w:rPr>
          <w:rFonts w:ascii="Times New Roman" w:hAnsi="Times New Roman" w:cs="Times New Roman"/>
          <w:lang w:val="en-US"/>
        </w:rPr>
        <w:t xml:space="preserve">In non-SW patients mean </w:t>
      </w:r>
      <w:proofErr w:type="spellStart"/>
      <w:r w:rsidRPr="00C72B20">
        <w:rPr>
          <w:rFonts w:ascii="Times New Roman" w:hAnsi="Times New Roman" w:cs="Times New Roman"/>
          <w:lang w:val="en-US"/>
        </w:rPr>
        <w:t>hSDS</w:t>
      </w:r>
      <w:proofErr w:type="spellEnd"/>
      <w:r w:rsidRPr="00C72B20">
        <w:rPr>
          <w:rFonts w:ascii="Times New Roman" w:hAnsi="Times New Roman" w:cs="Times New Roman"/>
          <w:lang w:val="en-US"/>
        </w:rPr>
        <w:t xml:space="preserve"> was 0.78 ± 1.59 in the first period and 0.36 ± 1.07 in the second, while mean c-</w:t>
      </w:r>
      <w:proofErr w:type="spellStart"/>
      <w:r w:rsidRPr="00C72B20">
        <w:rPr>
          <w:rFonts w:ascii="Times New Roman" w:hAnsi="Times New Roman" w:cs="Times New Roman"/>
          <w:lang w:val="en-US"/>
        </w:rPr>
        <w:t>hSDS</w:t>
      </w:r>
      <w:proofErr w:type="spellEnd"/>
      <w:r w:rsidRPr="00C72B20">
        <w:rPr>
          <w:rFonts w:ascii="Times New Roman" w:hAnsi="Times New Roman" w:cs="Times New Roman"/>
          <w:lang w:val="en-US"/>
        </w:rPr>
        <w:t xml:space="preserve"> was 1.06 ± 1.38 and 0.63 ± 0.92, respectively. HV decreased from 6.20 ± 1.56 cm/year to 4.25 ± 1.81 cm/year, and BMI AUC increased from 14.58 ± 2.52 to 18.71 ± 3.67; both changes were statistically significant. Mean HC BSA was 12.56 ± 4.91 mg/m² and 12.68 ± 5.37 mg/m² across the two periods. BAA values were 2.11 ± 2.47 and 2.07 ± 1.33 years, respectively (Tab. 2B). </w:t>
      </w:r>
    </w:p>
    <w:p w14:paraId="6AE1B726" w14:textId="77777777" w:rsidR="00C72B20" w:rsidRPr="00C72B20" w:rsidRDefault="00C72B20" w:rsidP="00C72B20">
      <w:pPr>
        <w:spacing w:line="360" w:lineRule="auto"/>
        <w:rPr>
          <w:rFonts w:ascii="Times New Roman" w:hAnsi="Times New Roman" w:cs="Times New Roman"/>
          <w:lang w:val="en-US"/>
        </w:rPr>
      </w:pPr>
      <w:r w:rsidRPr="00C72B20">
        <w:rPr>
          <w:rFonts w:ascii="Times New Roman" w:hAnsi="Times New Roman" w:cs="Times New Roman"/>
          <w:lang w:val="en-US"/>
        </w:rPr>
        <w:t xml:space="preserve">Longitudinal trajectories of </w:t>
      </w:r>
      <w:proofErr w:type="spellStart"/>
      <w:r w:rsidRPr="00C72B20">
        <w:rPr>
          <w:rFonts w:ascii="Times New Roman" w:hAnsi="Times New Roman" w:cs="Times New Roman"/>
          <w:lang w:val="en-US"/>
        </w:rPr>
        <w:t>hSDS</w:t>
      </w:r>
      <w:proofErr w:type="spellEnd"/>
      <w:r w:rsidRPr="00C72B20">
        <w:rPr>
          <w:rFonts w:ascii="Times New Roman" w:hAnsi="Times New Roman" w:cs="Times New Roman"/>
          <w:lang w:val="en-US"/>
        </w:rPr>
        <w:t>, HV, BAA, and BMI are presented in Figure 2.</w:t>
      </w:r>
    </w:p>
    <w:p w14:paraId="703C1314" w14:textId="77777777" w:rsidR="00C72B20" w:rsidRPr="00C72B20" w:rsidRDefault="00C72B20" w:rsidP="00C72B20">
      <w:pPr>
        <w:spacing w:line="360" w:lineRule="auto"/>
        <w:rPr>
          <w:rFonts w:ascii="Times New Roman" w:hAnsi="Times New Roman" w:cs="Times New Roman"/>
          <w:b/>
          <w:bCs/>
          <w:lang w:val="en-US"/>
        </w:rPr>
      </w:pPr>
      <w:r w:rsidRPr="00C72B20">
        <w:rPr>
          <w:rFonts w:ascii="Times New Roman" w:hAnsi="Times New Roman" w:cs="Times New Roman"/>
          <w:b/>
          <w:bCs/>
          <w:lang w:val="en-US"/>
        </w:rPr>
        <w:t>Longitudinal model</w:t>
      </w:r>
    </w:p>
    <w:p w14:paraId="4BB4E438" w14:textId="77777777" w:rsidR="00C72B20" w:rsidRPr="00C72B20" w:rsidRDefault="00C72B20" w:rsidP="00C72B20">
      <w:pPr>
        <w:spacing w:line="360" w:lineRule="auto"/>
        <w:rPr>
          <w:rFonts w:ascii="Times New Roman" w:hAnsi="Times New Roman" w:cs="Times New Roman"/>
          <w:highlight w:val="green"/>
          <w:lang w:val="en-US"/>
        </w:rPr>
      </w:pPr>
      <w:r w:rsidRPr="00C72B20">
        <w:rPr>
          <w:rFonts w:ascii="Times New Roman" w:hAnsi="Times New Roman" w:cs="Times New Roman"/>
          <w:lang w:val="en-US"/>
        </w:rPr>
        <w:t>The linear mixed-effects analysis included 2617 observations from 62 individuals (mean 42.2 observations per participant; range 7–61). The outcome variable was c-</w:t>
      </w:r>
      <w:proofErr w:type="spellStart"/>
      <w:r w:rsidRPr="00C72B20">
        <w:rPr>
          <w:rFonts w:ascii="Times New Roman" w:hAnsi="Times New Roman" w:cs="Times New Roman"/>
          <w:lang w:val="en-US"/>
        </w:rPr>
        <w:t>hSDS</w:t>
      </w:r>
      <w:proofErr w:type="spellEnd"/>
      <w:r w:rsidRPr="00C72B20">
        <w:rPr>
          <w:rFonts w:ascii="Times New Roman" w:hAnsi="Times New Roman" w:cs="Times New Roman"/>
          <w:lang w:val="en-US"/>
        </w:rPr>
        <w:t xml:space="preserve">. The model converged successfully (REML). In the fixed-effects component, the intercept was 0.707 (95% CI: 0.050 to 1.365; p = 0.035). CAH type (SW, SV and NC) was not statistically significant (SW: β = −0.236, 95% CI: −0.807 to 0.336; p = 0.419; NC: β = −0.395, 95% CI: −1.257 to 0.466; p = 0.368). Age was </w:t>
      </w:r>
      <w:r w:rsidRPr="00C72B20">
        <w:rPr>
          <w:rFonts w:ascii="Times New Roman" w:hAnsi="Times New Roman" w:cs="Times New Roman"/>
          <w:lang w:val="en-US"/>
        </w:rPr>
        <w:lastRenderedPageBreak/>
        <w:t xml:space="preserve">associated with the outcome (β = −0.107, 95% CI: −0.139 to −0.075; p &lt; 0.001). The within-individual </w:t>
      </w:r>
      <w:proofErr w:type="spellStart"/>
      <w:r w:rsidRPr="00C72B20">
        <w:rPr>
          <w:rFonts w:ascii="Times New Roman" w:hAnsi="Times New Roman" w:cs="Times New Roman"/>
          <w:lang w:val="en-US"/>
        </w:rPr>
        <w:t>lagHC</w:t>
      </w:r>
      <w:proofErr w:type="spellEnd"/>
      <w:r w:rsidRPr="00C72B20">
        <w:rPr>
          <w:rFonts w:ascii="Times New Roman" w:hAnsi="Times New Roman" w:cs="Times New Roman"/>
          <w:lang w:val="en-US"/>
        </w:rPr>
        <w:t xml:space="preserve"> effect was statistically significant (β = −0.256, 95% CI: −0.303 to −0.209; p &lt; 0.001), as was the between-individual HC BSA mean effect (β = −0.236, 95% CI: −0.456 to −0.016; p = 0.035). The interaction between age and within-individual HC was not significant (β = −0.006, 95% CI: −0.052 to 0.040; p = 0.789). BMI AUC was positively associated with the outcome (β = 0.120, 95% CI: 0.064 to 0.176; p &lt; 0.001), as was puberty status (β = 0.798, 95% CI: 0.701 to 0.895; p &lt; 0.001). Detailed results are shown in Table 3.</w:t>
      </w:r>
    </w:p>
    <w:p w14:paraId="75A41F38" w14:textId="77777777" w:rsidR="00C72B20" w:rsidRPr="00C72B20" w:rsidRDefault="00C72B20" w:rsidP="00C72B20">
      <w:pPr>
        <w:spacing w:line="360" w:lineRule="auto"/>
        <w:rPr>
          <w:rFonts w:ascii="Times New Roman" w:hAnsi="Times New Roman" w:cs="Times New Roman"/>
          <w:lang w:val="en-US"/>
        </w:rPr>
      </w:pPr>
      <w:r w:rsidRPr="00C72B20">
        <w:rPr>
          <w:rFonts w:ascii="Times New Roman" w:hAnsi="Times New Roman" w:cs="Times New Roman"/>
          <w:lang w:val="en-US"/>
        </w:rPr>
        <w:t>Random-effects covariance between intercept and age-slope was estimated as unstructured (intercept variance = 3.53, slope variance = 0.014, covariance = −0.20). Residuals-versus-fitted plots showed no evidence of major heteroscedasticity or non-linearity, though a small number of large residuals were observed at higher fitted values. Random intercepts were approximately normally distributed. Residuals showed mild deviation from normality in the tails, suggesting the presence of some outlying observations. A sensitivity analysis was performed by refitting the model after excluding observations with standardized residuals exceeding ±3 SD (n=25, 1.0% of observations). No predictor changed significance status. Coefficients for the primary predictors of interest changed modestly (HC_lag1_within: −0.257 to −0.288; HC BSA mean: −0.236 to −0.257; Puberty status: 0.798 to 0.810), and the effect of BMI-AUC exposure, while remaining significant (p&lt;0.001), decreased in magnitude (0.120 to 0.090).</w:t>
      </w:r>
    </w:p>
    <w:p w14:paraId="344E903F" w14:textId="77777777" w:rsidR="00C72B20" w:rsidRPr="00C72B20" w:rsidRDefault="00C72B20" w:rsidP="00C72B20">
      <w:pPr>
        <w:spacing w:line="360" w:lineRule="auto"/>
        <w:rPr>
          <w:rFonts w:ascii="Times New Roman" w:hAnsi="Times New Roman" w:cs="Times New Roman"/>
          <w:lang w:val="en-US"/>
        </w:rPr>
      </w:pPr>
      <w:r w:rsidRPr="00C72B20">
        <w:rPr>
          <w:rFonts w:ascii="Times New Roman" w:hAnsi="Times New Roman" w:cs="Times New Roman"/>
          <w:lang w:val="en-US"/>
        </w:rPr>
        <w:t xml:space="preserve">Conditional residuals from the primary model showed substantial within-patient serial correlation, with a mean lag-1 correlation of 0.729 (median 0.780). A continuous-time autoregressive model with a random intercept reduced the mean lag-1 residual correlation to −0.046, with an estimated continuous-time autoregressive correlation parameter of 0.743. However, combining the continuous-time autoregressive structure with the patient-specific random age slope resulted in singular convergence. The random-intercept/random-age-slope model was therefore retained as the primary specification. </w:t>
      </w:r>
    </w:p>
    <w:p w14:paraId="45007FC0" w14:textId="77777777" w:rsidR="00C72B20" w:rsidRPr="00C72B20" w:rsidRDefault="00C72B20" w:rsidP="00C72B20">
      <w:pPr>
        <w:spacing w:line="360" w:lineRule="auto"/>
        <w:rPr>
          <w:rFonts w:ascii="Times New Roman" w:hAnsi="Times New Roman" w:cs="Times New Roman"/>
          <w:b/>
          <w:bCs/>
          <w:lang w:val="en-US"/>
        </w:rPr>
      </w:pPr>
      <w:r w:rsidRPr="00C72B20">
        <w:rPr>
          <w:rFonts w:ascii="Times New Roman" w:hAnsi="Times New Roman" w:cs="Times New Roman"/>
          <w:b/>
          <w:bCs/>
          <w:lang w:val="en-US"/>
        </w:rPr>
        <w:t>Final model</w:t>
      </w:r>
    </w:p>
    <w:p w14:paraId="3F31D1CD" w14:textId="77777777" w:rsidR="00C72B20" w:rsidRPr="00C72B20" w:rsidRDefault="00C72B20" w:rsidP="00C72B20">
      <w:pPr>
        <w:spacing w:line="360" w:lineRule="auto"/>
        <w:rPr>
          <w:rFonts w:ascii="Times New Roman" w:hAnsi="Times New Roman" w:cs="Times New Roman"/>
          <w:lang w:val="en-US"/>
        </w:rPr>
      </w:pPr>
      <w:r w:rsidRPr="00C72B20">
        <w:rPr>
          <w:rFonts w:ascii="Times New Roman" w:hAnsi="Times New Roman" w:cs="Times New Roman"/>
          <w:lang w:val="en-US"/>
        </w:rPr>
        <w:t xml:space="preserve">The </w:t>
      </w:r>
      <w:r w:rsidRPr="00C72B20">
        <w:rPr>
          <w:rFonts w:ascii="Times New Roman" w:hAnsi="Times New Roman" w:cs="Times New Roman"/>
          <w:color w:val="FF0000"/>
          <w:lang w:val="en-US"/>
        </w:rPr>
        <w:t xml:space="preserve">association </w:t>
      </w:r>
      <w:r w:rsidRPr="00C72B20">
        <w:rPr>
          <w:rFonts w:ascii="Times New Roman" w:hAnsi="Times New Roman" w:cs="Times New Roman"/>
          <w:lang w:val="en-US"/>
        </w:rPr>
        <w:t>of treatment and growth variables on c-</w:t>
      </w:r>
      <w:proofErr w:type="spellStart"/>
      <w:r w:rsidRPr="00C72B20">
        <w:rPr>
          <w:rFonts w:ascii="Times New Roman" w:hAnsi="Times New Roman" w:cs="Times New Roman"/>
          <w:lang w:val="en-US"/>
        </w:rPr>
        <w:t>nFH</w:t>
      </w:r>
      <w:proofErr w:type="spellEnd"/>
      <w:r w:rsidRPr="00C72B20">
        <w:rPr>
          <w:rFonts w:ascii="Times New Roman" w:hAnsi="Times New Roman" w:cs="Times New Roman"/>
          <w:lang w:val="en-US"/>
        </w:rPr>
        <w:t xml:space="preserve"> SDS was evaluated using ordinary least squares regression. The analysis included 53 individuals. The model explained 34.6% of the variance in c-</w:t>
      </w:r>
      <w:proofErr w:type="spellStart"/>
      <w:r w:rsidRPr="00C72B20">
        <w:rPr>
          <w:rFonts w:ascii="Times New Roman" w:hAnsi="Times New Roman" w:cs="Times New Roman"/>
          <w:lang w:val="en-US"/>
        </w:rPr>
        <w:t>nFH</w:t>
      </w:r>
      <w:proofErr w:type="spellEnd"/>
      <w:r w:rsidRPr="00C72B20">
        <w:rPr>
          <w:rFonts w:ascii="Times New Roman" w:hAnsi="Times New Roman" w:cs="Times New Roman"/>
          <w:lang w:val="en-US"/>
        </w:rPr>
        <w:t xml:space="preserve"> SDS (R²=0.358; adjusted R²=0.205) and was statistically significant overall (F=2.338; p=0.027). In the fixed-effects model, the intercept was −1.13 (95% CI: −2.06 to −0.2; p = 0.019). Sex was not statistically significant (male: β = −0.26, 95% CI: −0.84 to 0.32; p = 0.37). Compared to the NC group, CAH type was significant for SV (β = 1.06, 95% CI: 0.04 to 2.04; p = 0.043), but not for SW (β = 0.28, 95% CI: −0.7 to 1.27; p = 0.56). Among continuous predictors, HC BSA mean (β = −0.34, 95% CI: −0.62 to −0.06; p = 0.02) and Age at AR (β = 0.39, 95% CI: 0.06 to 0.73; p = 0.023) were statistically significant. Max BAA (β = 0.001; p = 0.99), Max BAA age (β = −0.09; p = 0.452), BMI AUC (β = −0.28; p = 0.143), age at first puberty sign (β = 0.2; p = 0.26), and age at final height </w:t>
      </w:r>
      <w:r w:rsidRPr="00C72B20">
        <w:rPr>
          <w:rFonts w:ascii="Times New Roman" w:hAnsi="Times New Roman" w:cs="Times New Roman"/>
          <w:lang w:val="en-US"/>
        </w:rPr>
        <w:lastRenderedPageBreak/>
        <w:t>(β = 0.13; p = 0.38) were not statistically significant. Ordinary least squares partial coefficients are shown in Figure 3.</w:t>
      </w:r>
    </w:p>
    <w:p w14:paraId="2C200DE3" w14:textId="77777777" w:rsidR="006D6011" w:rsidRPr="00C72B20" w:rsidRDefault="006D6011"/>
    <w:sectPr w:rsidR="006D6011" w:rsidRPr="00C72B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D43"/>
    <w:rsid w:val="000005EC"/>
    <w:rsid w:val="006D6011"/>
    <w:rsid w:val="007E3A58"/>
    <w:rsid w:val="00C06D43"/>
    <w:rsid w:val="00C276A6"/>
    <w:rsid w:val="00C72B2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C0845"/>
  <w15:chartTrackingRefBased/>
  <w15:docId w15:val="{B9AB26DF-5D14-4872-ADD8-1BCCB0857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72B20"/>
  </w:style>
  <w:style w:type="paragraph" w:styleId="Nagwek1">
    <w:name w:val="heading 1"/>
    <w:basedOn w:val="Normalny"/>
    <w:next w:val="Normalny"/>
    <w:link w:val="Nagwek1Znak"/>
    <w:uiPriority w:val="9"/>
    <w:qFormat/>
    <w:rsid w:val="00C06D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06D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06D4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06D4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06D4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06D4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06D4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06D4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06D4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06D4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06D4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06D4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06D4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06D4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06D4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06D4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06D4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06D43"/>
    <w:rPr>
      <w:rFonts w:eastAsiaTheme="majorEastAsia" w:cstheme="majorBidi"/>
      <w:color w:val="272727" w:themeColor="text1" w:themeTint="D8"/>
    </w:rPr>
  </w:style>
  <w:style w:type="paragraph" w:styleId="Tytu">
    <w:name w:val="Title"/>
    <w:basedOn w:val="Normalny"/>
    <w:next w:val="Normalny"/>
    <w:link w:val="TytuZnak"/>
    <w:uiPriority w:val="10"/>
    <w:qFormat/>
    <w:rsid w:val="00C06D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06D4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06D4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06D4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06D43"/>
    <w:pPr>
      <w:spacing w:before="160"/>
      <w:jc w:val="center"/>
    </w:pPr>
    <w:rPr>
      <w:i/>
      <w:iCs/>
      <w:color w:val="404040" w:themeColor="text1" w:themeTint="BF"/>
    </w:rPr>
  </w:style>
  <w:style w:type="character" w:customStyle="1" w:styleId="CytatZnak">
    <w:name w:val="Cytat Znak"/>
    <w:basedOn w:val="Domylnaczcionkaakapitu"/>
    <w:link w:val="Cytat"/>
    <w:uiPriority w:val="29"/>
    <w:rsid w:val="00C06D43"/>
    <w:rPr>
      <w:i/>
      <w:iCs/>
      <w:color w:val="404040" w:themeColor="text1" w:themeTint="BF"/>
    </w:rPr>
  </w:style>
  <w:style w:type="paragraph" w:styleId="Akapitzlist">
    <w:name w:val="List Paragraph"/>
    <w:basedOn w:val="Normalny"/>
    <w:uiPriority w:val="34"/>
    <w:qFormat/>
    <w:rsid w:val="00C06D43"/>
    <w:pPr>
      <w:ind w:left="720"/>
      <w:contextualSpacing/>
    </w:pPr>
  </w:style>
  <w:style w:type="character" w:styleId="Wyrnienieintensywne">
    <w:name w:val="Intense Emphasis"/>
    <w:basedOn w:val="Domylnaczcionkaakapitu"/>
    <w:uiPriority w:val="21"/>
    <w:qFormat/>
    <w:rsid w:val="00C06D43"/>
    <w:rPr>
      <w:i/>
      <w:iCs/>
      <w:color w:val="0F4761" w:themeColor="accent1" w:themeShade="BF"/>
    </w:rPr>
  </w:style>
  <w:style w:type="paragraph" w:styleId="Cytatintensywny">
    <w:name w:val="Intense Quote"/>
    <w:basedOn w:val="Normalny"/>
    <w:next w:val="Normalny"/>
    <w:link w:val="CytatintensywnyZnak"/>
    <w:uiPriority w:val="30"/>
    <w:qFormat/>
    <w:rsid w:val="00C06D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06D43"/>
    <w:rPr>
      <w:i/>
      <w:iCs/>
      <w:color w:val="0F4761" w:themeColor="accent1" w:themeShade="BF"/>
    </w:rPr>
  </w:style>
  <w:style w:type="character" w:styleId="Odwoanieintensywne">
    <w:name w:val="Intense Reference"/>
    <w:basedOn w:val="Domylnaczcionkaakapitu"/>
    <w:uiPriority w:val="32"/>
    <w:qFormat/>
    <w:rsid w:val="00C06D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1315</Words>
  <Characters>7892</Characters>
  <Application>Microsoft Office Word</Application>
  <DocSecurity>0</DocSecurity>
  <Lines>65</Lines>
  <Paragraphs>18</Paragraphs>
  <ScaleCrop>false</ScaleCrop>
  <Company/>
  <LinksUpToDate>false</LinksUpToDate>
  <CharactersWithSpaces>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Zuzanna Gawlik</dc:creator>
  <cp:keywords/>
  <dc:description/>
  <cp:lastModifiedBy>Zuzanna Gawlik</cp:lastModifiedBy>
  <cp:revision>2</cp:revision>
  <dcterms:created xsi:type="dcterms:W3CDTF">2026-09-18T16:03:00Z</dcterms:created>
  <dcterms:modified xsi:type="dcterms:W3CDTF">2026-09-18T16:04:00Z</dcterms:modified>
</cp:coreProperties>
</file>