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95E37" w14:textId="77777777" w:rsidR="00973258" w:rsidRPr="009B1608" w:rsidRDefault="00973258" w:rsidP="0097325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val="en-US"/>
        </w:rPr>
      </w:pPr>
      <w:r w:rsidRPr="009B1608">
        <w:rPr>
          <w:rFonts w:ascii="Times New Roman" w:eastAsia="Times New Roman" w:hAnsi="Times New Roman" w:cs="Times New Roman"/>
          <w:b/>
          <w:sz w:val="28"/>
          <w:lang w:val="en-US"/>
        </w:rPr>
        <w:t>Pediatric Venous Excess Ultrasound Score (P-</w:t>
      </w:r>
      <w:proofErr w:type="spellStart"/>
      <w:r w:rsidRPr="009B1608">
        <w:rPr>
          <w:rFonts w:ascii="Times New Roman" w:eastAsia="Times New Roman" w:hAnsi="Times New Roman" w:cs="Times New Roman"/>
          <w:b/>
          <w:sz w:val="28"/>
          <w:lang w:val="en-US"/>
        </w:rPr>
        <w:t>VExUS</w:t>
      </w:r>
      <w:proofErr w:type="spellEnd"/>
      <w:r w:rsidRPr="009B1608">
        <w:rPr>
          <w:rFonts w:ascii="Times New Roman" w:eastAsia="Times New Roman" w:hAnsi="Times New Roman" w:cs="Times New Roman"/>
          <w:b/>
          <w:sz w:val="28"/>
          <w:lang w:val="en-US"/>
        </w:rPr>
        <w:t xml:space="preserve">): </w:t>
      </w:r>
    </w:p>
    <w:p w14:paraId="08204FA8" w14:textId="3A3BB105" w:rsidR="00973258" w:rsidRPr="009B1608" w:rsidRDefault="00973258" w:rsidP="0097325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val="en-US"/>
        </w:rPr>
      </w:pPr>
      <w:r w:rsidRPr="009B1608">
        <w:rPr>
          <w:rFonts w:ascii="Times New Roman" w:eastAsia="Times New Roman" w:hAnsi="Times New Roman" w:cs="Times New Roman"/>
          <w:b/>
          <w:sz w:val="28"/>
          <w:lang w:val="en-US"/>
        </w:rPr>
        <w:t xml:space="preserve">A </w:t>
      </w:r>
      <w:r w:rsidR="009744EE">
        <w:rPr>
          <w:rFonts w:ascii="Times New Roman" w:eastAsia="Times New Roman" w:hAnsi="Times New Roman" w:cs="Times New Roman"/>
          <w:b/>
          <w:sz w:val="28"/>
          <w:lang w:val="en-US"/>
        </w:rPr>
        <w:t xml:space="preserve">Novel </w:t>
      </w:r>
      <w:r w:rsidRPr="009B1608">
        <w:rPr>
          <w:rFonts w:ascii="Times New Roman" w:eastAsia="Times New Roman" w:hAnsi="Times New Roman" w:cs="Times New Roman"/>
          <w:b/>
          <w:sz w:val="28"/>
          <w:lang w:val="en-US"/>
        </w:rPr>
        <w:t xml:space="preserve">Approach to </w:t>
      </w:r>
      <w:r w:rsidR="009744EE">
        <w:rPr>
          <w:rFonts w:ascii="Times New Roman" w:eastAsia="Times New Roman" w:hAnsi="Times New Roman" w:cs="Times New Roman"/>
          <w:b/>
          <w:sz w:val="28"/>
          <w:lang w:val="en-US"/>
        </w:rPr>
        <w:t>Assess</w:t>
      </w:r>
      <w:r w:rsidRPr="009B1608">
        <w:rPr>
          <w:rFonts w:ascii="Times New Roman" w:eastAsia="Times New Roman" w:hAnsi="Times New Roman" w:cs="Times New Roman"/>
          <w:b/>
          <w:sz w:val="28"/>
          <w:lang w:val="en-US"/>
        </w:rPr>
        <w:t xml:space="preserve"> Central Venous Pressure in the PICU</w:t>
      </w:r>
    </w:p>
    <w:p w14:paraId="5A9C942E" w14:textId="77777777" w:rsidR="00973258" w:rsidRPr="009B1608" w:rsidRDefault="00973258" w:rsidP="0097325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43ED92BC" w14:textId="77777777" w:rsidR="00973258" w:rsidRPr="009B1608" w:rsidRDefault="00973258" w:rsidP="00973258">
      <w:pPr>
        <w:spacing w:after="0" w:line="276" w:lineRule="auto"/>
        <w:jc w:val="both"/>
        <w:rPr>
          <w:rFonts w:ascii="Times New Roman" w:eastAsia="Times New Roman" w:hAnsi="Times New Roman" w:cs="Times New Roman"/>
          <w:b/>
        </w:rPr>
      </w:pPr>
      <w:proofErr w:type="spellStart"/>
      <w:r w:rsidRPr="009B1608">
        <w:rPr>
          <w:rFonts w:ascii="Times New Roman" w:eastAsia="Times New Roman" w:hAnsi="Times New Roman" w:cs="Times New Roman"/>
          <w:b/>
        </w:rPr>
        <w:t>Authors</w:t>
      </w:r>
      <w:proofErr w:type="spellEnd"/>
      <w:r w:rsidRPr="009B1608">
        <w:rPr>
          <w:rFonts w:ascii="Times New Roman" w:eastAsia="Times New Roman" w:hAnsi="Times New Roman" w:cs="Times New Roman"/>
          <w:b/>
        </w:rPr>
        <w:t>:</w:t>
      </w:r>
    </w:p>
    <w:p w14:paraId="0C2310F7" w14:textId="77777777" w:rsidR="00973258" w:rsidRPr="009B1608" w:rsidRDefault="00973258" w:rsidP="0097325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9B1608">
        <w:rPr>
          <w:rFonts w:ascii="Times New Roman" w:eastAsia="Times New Roman" w:hAnsi="Times New Roman" w:cs="Times New Roman"/>
          <w:bCs/>
        </w:rPr>
        <w:t>Fernando de Lima Carioca, MD</w:t>
      </w:r>
      <w:r w:rsidRPr="009B1608">
        <w:rPr>
          <w:rFonts w:ascii="Times New Roman" w:eastAsia="Times New Roman" w:hAnsi="Times New Roman" w:cs="Times New Roman"/>
          <w:bCs/>
          <w:vertAlign w:val="superscript"/>
        </w:rPr>
        <w:t>1</w:t>
      </w:r>
      <w:r w:rsidRPr="009B1608">
        <w:rPr>
          <w:rFonts w:ascii="Times New Roman" w:eastAsia="Times New Roman" w:hAnsi="Times New Roman" w:cs="Times New Roman"/>
          <w:bCs/>
        </w:rPr>
        <w:t xml:space="preserve">; Nayara </w:t>
      </w:r>
      <w:proofErr w:type="spellStart"/>
      <w:r w:rsidRPr="009B1608">
        <w:rPr>
          <w:rFonts w:ascii="Times New Roman" w:eastAsia="Times New Roman" w:hAnsi="Times New Roman" w:cs="Times New Roman"/>
          <w:bCs/>
        </w:rPr>
        <w:t>Hillebrand</w:t>
      </w:r>
      <w:proofErr w:type="spellEnd"/>
      <w:r w:rsidRPr="009B1608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9B1608">
        <w:rPr>
          <w:rFonts w:ascii="Times New Roman" w:eastAsia="Times New Roman" w:hAnsi="Times New Roman" w:cs="Times New Roman"/>
          <w:bCs/>
        </w:rPr>
        <w:t>Franzon</w:t>
      </w:r>
      <w:proofErr w:type="spellEnd"/>
      <w:r w:rsidRPr="009B1608">
        <w:rPr>
          <w:rFonts w:ascii="Times New Roman" w:eastAsia="Times New Roman" w:hAnsi="Times New Roman" w:cs="Times New Roman"/>
          <w:bCs/>
        </w:rPr>
        <w:t>, MD</w:t>
      </w:r>
      <w:r w:rsidRPr="009B1608">
        <w:rPr>
          <w:rFonts w:ascii="Times New Roman" w:eastAsia="Times New Roman" w:hAnsi="Times New Roman" w:cs="Times New Roman"/>
          <w:bCs/>
          <w:vertAlign w:val="superscript"/>
        </w:rPr>
        <w:t>1</w:t>
      </w:r>
      <w:r w:rsidRPr="009B1608">
        <w:rPr>
          <w:rFonts w:ascii="Times New Roman" w:eastAsia="Times New Roman" w:hAnsi="Times New Roman" w:cs="Times New Roman"/>
          <w:bCs/>
        </w:rPr>
        <w:t xml:space="preserve">; Lívia da Silva </w:t>
      </w:r>
      <w:proofErr w:type="spellStart"/>
      <w:r w:rsidRPr="009B1608">
        <w:rPr>
          <w:rFonts w:ascii="Times New Roman" w:eastAsia="Times New Roman" w:hAnsi="Times New Roman" w:cs="Times New Roman"/>
          <w:bCs/>
        </w:rPr>
        <w:t>Krzesinski</w:t>
      </w:r>
      <w:proofErr w:type="spellEnd"/>
      <w:r w:rsidRPr="009B1608">
        <w:rPr>
          <w:rFonts w:ascii="Times New Roman" w:eastAsia="Times New Roman" w:hAnsi="Times New Roman" w:cs="Times New Roman"/>
          <w:bCs/>
        </w:rPr>
        <w:t>, MD</w:t>
      </w:r>
      <w:r w:rsidRPr="009B1608">
        <w:rPr>
          <w:rFonts w:ascii="Times New Roman" w:eastAsia="Times New Roman" w:hAnsi="Times New Roman" w:cs="Times New Roman"/>
          <w:bCs/>
          <w:vertAlign w:val="superscript"/>
        </w:rPr>
        <w:t>1</w:t>
      </w:r>
      <w:r w:rsidRPr="009B1608">
        <w:rPr>
          <w:rFonts w:ascii="Times New Roman" w:eastAsia="Times New Roman" w:hAnsi="Times New Roman" w:cs="Times New Roman"/>
          <w:bCs/>
        </w:rPr>
        <w:t>; Isabel de Siqueira Ferraz, MD</w:t>
      </w:r>
      <w:r w:rsidRPr="009B1608">
        <w:rPr>
          <w:rFonts w:ascii="Times New Roman" w:eastAsia="Times New Roman" w:hAnsi="Times New Roman" w:cs="Times New Roman"/>
          <w:bCs/>
          <w:vertAlign w:val="superscript"/>
        </w:rPr>
        <w:t>1</w:t>
      </w:r>
      <w:r w:rsidRPr="009B1608">
        <w:rPr>
          <w:rFonts w:ascii="Times New Roman" w:eastAsia="Times New Roman" w:hAnsi="Times New Roman" w:cs="Times New Roman"/>
          <w:bCs/>
        </w:rPr>
        <w:t>; Roberto José Negrão Nogueira</w:t>
      </w:r>
      <w:r w:rsidRPr="009B1608">
        <w:rPr>
          <w:rFonts w:ascii="Times New Roman" w:eastAsia="Times New Roman" w:hAnsi="Times New Roman" w:cs="Times New Roman"/>
          <w:bCs/>
          <w:vertAlign w:val="superscript"/>
        </w:rPr>
        <w:t>2</w:t>
      </w:r>
      <w:r w:rsidRPr="009B1608">
        <w:rPr>
          <w:rFonts w:ascii="Times New Roman" w:eastAsia="Times New Roman" w:hAnsi="Times New Roman" w:cs="Times New Roman"/>
          <w:bCs/>
        </w:rPr>
        <w:t xml:space="preserve">, MD, PhD; </w:t>
      </w:r>
      <w:proofErr w:type="spellStart"/>
      <w:r w:rsidRPr="009B1608">
        <w:rPr>
          <w:rFonts w:ascii="Times New Roman" w:eastAsia="Times New Roman" w:hAnsi="Times New Roman" w:cs="Times New Roman"/>
          <w:bCs/>
        </w:rPr>
        <w:t>and</w:t>
      </w:r>
      <w:proofErr w:type="spellEnd"/>
      <w:r w:rsidRPr="009B1608">
        <w:rPr>
          <w:rFonts w:ascii="Times New Roman" w:eastAsia="Times New Roman" w:hAnsi="Times New Roman" w:cs="Times New Roman"/>
          <w:bCs/>
        </w:rPr>
        <w:t xml:space="preserve"> Tiago Henrique de Souza, MD, PhD</w:t>
      </w:r>
      <w:r w:rsidRPr="009B1608">
        <w:rPr>
          <w:rFonts w:ascii="Times New Roman" w:eastAsia="Times New Roman" w:hAnsi="Times New Roman" w:cs="Times New Roman"/>
          <w:bCs/>
          <w:vertAlign w:val="superscript"/>
        </w:rPr>
        <w:t>1</w:t>
      </w:r>
      <w:r w:rsidRPr="009B1608">
        <w:rPr>
          <w:rFonts w:ascii="Times New Roman" w:eastAsia="Times New Roman" w:hAnsi="Times New Roman" w:cs="Times New Roman"/>
          <w:bCs/>
        </w:rPr>
        <w:t>.</w:t>
      </w:r>
    </w:p>
    <w:p w14:paraId="384E7EF7" w14:textId="77777777" w:rsidR="00973258" w:rsidRPr="009B1608" w:rsidRDefault="00973258" w:rsidP="00973258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36699C27" w14:textId="77777777" w:rsidR="00973258" w:rsidRPr="009B1608" w:rsidRDefault="00973258" w:rsidP="00973258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9B1608">
        <w:rPr>
          <w:rFonts w:ascii="Times New Roman" w:eastAsia="Times New Roman" w:hAnsi="Times New Roman" w:cs="Times New Roman"/>
          <w:b/>
          <w:lang w:val="en-US"/>
        </w:rPr>
        <w:t>Affiliations:</w:t>
      </w:r>
    </w:p>
    <w:p w14:paraId="0C985685" w14:textId="77777777" w:rsidR="00973258" w:rsidRPr="009B1608" w:rsidRDefault="00973258" w:rsidP="00973258">
      <w:pPr>
        <w:pStyle w:val="PargrafodaLista"/>
        <w:numPr>
          <w:ilvl w:val="0"/>
          <w:numId w:val="1"/>
        </w:num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 w:rsidRPr="009B1608">
        <w:rPr>
          <w:rFonts w:ascii="Times New Roman" w:eastAsia="Times New Roman" w:hAnsi="Times New Roman" w:cs="Times New Roman"/>
          <w:color w:val="000000"/>
          <w:lang w:val="en-US"/>
        </w:rPr>
        <w:t>Pediatric Intensive Care Unit, Department of Pediatrics, Clinics Hospital of the State University of Campinas (UNICAMP), Campinas, SP, Brazil.</w:t>
      </w:r>
    </w:p>
    <w:p w14:paraId="4B3BD155" w14:textId="77777777" w:rsidR="00973258" w:rsidRPr="009B1608" w:rsidRDefault="00973258" w:rsidP="009732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en-US" w:eastAsia="pt-BR"/>
          <w14:ligatures w14:val="none"/>
        </w:rPr>
      </w:pPr>
      <w:r w:rsidRPr="009B1608">
        <w:rPr>
          <w:rFonts w:ascii="Times New Roman" w:eastAsia="Times New Roman" w:hAnsi="Times New Roman" w:cs="Times New Roman"/>
          <w:color w:val="000000"/>
          <w:kern w:val="0"/>
          <w:lang w:val="en-US" w:eastAsia="pt-BR"/>
          <w14:ligatures w14:val="none"/>
        </w:rPr>
        <w:t>Department of Internal Medicine, School of Medical Sciences of the State, University of Campinas (UNICAMP), Campinas, SP, Brazil.</w:t>
      </w:r>
    </w:p>
    <w:p w14:paraId="1A97A478" w14:textId="77777777" w:rsidR="00973258" w:rsidRPr="009B1608" w:rsidRDefault="00973258" w:rsidP="00D100FF">
      <w:pPr>
        <w:jc w:val="both"/>
        <w:rPr>
          <w:rFonts w:ascii="Times New Roman" w:hAnsi="Times New Roman" w:cs="Times New Roman"/>
          <w:b/>
          <w:lang w:val="en-US"/>
        </w:rPr>
      </w:pPr>
    </w:p>
    <w:p w14:paraId="365B23CE" w14:textId="79E1B372" w:rsidR="00973258" w:rsidRPr="009B1608" w:rsidRDefault="00973258" w:rsidP="00D100FF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pt-BR"/>
          <w14:ligatures w14:val="none"/>
        </w:rPr>
      </w:pPr>
      <w:r w:rsidRPr="009B160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pt-BR"/>
          <w14:ligatures w14:val="none"/>
        </w:rPr>
        <w:t>Online Supplement</w:t>
      </w:r>
    </w:p>
    <w:sdt>
      <w:sdtPr>
        <w:rPr>
          <w:rFonts w:ascii="Times New Roman" w:eastAsiaTheme="minorHAnsi" w:hAnsi="Times New Roman" w:cs="Times New Roman"/>
          <w:color w:val="auto"/>
          <w:kern w:val="2"/>
          <w:sz w:val="22"/>
          <w:szCs w:val="22"/>
          <w:lang w:eastAsia="en-US"/>
          <w14:ligatures w14:val="standardContextual"/>
        </w:rPr>
        <w:id w:val="13105163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FD56FCD" w14:textId="4D1A6584" w:rsidR="00973258" w:rsidRPr="009B1608" w:rsidRDefault="00973258">
          <w:pPr>
            <w:pStyle w:val="CabealhodoSumrio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proofErr w:type="spellStart"/>
          <w:r w:rsidRPr="009B1608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Summary</w:t>
          </w:r>
          <w:proofErr w:type="spellEnd"/>
        </w:p>
        <w:p w14:paraId="08B564EE" w14:textId="77777777" w:rsidR="00973258" w:rsidRPr="009B1608" w:rsidRDefault="00973258" w:rsidP="00973258">
          <w:pPr>
            <w:rPr>
              <w:rFonts w:ascii="Times New Roman" w:hAnsi="Times New Roman" w:cs="Times New Roman"/>
              <w:lang w:eastAsia="pt-BR"/>
            </w:rPr>
          </w:pPr>
        </w:p>
        <w:p w14:paraId="37C505DB" w14:textId="682540C6" w:rsidR="00B56993" w:rsidRPr="00B56993" w:rsidRDefault="00973258">
          <w:pPr>
            <w:pStyle w:val="Sumrio1"/>
            <w:tabs>
              <w:tab w:val="right" w:leader="dot" w:pos="891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BR"/>
            </w:rPr>
          </w:pPr>
          <w:r w:rsidRPr="009B1608">
            <w:rPr>
              <w:rFonts w:ascii="Times New Roman" w:hAnsi="Times New Roman" w:cs="Times New Roman"/>
            </w:rPr>
            <w:fldChar w:fldCharType="begin"/>
          </w:r>
          <w:r w:rsidRPr="009B1608">
            <w:rPr>
              <w:rFonts w:ascii="Times New Roman" w:hAnsi="Times New Roman" w:cs="Times New Roman"/>
            </w:rPr>
            <w:instrText xml:space="preserve"> TOC \o "1-3" \h \z \u </w:instrText>
          </w:r>
          <w:r w:rsidRPr="009B1608">
            <w:rPr>
              <w:rFonts w:ascii="Times New Roman" w:hAnsi="Times New Roman" w:cs="Times New Roman"/>
            </w:rPr>
            <w:fldChar w:fldCharType="separate"/>
          </w:r>
          <w:hyperlink w:anchor="_Toc223079089" w:history="1">
            <w:r w:rsidR="00B56993" w:rsidRPr="00B56993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en-US"/>
              </w:rPr>
              <w:t>Table S1.</w:t>
            </w:r>
            <w:r w:rsidR="00B56993" w:rsidRPr="00B56993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 xml:space="preserve"> Diagnostic performance (AUROC) of inferior vena cava–derived parameters for predicting central venous pressure &gt;12 mmHg.</w:t>
            </w:r>
            <w:r w:rsidR="00B56993" w:rsidRPr="00B5699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56993" w:rsidRPr="00B5699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56993" w:rsidRPr="00B56993">
              <w:rPr>
                <w:rFonts w:ascii="Times New Roman" w:hAnsi="Times New Roman" w:cs="Times New Roman"/>
                <w:noProof/>
                <w:webHidden/>
              </w:rPr>
              <w:instrText xml:space="preserve"> PAGEREF _Toc223079089 \h </w:instrText>
            </w:r>
            <w:r w:rsidR="00B56993" w:rsidRPr="00B56993">
              <w:rPr>
                <w:rFonts w:ascii="Times New Roman" w:hAnsi="Times New Roman" w:cs="Times New Roman"/>
                <w:noProof/>
                <w:webHidden/>
              </w:rPr>
            </w:r>
            <w:r w:rsidR="00B56993" w:rsidRPr="00B5699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B56993" w:rsidRPr="00B56993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B56993" w:rsidRPr="00B5699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7E8312" w14:textId="613E47D6" w:rsidR="00B56993" w:rsidRPr="00B56993" w:rsidRDefault="00B56993">
          <w:pPr>
            <w:pStyle w:val="Sumrio1"/>
            <w:tabs>
              <w:tab w:val="right" w:leader="dot" w:pos="891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BR"/>
            </w:rPr>
          </w:pPr>
          <w:hyperlink w:anchor="_Toc223079090" w:history="1">
            <w:r w:rsidRPr="00B56993">
              <w:rPr>
                <w:rStyle w:val="Hyperlink"/>
                <w:rFonts w:ascii="Times New Roman" w:hAnsi="Times New Roman" w:cs="Times New Roman"/>
                <w:b/>
                <w:noProof/>
                <w:lang w:val="en-US"/>
              </w:rPr>
              <w:t xml:space="preserve">Table S2. </w:t>
            </w:r>
            <w:r w:rsidRPr="00B56993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Diagnostic accuracy of P-VExUS models for predicting elevated central venous pressure (&gt;12 mmHg). Values in parentheses indicate 95% confidence intervals.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instrText xml:space="preserve"> PAGEREF _Toc223079090 \h </w:instrTex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76FB38" w14:textId="2F360F3A" w:rsidR="00B56993" w:rsidRPr="00B56993" w:rsidRDefault="00B56993">
          <w:pPr>
            <w:pStyle w:val="Sumrio1"/>
            <w:tabs>
              <w:tab w:val="right" w:leader="dot" w:pos="891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BR"/>
            </w:rPr>
          </w:pPr>
          <w:hyperlink w:anchor="_Toc223079091" w:history="1">
            <w:r w:rsidRPr="00B56993">
              <w:rPr>
                <w:rStyle w:val="Hyperlink"/>
                <w:rFonts w:ascii="Times New Roman" w:hAnsi="Times New Roman" w:cs="Times New Roman"/>
                <w:b/>
                <w:noProof/>
                <w:lang w:val="en-US"/>
              </w:rPr>
              <w:t xml:space="preserve">Table S3. </w:t>
            </w:r>
            <w:r w:rsidRPr="00B56993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Diagnostic accuracy of individual venous Doppler sites for predicting elevated central venous pressure (&gt;12 mmHg). Values in parentheses indicate 95% confidence intervals.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instrText xml:space="preserve"> PAGEREF _Toc223079091 \h </w:instrTex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B90573B" w14:textId="641DC891" w:rsidR="00B56993" w:rsidRPr="00B56993" w:rsidRDefault="00B56993">
          <w:pPr>
            <w:pStyle w:val="Sumrio1"/>
            <w:tabs>
              <w:tab w:val="right" w:leader="dot" w:pos="891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BR"/>
            </w:rPr>
          </w:pPr>
          <w:hyperlink w:anchor="_Toc223079092" w:history="1">
            <w:r w:rsidRPr="00B56993">
              <w:rPr>
                <w:rStyle w:val="Hyperlink"/>
                <w:rFonts w:ascii="Times New Roman" w:hAnsi="Times New Roman" w:cs="Times New Roman"/>
                <w:b/>
                <w:noProof/>
                <w:lang w:val="en-US"/>
              </w:rPr>
              <w:t xml:space="preserve">Table S4. </w:t>
            </w:r>
            <w:r w:rsidRPr="00B56993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Diagnostic accuracy of P-VExUS models for predicting low central venous pressure (&lt;7 mmHg). Values in parentheses indicate 95% confidence intervals.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instrText xml:space="preserve"> PAGEREF _Toc223079092 \h </w:instrTex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B6F3BA4" w14:textId="3C52AD39" w:rsidR="00B56993" w:rsidRPr="00B56993" w:rsidRDefault="00B56993">
          <w:pPr>
            <w:pStyle w:val="Sumrio1"/>
            <w:tabs>
              <w:tab w:val="right" w:leader="dot" w:pos="891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BR"/>
            </w:rPr>
          </w:pPr>
          <w:hyperlink w:anchor="_Toc223079093" w:history="1">
            <w:r w:rsidRPr="00B56993">
              <w:rPr>
                <w:rStyle w:val="Hyperlink"/>
                <w:rFonts w:ascii="Times New Roman" w:hAnsi="Times New Roman" w:cs="Times New Roman"/>
                <w:b/>
                <w:noProof/>
                <w:lang w:val="en-US"/>
              </w:rPr>
              <w:t xml:space="preserve">Table S5. </w:t>
            </w:r>
            <w:r w:rsidRPr="00B56993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Diagnostic accuracy of individual venous Doppler sites for predicting low central venous pressure (&lt;7 mmHg). Values in parentheses indicate 95% confidence intervals.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instrText xml:space="preserve"> PAGEREF _Toc223079093 \h </w:instrTex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54FC7CF" w14:textId="5178CA51" w:rsidR="00B56993" w:rsidRPr="00B56993" w:rsidRDefault="00B56993">
          <w:pPr>
            <w:pStyle w:val="Sumrio1"/>
            <w:tabs>
              <w:tab w:val="right" w:leader="dot" w:pos="891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BR"/>
            </w:rPr>
          </w:pPr>
          <w:hyperlink w:anchor="_Toc223079094" w:history="1">
            <w:r w:rsidRPr="00B56993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en-US"/>
              </w:rPr>
              <w:t xml:space="preserve">Figure S1. </w:t>
            </w:r>
            <w:r w:rsidRPr="00B56993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Receiver operating characteristic (ROC) curves of P-VExUS models for predicting elevated central venous pressure (CVP &gt; 12 mmHg)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instrText xml:space="preserve"> PAGEREF _Toc223079094 \h </w:instrTex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B14A1C" w14:textId="5AB99312" w:rsidR="00B56993" w:rsidRPr="00B56993" w:rsidRDefault="00B56993">
          <w:pPr>
            <w:pStyle w:val="Sumrio1"/>
            <w:tabs>
              <w:tab w:val="right" w:leader="dot" w:pos="891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BR"/>
            </w:rPr>
          </w:pPr>
          <w:hyperlink w:anchor="_Toc223079095" w:history="1">
            <w:r w:rsidRPr="00B56993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en-US"/>
              </w:rPr>
              <w:t>Figure S2.</w:t>
            </w:r>
            <w:r w:rsidRPr="00B56993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 xml:space="preserve"> Receiver operating characteristic (ROC) curves for individual venous Doppler components in predicting elevated central venous pressure (CVP &gt; 12 mmHg)..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instrText xml:space="preserve"> PAGEREF _Toc223079095 \h </w:instrTex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C74DBF3" w14:textId="4B789075" w:rsidR="00B56993" w:rsidRPr="00B56993" w:rsidRDefault="00B56993">
          <w:pPr>
            <w:pStyle w:val="Sumrio1"/>
            <w:tabs>
              <w:tab w:val="right" w:leader="dot" w:pos="891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BR"/>
            </w:rPr>
          </w:pPr>
          <w:hyperlink w:anchor="_Toc223079096" w:history="1">
            <w:r w:rsidRPr="00B56993">
              <w:rPr>
                <w:rStyle w:val="Hyperlink"/>
                <w:rFonts w:ascii="Times New Roman" w:eastAsiaTheme="majorEastAsia" w:hAnsi="Times New Roman" w:cs="Times New Roman"/>
                <w:b/>
                <w:bCs/>
                <w:noProof/>
                <w:lang w:val="en-US"/>
              </w:rPr>
              <w:t>Figure S3.</w:t>
            </w:r>
            <w:r w:rsidRPr="00B56993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 xml:space="preserve"> Receiver operating characteristic (ROC) curves for predicting low central venous pressure (CVP &lt; 7 mmHg) using two pediatric P-VExUS models. .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instrText xml:space="preserve"> PAGEREF _Toc223079096 \h </w:instrTex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A26F9EE" w14:textId="5B7719B3" w:rsidR="00B56993" w:rsidRPr="00B56993" w:rsidRDefault="00B56993">
          <w:pPr>
            <w:pStyle w:val="Sumrio1"/>
            <w:tabs>
              <w:tab w:val="right" w:leader="dot" w:pos="891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BR"/>
            </w:rPr>
          </w:pPr>
          <w:hyperlink w:anchor="_Toc223079097" w:history="1">
            <w:r w:rsidRPr="00B56993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en-US"/>
              </w:rPr>
              <w:t xml:space="preserve">Figure S4. </w:t>
            </w:r>
            <w:r w:rsidRPr="00B56993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Receiver operating characteristic (ROC) curves of individual venous Doppler components for predicting low central venous pressure (CVP &lt; 7 mmHg).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instrText xml:space="preserve"> PAGEREF _Toc223079097 \h </w:instrTex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44EF4A8" w14:textId="4FEB1018" w:rsidR="00B56993" w:rsidRPr="00B56993" w:rsidRDefault="00B56993">
          <w:pPr>
            <w:pStyle w:val="Sumrio1"/>
            <w:tabs>
              <w:tab w:val="right" w:leader="dot" w:pos="891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t-BR"/>
            </w:rPr>
          </w:pPr>
          <w:hyperlink w:anchor="_Toc223079098" w:history="1">
            <w:r w:rsidRPr="00B56993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Figure S5.</w:t>
            </w:r>
            <w:r w:rsidRPr="00B56993">
              <w:rPr>
                <w:rStyle w:val="Hyperlink"/>
                <w:rFonts w:ascii="Times New Roman" w:hAnsi="Times New Roman" w:cs="Times New Roman"/>
                <w:noProof/>
              </w:rPr>
              <w:t xml:space="preserve"> Distribution of invasively measured central venous pressure (CVP) across P-VExUS Model 1 grades (A) and P-VExUS Model 2 scores (B).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instrText xml:space="preserve"> PAGEREF _Toc223079098 \h </w:instrTex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B5699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A2F017D" w14:textId="040C98AB" w:rsidR="00973258" w:rsidRPr="009B1608" w:rsidRDefault="00973258">
          <w:pPr>
            <w:rPr>
              <w:rFonts w:ascii="Times New Roman" w:hAnsi="Times New Roman" w:cs="Times New Roman"/>
            </w:rPr>
          </w:pPr>
          <w:r w:rsidRPr="009B1608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2C2C3F49" w14:textId="5D07C8E3" w:rsidR="00415DD2" w:rsidRPr="009B1608" w:rsidRDefault="00415DD2" w:rsidP="00415DD2">
      <w:pPr>
        <w:pStyle w:val="Ttulo1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bookmarkStart w:id="0" w:name="_Toc223079089"/>
      <w:r w:rsidRPr="009B1608">
        <w:rPr>
          <w:rFonts w:ascii="Times New Roman" w:hAnsi="Times New Roman" w:cs="Times New Roman"/>
          <w:b/>
          <w:bCs/>
          <w:color w:val="auto"/>
          <w:sz w:val="22"/>
          <w:szCs w:val="22"/>
          <w:lang w:val="en-US"/>
        </w:rPr>
        <w:lastRenderedPageBreak/>
        <w:t>Table S1.</w:t>
      </w:r>
      <w:r w:rsidRPr="009B1608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Diagnostic performance (AUROC) of inferior vena cava–derived parameters for predicting central venous pressure &gt;12 mmHg.</w:t>
      </w:r>
      <w:bookmarkEnd w:id="0"/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134"/>
        <w:gridCol w:w="1559"/>
        <w:gridCol w:w="992"/>
      </w:tblGrid>
      <w:tr w:rsidR="00415DD2" w:rsidRPr="009B1608" w14:paraId="5D9D7144" w14:textId="77777777" w:rsidTr="00415DD2"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884AC9C" w14:textId="77777777" w:rsidR="00415DD2" w:rsidRPr="009B1608" w:rsidRDefault="00415DD2" w:rsidP="00415DD2">
            <w:pPr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>IVC-</w:t>
            </w: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derived</w:t>
            </w:r>
            <w:proofErr w:type="spellEnd"/>
            <w:r w:rsidRPr="009B16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parameter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4DEB563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>AUROC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E17333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A0D5C5F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</w:tr>
      <w:tr w:rsidR="00415DD2" w:rsidRPr="009B1608" w14:paraId="1A496D7F" w14:textId="77777777" w:rsidTr="00415DD2">
        <w:tc>
          <w:tcPr>
            <w:tcW w:w="2552" w:type="dxa"/>
            <w:tcBorders>
              <w:top w:val="single" w:sz="8" w:space="0" w:color="auto"/>
            </w:tcBorders>
            <w:shd w:val="clear" w:color="auto" w:fill="auto"/>
          </w:tcPr>
          <w:p w14:paraId="7C0F25DA" w14:textId="77777777" w:rsidR="00415DD2" w:rsidRPr="009B1608" w:rsidRDefault="00415DD2" w:rsidP="00415DD2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 xml:space="preserve">IVC </w:t>
            </w:r>
            <w:proofErr w:type="spellStart"/>
            <w:r w:rsidRPr="009B1608">
              <w:rPr>
                <w:rFonts w:ascii="Times New Roman" w:hAnsi="Times New Roman" w:cs="Times New Roman"/>
              </w:rPr>
              <w:t>max</w:t>
            </w:r>
            <w:proofErr w:type="spellEnd"/>
            <w:r w:rsidRPr="009B1608">
              <w:rPr>
                <w:rFonts w:ascii="Times New Roman" w:hAnsi="Times New Roman" w:cs="Times New Roman"/>
              </w:rPr>
              <w:t>/Ao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</w:tcPr>
          <w:p w14:paraId="6C2C0877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0,520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shd w:val="clear" w:color="auto" w:fill="auto"/>
          </w:tcPr>
          <w:p w14:paraId="704DA933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 xml:space="preserve">0,383 </w:t>
            </w:r>
            <w:proofErr w:type="spellStart"/>
            <w:r w:rsidRPr="009B1608">
              <w:rPr>
                <w:rFonts w:ascii="Times New Roman" w:hAnsi="Times New Roman" w:cs="Times New Roman"/>
              </w:rPr>
              <w:t>to</w:t>
            </w:r>
            <w:proofErr w:type="spellEnd"/>
            <w:r w:rsidRPr="009B1608">
              <w:rPr>
                <w:rFonts w:ascii="Times New Roman" w:hAnsi="Times New Roman" w:cs="Times New Roman"/>
              </w:rPr>
              <w:t xml:space="preserve"> 0,656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</w:tcPr>
          <w:p w14:paraId="6E60FFFD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0,817</w:t>
            </w:r>
          </w:p>
        </w:tc>
      </w:tr>
      <w:tr w:rsidR="00415DD2" w:rsidRPr="009B1608" w14:paraId="2BD971DB" w14:textId="77777777" w:rsidTr="00415DD2">
        <w:tc>
          <w:tcPr>
            <w:tcW w:w="2552" w:type="dxa"/>
            <w:shd w:val="clear" w:color="auto" w:fill="auto"/>
          </w:tcPr>
          <w:p w14:paraId="0DFA59DC" w14:textId="77777777" w:rsidR="00415DD2" w:rsidRPr="009B1608" w:rsidRDefault="00415DD2" w:rsidP="00415DD2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IVC min/Ao</w:t>
            </w:r>
          </w:p>
        </w:tc>
        <w:tc>
          <w:tcPr>
            <w:tcW w:w="1134" w:type="dxa"/>
            <w:shd w:val="clear" w:color="auto" w:fill="auto"/>
          </w:tcPr>
          <w:p w14:paraId="585613A7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0,535</w:t>
            </w:r>
          </w:p>
        </w:tc>
        <w:tc>
          <w:tcPr>
            <w:tcW w:w="1559" w:type="dxa"/>
            <w:shd w:val="clear" w:color="auto" w:fill="auto"/>
          </w:tcPr>
          <w:p w14:paraId="793CD97D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 xml:space="preserve">0,397 </w:t>
            </w:r>
            <w:proofErr w:type="spellStart"/>
            <w:r w:rsidRPr="009B1608">
              <w:rPr>
                <w:rFonts w:ascii="Times New Roman" w:hAnsi="Times New Roman" w:cs="Times New Roman"/>
              </w:rPr>
              <w:t>to</w:t>
            </w:r>
            <w:proofErr w:type="spellEnd"/>
            <w:r w:rsidRPr="009B1608">
              <w:rPr>
                <w:rFonts w:ascii="Times New Roman" w:hAnsi="Times New Roman" w:cs="Times New Roman"/>
              </w:rPr>
              <w:t xml:space="preserve"> 0,670</w:t>
            </w:r>
          </w:p>
        </w:tc>
        <w:tc>
          <w:tcPr>
            <w:tcW w:w="992" w:type="dxa"/>
            <w:shd w:val="clear" w:color="auto" w:fill="auto"/>
          </w:tcPr>
          <w:p w14:paraId="2E7078DD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0,704</w:t>
            </w:r>
          </w:p>
        </w:tc>
      </w:tr>
      <w:tr w:rsidR="00415DD2" w:rsidRPr="009B1608" w14:paraId="0FFC4C6E" w14:textId="77777777" w:rsidTr="00415DD2">
        <w:tc>
          <w:tcPr>
            <w:tcW w:w="2552" w:type="dxa"/>
            <w:shd w:val="clear" w:color="auto" w:fill="auto"/>
          </w:tcPr>
          <w:p w14:paraId="4FF1A18B" w14:textId="77777777" w:rsidR="00415DD2" w:rsidRPr="009B1608" w:rsidRDefault="00415DD2" w:rsidP="00415DD2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 xml:space="preserve">IVC </w:t>
            </w:r>
            <w:proofErr w:type="spellStart"/>
            <w:r w:rsidRPr="009B1608">
              <w:rPr>
                <w:rFonts w:ascii="Times New Roman" w:hAnsi="Times New Roman" w:cs="Times New Roman"/>
              </w:rPr>
              <w:t>max</w:t>
            </w:r>
            <w:proofErr w:type="spellEnd"/>
            <w:r w:rsidRPr="009B1608">
              <w:rPr>
                <w:rFonts w:ascii="Times New Roman" w:hAnsi="Times New Roman" w:cs="Times New Roman"/>
              </w:rPr>
              <w:t>/BSA</w:t>
            </w:r>
          </w:p>
        </w:tc>
        <w:tc>
          <w:tcPr>
            <w:tcW w:w="1134" w:type="dxa"/>
            <w:shd w:val="clear" w:color="auto" w:fill="auto"/>
          </w:tcPr>
          <w:p w14:paraId="03CF3A2D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>0,682</w:t>
            </w:r>
          </w:p>
        </w:tc>
        <w:tc>
          <w:tcPr>
            <w:tcW w:w="1559" w:type="dxa"/>
            <w:shd w:val="clear" w:color="auto" w:fill="auto"/>
          </w:tcPr>
          <w:p w14:paraId="3FF77A4F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 xml:space="preserve">0,544 </w:t>
            </w: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to</w:t>
            </w:r>
            <w:proofErr w:type="spellEnd"/>
            <w:r w:rsidRPr="009B1608">
              <w:rPr>
                <w:rFonts w:ascii="Times New Roman" w:hAnsi="Times New Roman" w:cs="Times New Roman"/>
                <w:b/>
                <w:bCs/>
              </w:rPr>
              <w:t xml:space="preserve"> 0,800</w:t>
            </w:r>
          </w:p>
        </w:tc>
        <w:tc>
          <w:tcPr>
            <w:tcW w:w="992" w:type="dxa"/>
            <w:shd w:val="clear" w:color="auto" w:fill="auto"/>
          </w:tcPr>
          <w:p w14:paraId="141BF7C0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>0,041</w:t>
            </w:r>
          </w:p>
        </w:tc>
      </w:tr>
      <w:tr w:rsidR="00415DD2" w:rsidRPr="009B1608" w14:paraId="72A5517A" w14:textId="77777777" w:rsidTr="00415DD2">
        <w:tc>
          <w:tcPr>
            <w:tcW w:w="2552" w:type="dxa"/>
            <w:shd w:val="clear" w:color="auto" w:fill="auto"/>
          </w:tcPr>
          <w:p w14:paraId="5D0CDCF8" w14:textId="77777777" w:rsidR="00415DD2" w:rsidRPr="009B1608" w:rsidRDefault="00415DD2" w:rsidP="00415DD2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IVC min/BSA</w:t>
            </w:r>
          </w:p>
        </w:tc>
        <w:tc>
          <w:tcPr>
            <w:tcW w:w="1134" w:type="dxa"/>
            <w:shd w:val="clear" w:color="auto" w:fill="auto"/>
          </w:tcPr>
          <w:p w14:paraId="5185FB19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0,537</w:t>
            </w:r>
          </w:p>
        </w:tc>
        <w:tc>
          <w:tcPr>
            <w:tcW w:w="1559" w:type="dxa"/>
            <w:shd w:val="clear" w:color="auto" w:fill="auto"/>
          </w:tcPr>
          <w:p w14:paraId="1BFEC23B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 xml:space="preserve">0,399 </w:t>
            </w:r>
            <w:proofErr w:type="spellStart"/>
            <w:r w:rsidRPr="009B1608">
              <w:rPr>
                <w:rFonts w:ascii="Times New Roman" w:hAnsi="Times New Roman" w:cs="Times New Roman"/>
              </w:rPr>
              <w:t>to</w:t>
            </w:r>
            <w:proofErr w:type="spellEnd"/>
            <w:r w:rsidRPr="009B1608">
              <w:rPr>
                <w:rFonts w:ascii="Times New Roman" w:hAnsi="Times New Roman" w:cs="Times New Roman"/>
              </w:rPr>
              <w:t xml:space="preserve"> 0,672</w:t>
            </w:r>
          </w:p>
        </w:tc>
        <w:tc>
          <w:tcPr>
            <w:tcW w:w="992" w:type="dxa"/>
            <w:shd w:val="clear" w:color="auto" w:fill="auto"/>
          </w:tcPr>
          <w:p w14:paraId="176E043D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0,718</w:t>
            </w:r>
          </w:p>
        </w:tc>
      </w:tr>
      <w:tr w:rsidR="00415DD2" w:rsidRPr="009B1608" w14:paraId="3EE1119C" w14:textId="77777777" w:rsidTr="00415DD2">
        <w:tc>
          <w:tcPr>
            <w:tcW w:w="2552" w:type="dxa"/>
            <w:shd w:val="clear" w:color="auto" w:fill="auto"/>
          </w:tcPr>
          <w:p w14:paraId="4B33B3CD" w14:textId="77777777" w:rsidR="00415DD2" w:rsidRPr="009B1608" w:rsidRDefault="00415DD2" w:rsidP="00415DD2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IVCDI</w:t>
            </w:r>
          </w:p>
        </w:tc>
        <w:tc>
          <w:tcPr>
            <w:tcW w:w="1134" w:type="dxa"/>
            <w:shd w:val="clear" w:color="auto" w:fill="auto"/>
          </w:tcPr>
          <w:p w14:paraId="19858A54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0,532</w:t>
            </w:r>
          </w:p>
        </w:tc>
        <w:tc>
          <w:tcPr>
            <w:tcW w:w="1559" w:type="dxa"/>
            <w:shd w:val="clear" w:color="auto" w:fill="auto"/>
          </w:tcPr>
          <w:p w14:paraId="33187D9A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 xml:space="preserve">0,394 </w:t>
            </w:r>
            <w:proofErr w:type="spellStart"/>
            <w:r w:rsidRPr="009B1608">
              <w:rPr>
                <w:rFonts w:ascii="Times New Roman" w:hAnsi="Times New Roman" w:cs="Times New Roman"/>
              </w:rPr>
              <w:t>to</w:t>
            </w:r>
            <w:proofErr w:type="spellEnd"/>
            <w:r w:rsidRPr="009B1608">
              <w:rPr>
                <w:rFonts w:ascii="Times New Roman" w:hAnsi="Times New Roman" w:cs="Times New Roman"/>
              </w:rPr>
              <w:t xml:space="preserve"> 0,667</w:t>
            </w:r>
          </w:p>
        </w:tc>
        <w:tc>
          <w:tcPr>
            <w:tcW w:w="992" w:type="dxa"/>
            <w:shd w:val="clear" w:color="auto" w:fill="auto"/>
          </w:tcPr>
          <w:p w14:paraId="4D97428E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0,750</w:t>
            </w:r>
          </w:p>
        </w:tc>
      </w:tr>
      <w:tr w:rsidR="00415DD2" w:rsidRPr="009B1608" w14:paraId="28A8282C" w14:textId="77777777" w:rsidTr="00415DD2">
        <w:tc>
          <w:tcPr>
            <w:tcW w:w="2552" w:type="dxa"/>
            <w:shd w:val="clear" w:color="auto" w:fill="auto"/>
          </w:tcPr>
          <w:p w14:paraId="5B6D6736" w14:textId="77777777" w:rsidR="00415DD2" w:rsidRPr="009B1608" w:rsidRDefault="00415DD2" w:rsidP="00415DD2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IVCCI</w:t>
            </w:r>
          </w:p>
        </w:tc>
        <w:tc>
          <w:tcPr>
            <w:tcW w:w="1134" w:type="dxa"/>
            <w:shd w:val="clear" w:color="auto" w:fill="auto"/>
          </w:tcPr>
          <w:p w14:paraId="0F1D5EC8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0,532</w:t>
            </w:r>
          </w:p>
        </w:tc>
        <w:tc>
          <w:tcPr>
            <w:tcW w:w="1559" w:type="dxa"/>
            <w:shd w:val="clear" w:color="auto" w:fill="auto"/>
          </w:tcPr>
          <w:p w14:paraId="74C9E22A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 xml:space="preserve">0,394 </w:t>
            </w:r>
            <w:proofErr w:type="spellStart"/>
            <w:r w:rsidRPr="009B1608">
              <w:rPr>
                <w:rFonts w:ascii="Times New Roman" w:hAnsi="Times New Roman" w:cs="Times New Roman"/>
              </w:rPr>
              <w:t>to</w:t>
            </w:r>
            <w:proofErr w:type="spellEnd"/>
            <w:r w:rsidRPr="009B1608">
              <w:rPr>
                <w:rFonts w:ascii="Times New Roman" w:hAnsi="Times New Roman" w:cs="Times New Roman"/>
              </w:rPr>
              <w:t xml:space="preserve"> 0,667</w:t>
            </w:r>
          </w:p>
        </w:tc>
        <w:tc>
          <w:tcPr>
            <w:tcW w:w="992" w:type="dxa"/>
            <w:shd w:val="clear" w:color="auto" w:fill="auto"/>
          </w:tcPr>
          <w:p w14:paraId="7FF65858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0,750</w:t>
            </w:r>
          </w:p>
        </w:tc>
      </w:tr>
      <w:tr w:rsidR="00415DD2" w:rsidRPr="009B1608" w14:paraId="7F124D1B" w14:textId="77777777" w:rsidTr="00415DD2">
        <w:tc>
          <w:tcPr>
            <w:tcW w:w="2552" w:type="dxa"/>
            <w:shd w:val="clear" w:color="auto" w:fill="auto"/>
          </w:tcPr>
          <w:p w14:paraId="5619F1BB" w14:textId="77777777" w:rsidR="00415DD2" w:rsidRPr="009B1608" w:rsidRDefault="00415DD2" w:rsidP="00415DD2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ΔVCI</w:t>
            </w:r>
          </w:p>
        </w:tc>
        <w:tc>
          <w:tcPr>
            <w:tcW w:w="1134" w:type="dxa"/>
            <w:shd w:val="clear" w:color="auto" w:fill="auto"/>
          </w:tcPr>
          <w:p w14:paraId="3C5B734B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0,532</w:t>
            </w:r>
          </w:p>
        </w:tc>
        <w:tc>
          <w:tcPr>
            <w:tcW w:w="1559" w:type="dxa"/>
            <w:shd w:val="clear" w:color="auto" w:fill="auto"/>
          </w:tcPr>
          <w:p w14:paraId="1B62CE5A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 xml:space="preserve">0,394 </w:t>
            </w:r>
            <w:proofErr w:type="spellStart"/>
            <w:r w:rsidRPr="009B1608">
              <w:rPr>
                <w:rFonts w:ascii="Times New Roman" w:hAnsi="Times New Roman" w:cs="Times New Roman"/>
              </w:rPr>
              <w:t>to</w:t>
            </w:r>
            <w:proofErr w:type="spellEnd"/>
            <w:r w:rsidRPr="009B1608">
              <w:rPr>
                <w:rFonts w:ascii="Times New Roman" w:hAnsi="Times New Roman" w:cs="Times New Roman"/>
              </w:rPr>
              <w:t xml:space="preserve"> 0,667</w:t>
            </w:r>
          </w:p>
        </w:tc>
        <w:tc>
          <w:tcPr>
            <w:tcW w:w="992" w:type="dxa"/>
            <w:shd w:val="clear" w:color="auto" w:fill="auto"/>
          </w:tcPr>
          <w:p w14:paraId="38931ED3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0,750</w:t>
            </w:r>
          </w:p>
        </w:tc>
      </w:tr>
      <w:tr w:rsidR="00415DD2" w:rsidRPr="009B1608" w14:paraId="0E985FCF" w14:textId="77777777" w:rsidTr="00415DD2">
        <w:tc>
          <w:tcPr>
            <w:tcW w:w="2552" w:type="dxa"/>
            <w:shd w:val="clear" w:color="auto" w:fill="auto"/>
          </w:tcPr>
          <w:p w14:paraId="7C24F772" w14:textId="22A890FA" w:rsidR="00415DD2" w:rsidRPr="009B1608" w:rsidRDefault="00415DD2" w:rsidP="00415DD2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Mannarino et al.*</w:t>
            </w:r>
          </w:p>
        </w:tc>
        <w:tc>
          <w:tcPr>
            <w:tcW w:w="1134" w:type="dxa"/>
            <w:shd w:val="clear" w:color="auto" w:fill="auto"/>
          </w:tcPr>
          <w:p w14:paraId="3135CD52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0,586</w:t>
            </w:r>
          </w:p>
        </w:tc>
        <w:tc>
          <w:tcPr>
            <w:tcW w:w="1559" w:type="dxa"/>
            <w:shd w:val="clear" w:color="auto" w:fill="auto"/>
          </w:tcPr>
          <w:p w14:paraId="781294D5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 xml:space="preserve">0,446 </w:t>
            </w:r>
            <w:proofErr w:type="spellStart"/>
            <w:r w:rsidRPr="009B1608">
              <w:rPr>
                <w:rFonts w:ascii="Times New Roman" w:hAnsi="Times New Roman" w:cs="Times New Roman"/>
              </w:rPr>
              <w:t>to</w:t>
            </w:r>
            <w:proofErr w:type="spellEnd"/>
            <w:r w:rsidRPr="009B1608">
              <w:rPr>
                <w:rFonts w:ascii="Times New Roman" w:hAnsi="Times New Roman" w:cs="Times New Roman"/>
              </w:rPr>
              <w:t xml:space="preserve"> 0,716</w:t>
            </w:r>
          </w:p>
        </w:tc>
        <w:tc>
          <w:tcPr>
            <w:tcW w:w="992" w:type="dxa"/>
            <w:shd w:val="clear" w:color="auto" w:fill="auto"/>
          </w:tcPr>
          <w:p w14:paraId="7BE4AB9B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0,282</w:t>
            </w:r>
          </w:p>
        </w:tc>
      </w:tr>
      <w:tr w:rsidR="00415DD2" w:rsidRPr="009B1608" w14:paraId="245BD2CB" w14:textId="77777777" w:rsidTr="00415DD2">
        <w:tc>
          <w:tcPr>
            <w:tcW w:w="2552" w:type="dxa"/>
            <w:tcBorders>
              <w:bottom w:val="single" w:sz="8" w:space="0" w:color="auto"/>
            </w:tcBorders>
            <w:shd w:val="clear" w:color="auto" w:fill="auto"/>
          </w:tcPr>
          <w:p w14:paraId="06A03D7A" w14:textId="0A7DE186" w:rsidR="00415DD2" w:rsidRPr="009B1608" w:rsidRDefault="00415DD2" w:rsidP="00415DD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B1608">
              <w:rPr>
                <w:rFonts w:ascii="Times New Roman" w:hAnsi="Times New Roman" w:cs="Times New Roman"/>
              </w:rPr>
              <w:t>Kathuria</w:t>
            </w:r>
            <w:proofErr w:type="spellEnd"/>
            <w:r w:rsidRPr="009B1608">
              <w:rPr>
                <w:rFonts w:ascii="Times New Roman" w:hAnsi="Times New Roman" w:cs="Times New Roman"/>
              </w:rPr>
              <w:t xml:space="preserve"> et al.**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</w:tcPr>
          <w:p w14:paraId="4C632A6A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0,518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shd w:val="clear" w:color="auto" w:fill="auto"/>
          </w:tcPr>
          <w:p w14:paraId="135F0E16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 xml:space="preserve">0,381 </w:t>
            </w:r>
            <w:proofErr w:type="spellStart"/>
            <w:r w:rsidRPr="009B1608">
              <w:rPr>
                <w:rFonts w:ascii="Times New Roman" w:hAnsi="Times New Roman" w:cs="Times New Roman"/>
              </w:rPr>
              <w:t>to</w:t>
            </w:r>
            <w:proofErr w:type="spellEnd"/>
            <w:r w:rsidRPr="009B1608">
              <w:rPr>
                <w:rFonts w:ascii="Times New Roman" w:hAnsi="Times New Roman" w:cs="Times New Roman"/>
              </w:rPr>
              <w:t xml:space="preserve"> 0,654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</w:tcPr>
          <w:p w14:paraId="40AC12D9" w14:textId="77777777" w:rsidR="00415DD2" w:rsidRPr="009B1608" w:rsidRDefault="00415DD2" w:rsidP="00415DD2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0,829</w:t>
            </w:r>
          </w:p>
        </w:tc>
      </w:tr>
    </w:tbl>
    <w:p w14:paraId="71B285EB" w14:textId="1A41769F" w:rsidR="00415DD2" w:rsidRPr="009B1608" w:rsidRDefault="00415DD2" w:rsidP="00415DD2">
      <w:pPr>
        <w:jc w:val="both"/>
        <w:rPr>
          <w:rFonts w:ascii="Times New Roman" w:hAnsi="Times New Roman" w:cs="Times New Roman"/>
          <w:i/>
          <w:lang w:val="en-US"/>
        </w:rPr>
      </w:pPr>
      <w:r w:rsidRPr="009B1608">
        <w:rPr>
          <w:rFonts w:ascii="Times New Roman" w:hAnsi="Times New Roman" w:cs="Times New Roman"/>
          <w:b/>
          <w:bCs/>
          <w:i/>
          <w:iCs/>
          <w:lang w:val="en-US"/>
        </w:rPr>
        <w:t>Abbreviations:</w:t>
      </w:r>
      <w:r w:rsidRPr="009B1608">
        <w:rPr>
          <w:rFonts w:ascii="Times New Roman" w:hAnsi="Times New Roman" w:cs="Times New Roman"/>
          <w:lang w:val="en-US"/>
        </w:rPr>
        <w:t xml:space="preserve"> </w:t>
      </w:r>
      <w:r w:rsidRPr="009B1608">
        <w:rPr>
          <w:rFonts w:ascii="Times New Roman" w:hAnsi="Times New Roman" w:cs="Times New Roman"/>
          <w:i/>
          <w:lang w:val="en-US"/>
        </w:rPr>
        <w:t>IVC max = maximum inferior vena cava diameter; IVC min = minimum inferior vena cava diameter; Ao = aorta; BSA = body surface area; IVCDI = IVC distensibility index; IVCCI = IVC collapsibility index; ΔIVC = respiratory variation in IVC diameter; AUROC = area under the receiver operating characteristic curve; 95% CI = 95% confidence interval; CVP = central venous pressure.</w:t>
      </w:r>
    </w:p>
    <w:p w14:paraId="00BEE4C1" w14:textId="77777777" w:rsidR="00415DD2" w:rsidRPr="009B1608" w:rsidRDefault="00415DD2" w:rsidP="00415DD2">
      <w:pPr>
        <w:jc w:val="both"/>
        <w:rPr>
          <w:rStyle w:val="Forte"/>
          <w:rFonts w:ascii="Times New Roman" w:hAnsi="Times New Roman" w:cs="Times New Roman"/>
          <w:i/>
          <w:iCs/>
          <w:lang w:val="en-US"/>
        </w:rPr>
      </w:pPr>
      <w:r w:rsidRPr="009B1608">
        <w:rPr>
          <w:rStyle w:val="Forte"/>
          <w:rFonts w:ascii="Times New Roman" w:hAnsi="Times New Roman" w:cs="Times New Roman"/>
          <w:i/>
          <w:iCs/>
          <w:lang w:val="en-US"/>
        </w:rPr>
        <w:t>Age-dependent reference values reported in:</w:t>
      </w:r>
    </w:p>
    <w:p w14:paraId="52192E39" w14:textId="365A6521" w:rsidR="00415DD2" w:rsidRPr="009B1608" w:rsidRDefault="00415DD2" w:rsidP="00415DD2">
      <w:pPr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 w:rsidRPr="009B1608">
        <w:rPr>
          <w:rFonts w:ascii="Times New Roman" w:hAnsi="Times New Roman" w:cs="Times New Roman"/>
          <w:i/>
          <w:lang w:val="en-US"/>
        </w:rPr>
        <w:t xml:space="preserve">* Mannarino S, </w:t>
      </w:r>
      <w:proofErr w:type="spellStart"/>
      <w:r w:rsidRPr="009B1608">
        <w:rPr>
          <w:rFonts w:ascii="Times New Roman" w:hAnsi="Times New Roman" w:cs="Times New Roman"/>
          <w:i/>
          <w:lang w:val="en-US"/>
        </w:rPr>
        <w:t>Bulzomì</w:t>
      </w:r>
      <w:proofErr w:type="spellEnd"/>
      <w:r w:rsidRPr="009B1608">
        <w:rPr>
          <w:rFonts w:ascii="Times New Roman" w:hAnsi="Times New Roman" w:cs="Times New Roman"/>
          <w:i/>
          <w:lang w:val="en-US"/>
        </w:rPr>
        <w:t xml:space="preserve"> P, Codazzi AC, et al. Inferior vena cava, abdominal aorta, and IVC-to-aorta ratio in healthy Caucasian children: Ultrasound Z-scores according to BSA and age. J </w:t>
      </w:r>
      <w:proofErr w:type="spellStart"/>
      <w:r w:rsidRPr="009B1608">
        <w:rPr>
          <w:rFonts w:ascii="Times New Roman" w:hAnsi="Times New Roman" w:cs="Times New Roman"/>
          <w:i/>
          <w:lang w:val="en-US"/>
        </w:rPr>
        <w:t>Cardiol</w:t>
      </w:r>
      <w:proofErr w:type="spellEnd"/>
      <w:r w:rsidRPr="009B1608">
        <w:rPr>
          <w:rFonts w:ascii="Times New Roman" w:hAnsi="Times New Roman" w:cs="Times New Roman"/>
          <w:i/>
          <w:lang w:val="en-US"/>
        </w:rPr>
        <w:t>. 2019;74:388–393.</w:t>
      </w:r>
      <w:r w:rsidRPr="009B1608">
        <w:rPr>
          <w:rFonts w:ascii="Times New Roman" w:hAnsi="Times New Roman" w:cs="Times New Roman"/>
          <w:i/>
          <w:lang w:val="en-US"/>
        </w:rPr>
        <w:br/>
        <w:t xml:space="preserve">** Kathuria N, Ng L, Saul T, et al. The baseline diameter of the inferior vena cava measured by sonography increases with age in </w:t>
      </w:r>
      <w:proofErr w:type="spellStart"/>
      <w:r w:rsidRPr="009B1608">
        <w:rPr>
          <w:rFonts w:ascii="Times New Roman" w:hAnsi="Times New Roman" w:cs="Times New Roman"/>
          <w:i/>
          <w:lang w:val="en-US"/>
        </w:rPr>
        <w:t>normovolemic</w:t>
      </w:r>
      <w:proofErr w:type="spellEnd"/>
      <w:r w:rsidRPr="009B1608">
        <w:rPr>
          <w:rFonts w:ascii="Times New Roman" w:hAnsi="Times New Roman" w:cs="Times New Roman"/>
          <w:i/>
          <w:lang w:val="en-US"/>
        </w:rPr>
        <w:t xml:space="preserve"> children. J Ultrasound Med. 2015;34:1091–1096.</w:t>
      </w:r>
    </w:p>
    <w:p w14:paraId="7F09CC8D" w14:textId="136C209B" w:rsidR="00415DD2" w:rsidRDefault="00415DD2" w:rsidP="00415DD2">
      <w:pPr>
        <w:rPr>
          <w:rFonts w:ascii="Times New Roman" w:hAnsi="Times New Roman" w:cs="Times New Roman"/>
          <w:b/>
          <w:lang w:val="en-US"/>
        </w:rPr>
      </w:pPr>
    </w:p>
    <w:p w14:paraId="362BA8E9" w14:textId="77777777" w:rsidR="00616CA7" w:rsidRPr="009B1608" w:rsidRDefault="00616CA7" w:rsidP="00415DD2">
      <w:pPr>
        <w:rPr>
          <w:rFonts w:ascii="Times New Roman" w:hAnsi="Times New Roman" w:cs="Times New Roman"/>
          <w:b/>
          <w:lang w:val="en-US"/>
        </w:rPr>
      </w:pPr>
    </w:p>
    <w:p w14:paraId="3609AC85" w14:textId="77777777" w:rsidR="00415DD2" w:rsidRPr="009B1608" w:rsidRDefault="00415DD2" w:rsidP="00415DD2">
      <w:pPr>
        <w:rPr>
          <w:rFonts w:ascii="Times New Roman" w:hAnsi="Times New Roman" w:cs="Times New Roman"/>
          <w:b/>
          <w:lang w:val="en-US"/>
        </w:rPr>
      </w:pPr>
    </w:p>
    <w:p w14:paraId="27B315FE" w14:textId="29793D92" w:rsidR="00FA4B4D" w:rsidRPr="009B1608" w:rsidRDefault="00FA4B4D" w:rsidP="00973258">
      <w:pPr>
        <w:pStyle w:val="Ttulo1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bookmarkStart w:id="1" w:name="_Toc223079090"/>
      <w:r w:rsidRPr="009B160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Table S</w:t>
      </w:r>
      <w:r w:rsidR="00FB49B5" w:rsidRPr="009B160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2</w:t>
      </w:r>
      <w:r w:rsidRPr="009B160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. </w:t>
      </w:r>
      <w:r w:rsidRPr="009B1608">
        <w:rPr>
          <w:rFonts w:ascii="Times New Roman" w:hAnsi="Times New Roman" w:cs="Times New Roman"/>
          <w:color w:val="auto"/>
          <w:sz w:val="22"/>
          <w:szCs w:val="22"/>
          <w:lang w:val="en-US"/>
        </w:rPr>
        <w:t>Diagnostic accuracy of P-</w:t>
      </w:r>
      <w:proofErr w:type="spellStart"/>
      <w:r w:rsidRPr="009B1608">
        <w:rPr>
          <w:rFonts w:ascii="Times New Roman" w:hAnsi="Times New Roman" w:cs="Times New Roman"/>
          <w:color w:val="auto"/>
          <w:sz w:val="22"/>
          <w:szCs w:val="22"/>
          <w:lang w:val="en-US"/>
        </w:rPr>
        <w:t>VExUS</w:t>
      </w:r>
      <w:proofErr w:type="spellEnd"/>
      <w:r w:rsidRPr="009B1608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models for predicting elevated central venous pressure (&gt;12 mmHg). Values in parentheses indicate 95% confidence intervals.</w:t>
      </w:r>
      <w:bookmarkEnd w:id="1"/>
    </w:p>
    <w:tbl>
      <w:tblPr>
        <w:tblStyle w:val="Tabelacomgrade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127"/>
        <w:gridCol w:w="2126"/>
      </w:tblGrid>
      <w:tr w:rsidR="00FA4B4D" w:rsidRPr="009B1608" w14:paraId="6F7CCA18" w14:textId="77777777" w:rsidTr="00D100FF">
        <w:tc>
          <w:tcPr>
            <w:tcW w:w="1696" w:type="dxa"/>
            <w:tcBorders>
              <w:top w:val="single" w:sz="8" w:space="0" w:color="auto"/>
              <w:bottom w:val="single" w:sz="8" w:space="0" w:color="auto"/>
            </w:tcBorders>
          </w:tcPr>
          <w:p w14:paraId="1C5F78FB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Parameter</w:t>
            </w:r>
            <w:proofErr w:type="spellEnd"/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</w:tcPr>
          <w:p w14:paraId="15B10882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VExUS</w:t>
            </w:r>
            <w:proofErr w:type="spellEnd"/>
            <w:r w:rsidRPr="009B1608">
              <w:rPr>
                <w:rFonts w:ascii="Times New Roman" w:hAnsi="Times New Roman" w:cs="Times New Roman"/>
                <w:b/>
                <w:bCs/>
              </w:rPr>
              <w:t xml:space="preserve"> Model 1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</w:tcPr>
          <w:p w14:paraId="43A0161A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VExUS</w:t>
            </w:r>
            <w:proofErr w:type="spellEnd"/>
            <w:r w:rsidRPr="009B1608">
              <w:rPr>
                <w:rFonts w:ascii="Times New Roman" w:hAnsi="Times New Roman" w:cs="Times New Roman"/>
                <w:b/>
                <w:bCs/>
              </w:rPr>
              <w:t xml:space="preserve"> Model 2</w:t>
            </w:r>
          </w:p>
        </w:tc>
      </w:tr>
      <w:tr w:rsidR="00FA4B4D" w:rsidRPr="009B1608" w14:paraId="56A97C49" w14:textId="77777777" w:rsidTr="00D100FF">
        <w:tc>
          <w:tcPr>
            <w:tcW w:w="1696" w:type="dxa"/>
            <w:tcBorders>
              <w:top w:val="single" w:sz="8" w:space="0" w:color="auto"/>
            </w:tcBorders>
          </w:tcPr>
          <w:p w14:paraId="2161F514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AUROC</w:t>
            </w:r>
          </w:p>
        </w:tc>
        <w:tc>
          <w:tcPr>
            <w:tcW w:w="2127" w:type="dxa"/>
            <w:tcBorders>
              <w:top w:val="single" w:sz="8" w:space="0" w:color="auto"/>
            </w:tcBorders>
          </w:tcPr>
          <w:p w14:paraId="4603CB92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0.74 (0.61 – 0.85)</w:t>
            </w:r>
          </w:p>
        </w:tc>
        <w:tc>
          <w:tcPr>
            <w:tcW w:w="2126" w:type="dxa"/>
            <w:tcBorders>
              <w:top w:val="single" w:sz="8" w:space="0" w:color="auto"/>
            </w:tcBorders>
          </w:tcPr>
          <w:p w14:paraId="1AA56892" w14:textId="71990B6A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0.9</w:t>
            </w:r>
            <w:r w:rsidR="00BD6611" w:rsidRPr="009B1608">
              <w:rPr>
                <w:rFonts w:ascii="Times New Roman" w:hAnsi="Times New Roman" w:cs="Times New Roman"/>
              </w:rPr>
              <w:t>4</w:t>
            </w:r>
            <w:r w:rsidRPr="009B1608">
              <w:rPr>
                <w:rFonts w:ascii="Times New Roman" w:hAnsi="Times New Roman" w:cs="Times New Roman"/>
              </w:rPr>
              <w:t xml:space="preserve"> (0.8</w:t>
            </w:r>
            <w:r w:rsidR="00BD6611" w:rsidRPr="009B1608">
              <w:rPr>
                <w:rFonts w:ascii="Times New Roman" w:hAnsi="Times New Roman" w:cs="Times New Roman"/>
              </w:rPr>
              <w:t>4</w:t>
            </w:r>
            <w:r w:rsidRPr="009B1608">
              <w:rPr>
                <w:rFonts w:ascii="Times New Roman" w:hAnsi="Times New Roman" w:cs="Times New Roman"/>
              </w:rPr>
              <w:t xml:space="preserve"> – 0.9</w:t>
            </w:r>
            <w:r w:rsidR="00BD6611" w:rsidRPr="009B1608">
              <w:rPr>
                <w:rFonts w:ascii="Times New Roman" w:hAnsi="Times New Roman" w:cs="Times New Roman"/>
              </w:rPr>
              <w:t>8</w:t>
            </w:r>
            <w:r w:rsidRPr="009B1608">
              <w:rPr>
                <w:rFonts w:ascii="Times New Roman" w:hAnsi="Times New Roman" w:cs="Times New Roman"/>
              </w:rPr>
              <w:t>)</w:t>
            </w:r>
          </w:p>
        </w:tc>
      </w:tr>
      <w:tr w:rsidR="00FA4B4D" w:rsidRPr="009B1608" w14:paraId="31B6A6EB" w14:textId="77777777" w:rsidTr="00D100FF">
        <w:tc>
          <w:tcPr>
            <w:tcW w:w="1696" w:type="dxa"/>
          </w:tcPr>
          <w:p w14:paraId="3F11CECB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B1608">
              <w:rPr>
                <w:rFonts w:ascii="Times New Roman" w:hAnsi="Times New Roman" w:cs="Times New Roman"/>
              </w:rPr>
              <w:t>Cut</w:t>
            </w:r>
            <w:proofErr w:type="spellEnd"/>
            <w:r w:rsidRPr="009B1608">
              <w:rPr>
                <w:rFonts w:ascii="Times New Roman" w:hAnsi="Times New Roman" w:cs="Times New Roman"/>
              </w:rPr>
              <w:t>-off</w:t>
            </w:r>
          </w:p>
        </w:tc>
        <w:tc>
          <w:tcPr>
            <w:tcW w:w="2127" w:type="dxa"/>
          </w:tcPr>
          <w:p w14:paraId="29370628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≥ Grade II</w:t>
            </w:r>
          </w:p>
        </w:tc>
        <w:tc>
          <w:tcPr>
            <w:tcW w:w="2126" w:type="dxa"/>
          </w:tcPr>
          <w:p w14:paraId="3EF40027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≥3</w:t>
            </w:r>
          </w:p>
        </w:tc>
      </w:tr>
      <w:tr w:rsidR="00FA4B4D" w:rsidRPr="009B1608" w14:paraId="545DEDB8" w14:textId="77777777" w:rsidTr="00D100FF">
        <w:tc>
          <w:tcPr>
            <w:tcW w:w="1696" w:type="dxa"/>
          </w:tcPr>
          <w:p w14:paraId="472E5B8A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B1608">
              <w:rPr>
                <w:rFonts w:ascii="Times New Roman" w:hAnsi="Times New Roman" w:cs="Times New Roman"/>
              </w:rPr>
              <w:t>Sensitivity</w:t>
            </w:r>
            <w:proofErr w:type="spellEnd"/>
          </w:p>
        </w:tc>
        <w:tc>
          <w:tcPr>
            <w:tcW w:w="2127" w:type="dxa"/>
          </w:tcPr>
          <w:p w14:paraId="587A92A0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45 (17 – 77)</w:t>
            </w:r>
          </w:p>
        </w:tc>
        <w:tc>
          <w:tcPr>
            <w:tcW w:w="2126" w:type="dxa"/>
          </w:tcPr>
          <w:p w14:paraId="7157E7A1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82 (48 – 98)</w:t>
            </w:r>
          </w:p>
        </w:tc>
      </w:tr>
      <w:tr w:rsidR="00FA4B4D" w:rsidRPr="009B1608" w14:paraId="666BDDCE" w14:textId="77777777" w:rsidTr="00D100FF">
        <w:tc>
          <w:tcPr>
            <w:tcW w:w="1696" w:type="dxa"/>
          </w:tcPr>
          <w:p w14:paraId="32758AC7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B1608">
              <w:rPr>
                <w:rFonts w:ascii="Times New Roman" w:hAnsi="Times New Roman" w:cs="Times New Roman"/>
              </w:rPr>
              <w:t>Specificity</w:t>
            </w:r>
            <w:proofErr w:type="spellEnd"/>
          </w:p>
        </w:tc>
        <w:tc>
          <w:tcPr>
            <w:tcW w:w="2127" w:type="dxa"/>
          </w:tcPr>
          <w:p w14:paraId="6259D373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98 (88 – 100)</w:t>
            </w:r>
          </w:p>
        </w:tc>
        <w:tc>
          <w:tcPr>
            <w:tcW w:w="2126" w:type="dxa"/>
          </w:tcPr>
          <w:p w14:paraId="2B11D6D8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91 (79 – 97)</w:t>
            </w:r>
          </w:p>
        </w:tc>
      </w:tr>
      <w:tr w:rsidR="00FA4B4D" w:rsidRPr="009B1608" w14:paraId="107F1489" w14:textId="77777777" w:rsidTr="00D100FF">
        <w:tc>
          <w:tcPr>
            <w:tcW w:w="1696" w:type="dxa"/>
          </w:tcPr>
          <w:p w14:paraId="532910A9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+LR</w:t>
            </w:r>
          </w:p>
        </w:tc>
        <w:tc>
          <w:tcPr>
            <w:tcW w:w="2127" w:type="dxa"/>
          </w:tcPr>
          <w:p w14:paraId="697101A7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20.4 (2.7 – 157.8)</w:t>
            </w:r>
          </w:p>
        </w:tc>
        <w:tc>
          <w:tcPr>
            <w:tcW w:w="2126" w:type="dxa"/>
          </w:tcPr>
          <w:p w14:paraId="2F5950D7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9.2 (3.5 – 24.4)</w:t>
            </w:r>
          </w:p>
        </w:tc>
      </w:tr>
      <w:tr w:rsidR="00FA4B4D" w:rsidRPr="009B1608" w14:paraId="03968BF7" w14:textId="77777777" w:rsidTr="00D100FF">
        <w:tc>
          <w:tcPr>
            <w:tcW w:w="1696" w:type="dxa"/>
          </w:tcPr>
          <w:p w14:paraId="764389BB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-LR</w:t>
            </w:r>
          </w:p>
        </w:tc>
        <w:tc>
          <w:tcPr>
            <w:tcW w:w="2127" w:type="dxa"/>
          </w:tcPr>
          <w:p w14:paraId="1807D375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0.56 (0.3 – 1.0)</w:t>
            </w:r>
          </w:p>
        </w:tc>
        <w:tc>
          <w:tcPr>
            <w:tcW w:w="2126" w:type="dxa"/>
          </w:tcPr>
          <w:p w14:paraId="7F47E12E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0.2 (0.06 – 0.7)</w:t>
            </w:r>
          </w:p>
        </w:tc>
      </w:tr>
      <w:tr w:rsidR="00FA4B4D" w:rsidRPr="009B1608" w14:paraId="3C35C607" w14:textId="77777777" w:rsidTr="00D100FF">
        <w:tc>
          <w:tcPr>
            <w:tcW w:w="1696" w:type="dxa"/>
          </w:tcPr>
          <w:p w14:paraId="418425B9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+PV (%)</w:t>
            </w:r>
          </w:p>
        </w:tc>
        <w:tc>
          <w:tcPr>
            <w:tcW w:w="2127" w:type="dxa"/>
          </w:tcPr>
          <w:p w14:paraId="05A7FD62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83 (39.3 – 97.5)</w:t>
            </w:r>
          </w:p>
        </w:tc>
        <w:tc>
          <w:tcPr>
            <w:tcW w:w="2126" w:type="dxa"/>
          </w:tcPr>
          <w:p w14:paraId="18B03D8B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69 (46 – 86)</w:t>
            </w:r>
          </w:p>
        </w:tc>
      </w:tr>
      <w:tr w:rsidR="00FA4B4D" w:rsidRPr="009B1608" w14:paraId="1C901F6A" w14:textId="77777777" w:rsidTr="00D100FF">
        <w:tc>
          <w:tcPr>
            <w:tcW w:w="1696" w:type="dxa"/>
            <w:tcBorders>
              <w:bottom w:val="single" w:sz="8" w:space="0" w:color="auto"/>
            </w:tcBorders>
          </w:tcPr>
          <w:p w14:paraId="75FACDC9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-PV (%)</w:t>
            </w:r>
          </w:p>
        </w:tc>
        <w:tc>
          <w:tcPr>
            <w:tcW w:w="2127" w:type="dxa"/>
            <w:tcBorders>
              <w:bottom w:val="single" w:sz="8" w:space="0" w:color="auto"/>
            </w:tcBorders>
          </w:tcPr>
          <w:p w14:paraId="31B590A8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88 (81 – 92)</w:t>
            </w:r>
          </w:p>
        </w:tc>
        <w:tc>
          <w:tcPr>
            <w:tcW w:w="2126" w:type="dxa"/>
            <w:tcBorders>
              <w:bottom w:val="single" w:sz="8" w:space="0" w:color="auto"/>
            </w:tcBorders>
          </w:tcPr>
          <w:p w14:paraId="1D7B4198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95 (85 – 99)</w:t>
            </w:r>
          </w:p>
        </w:tc>
      </w:tr>
    </w:tbl>
    <w:p w14:paraId="6011EC04" w14:textId="77777777" w:rsidR="00FA4B4D" w:rsidRPr="009B1608" w:rsidRDefault="00FA4B4D" w:rsidP="00D100FF">
      <w:pPr>
        <w:jc w:val="both"/>
        <w:rPr>
          <w:rFonts w:ascii="Times New Roman" w:hAnsi="Times New Roman" w:cs="Times New Roman"/>
          <w:lang w:val="en-US"/>
        </w:rPr>
      </w:pPr>
      <w:r w:rsidRPr="009B1608">
        <w:rPr>
          <w:rFonts w:ascii="Times New Roman" w:hAnsi="Times New Roman" w:cs="Times New Roman"/>
          <w:b/>
          <w:bCs/>
          <w:i/>
          <w:lang w:val="en-US"/>
        </w:rPr>
        <w:t>Abbreviations:</w:t>
      </w:r>
      <w:r w:rsidRPr="009B1608">
        <w:rPr>
          <w:rFonts w:ascii="Times New Roman" w:hAnsi="Times New Roman" w:cs="Times New Roman"/>
          <w:i/>
          <w:lang w:val="en-US"/>
        </w:rPr>
        <w:t xml:space="preserve"> P-</w:t>
      </w:r>
      <w:proofErr w:type="spellStart"/>
      <w:r w:rsidRPr="009B1608">
        <w:rPr>
          <w:rFonts w:ascii="Times New Roman" w:hAnsi="Times New Roman" w:cs="Times New Roman"/>
          <w:i/>
          <w:lang w:val="en-US"/>
        </w:rPr>
        <w:t>VExUS</w:t>
      </w:r>
      <w:proofErr w:type="spellEnd"/>
      <w:r w:rsidRPr="009B1608">
        <w:rPr>
          <w:rFonts w:ascii="Times New Roman" w:hAnsi="Times New Roman" w:cs="Times New Roman"/>
          <w:i/>
          <w:lang w:val="en-US"/>
        </w:rPr>
        <w:t xml:space="preserve"> = Pediatric Venous Excess Ultrasound Score; CVP = central venous pressure; AUROC = area under the receiver operating characteristic curve; +LR = positive likelihood ratio; -LR = negative likelihood ratio; +PV = positive predictive value; -PV = negative predictive value.</w:t>
      </w:r>
    </w:p>
    <w:p w14:paraId="2A982C5F" w14:textId="43FBBAE0" w:rsidR="00FA4B4D" w:rsidRDefault="00FA4B4D" w:rsidP="00D100FF">
      <w:pPr>
        <w:jc w:val="both"/>
        <w:rPr>
          <w:rFonts w:ascii="Times New Roman" w:hAnsi="Times New Roman" w:cs="Times New Roman"/>
          <w:lang w:val="en-US"/>
        </w:rPr>
      </w:pPr>
    </w:p>
    <w:p w14:paraId="34FF7A5F" w14:textId="77777777" w:rsidR="00616CA7" w:rsidRPr="009B1608" w:rsidRDefault="00616CA7" w:rsidP="00D100FF">
      <w:pPr>
        <w:jc w:val="both"/>
        <w:rPr>
          <w:rFonts w:ascii="Times New Roman" w:hAnsi="Times New Roman" w:cs="Times New Roman"/>
          <w:lang w:val="en-US"/>
        </w:rPr>
      </w:pPr>
    </w:p>
    <w:p w14:paraId="2AEB06F7" w14:textId="7A45DC9E" w:rsidR="00FA4B4D" w:rsidRPr="009B1608" w:rsidRDefault="00FA4B4D" w:rsidP="00973258">
      <w:pPr>
        <w:pStyle w:val="Ttulo1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bookmarkStart w:id="2" w:name="_Toc223079091"/>
      <w:r w:rsidRPr="009B160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lastRenderedPageBreak/>
        <w:t>Table S</w:t>
      </w:r>
      <w:r w:rsidR="00FB49B5" w:rsidRPr="009B160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3</w:t>
      </w:r>
      <w:r w:rsidRPr="009B160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. </w:t>
      </w:r>
      <w:r w:rsidRPr="009B1608">
        <w:rPr>
          <w:rFonts w:ascii="Times New Roman" w:hAnsi="Times New Roman" w:cs="Times New Roman"/>
          <w:color w:val="auto"/>
          <w:sz w:val="22"/>
          <w:szCs w:val="22"/>
          <w:lang w:val="en-US"/>
        </w:rPr>
        <w:t>Diagnostic accuracy of individual venous Doppler sites for predicting elevated central venous pressure (&gt;12 mmHg). Values in parentheses indicate 95% confidence intervals.</w:t>
      </w:r>
      <w:bookmarkEnd w:id="2"/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841"/>
        <w:gridCol w:w="1841"/>
        <w:gridCol w:w="1841"/>
        <w:gridCol w:w="1841"/>
      </w:tblGrid>
      <w:tr w:rsidR="00FA4B4D" w:rsidRPr="009B1608" w14:paraId="0820DB90" w14:textId="77777777" w:rsidTr="00D100FF">
        <w:tc>
          <w:tcPr>
            <w:tcW w:w="1555" w:type="dxa"/>
            <w:tcBorders>
              <w:top w:val="single" w:sz="8" w:space="0" w:color="auto"/>
              <w:bottom w:val="single" w:sz="8" w:space="0" w:color="auto"/>
            </w:tcBorders>
          </w:tcPr>
          <w:p w14:paraId="1576EC07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Parameter</w:t>
            </w:r>
            <w:proofErr w:type="spellEnd"/>
          </w:p>
        </w:tc>
        <w:tc>
          <w:tcPr>
            <w:tcW w:w="1841" w:type="dxa"/>
            <w:tcBorders>
              <w:top w:val="single" w:sz="8" w:space="0" w:color="auto"/>
              <w:bottom w:val="single" w:sz="8" w:space="0" w:color="auto"/>
            </w:tcBorders>
          </w:tcPr>
          <w:p w14:paraId="0E498829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>IVC</w:t>
            </w:r>
          </w:p>
        </w:tc>
        <w:tc>
          <w:tcPr>
            <w:tcW w:w="1841" w:type="dxa"/>
            <w:tcBorders>
              <w:top w:val="single" w:sz="8" w:space="0" w:color="auto"/>
              <w:bottom w:val="single" w:sz="8" w:space="0" w:color="auto"/>
            </w:tcBorders>
          </w:tcPr>
          <w:p w14:paraId="35F9488A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Hepatic</w:t>
            </w:r>
            <w:proofErr w:type="spellEnd"/>
            <w:r w:rsidRPr="009B16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Vein</w:t>
            </w:r>
            <w:proofErr w:type="spellEnd"/>
          </w:p>
        </w:tc>
        <w:tc>
          <w:tcPr>
            <w:tcW w:w="1841" w:type="dxa"/>
            <w:tcBorders>
              <w:top w:val="single" w:sz="8" w:space="0" w:color="auto"/>
              <w:bottom w:val="single" w:sz="8" w:space="0" w:color="auto"/>
            </w:tcBorders>
          </w:tcPr>
          <w:p w14:paraId="3760A016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 xml:space="preserve">Portal </w:t>
            </w: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Vein</w:t>
            </w:r>
            <w:proofErr w:type="spellEnd"/>
          </w:p>
        </w:tc>
        <w:tc>
          <w:tcPr>
            <w:tcW w:w="1841" w:type="dxa"/>
            <w:tcBorders>
              <w:top w:val="single" w:sz="8" w:space="0" w:color="auto"/>
              <w:bottom w:val="single" w:sz="8" w:space="0" w:color="auto"/>
            </w:tcBorders>
          </w:tcPr>
          <w:p w14:paraId="10EA508D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 xml:space="preserve">Renal </w:t>
            </w: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Vein</w:t>
            </w:r>
            <w:proofErr w:type="spellEnd"/>
          </w:p>
        </w:tc>
      </w:tr>
      <w:tr w:rsidR="00FA4B4D" w:rsidRPr="009B1608" w14:paraId="0142A218" w14:textId="77777777" w:rsidTr="00D100FF">
        <w:tc>
          <w:tcPr>
            <w:tcW w:w="1555" w:type="dxa"/>
            <w:tcBorders>
              <w:top w:val="single" w:sz="8" w:space="0" w:color="auto"/>
            </w:tcBorders>
          </w:tcPr>
          <w:p w14:paraId="6F93C879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AUROC</w:t>
            </w:r>
          </w:p>
        </w:tc>
        <w:tc>
          <w:tcPr>
            <w:tcW w:w="1841" w:type="dxa"/>
            <w:tcBorders>
              <w:top w:val="single" w:sz="8" w:space="0" w:color="auto"/>
            </w:tcBorders>
          </w:tcPr>
          <w:p w14:paraId="137ECDC2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0.55 (0.42 – 0.69)</w:t>
            </w:r>
          </w:p>
        </w:tc>
        <w:tc>
          <w:tcPr>
            <w:tcW w:w="1841" w:type="dxa"/>
            <w:tcBorders>
              <w:top w:val="single" w:sz="8" w:space="0" w:color="auto"/>
            </w:tcBorders>
          </w:tcPr>
          <w:p w14:paraId="02A85270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0.89 (0.77 – 0.96)</w:t>
            </w:r>
          </w:p>
        </w:tc>
        <w:tc>
          <w:tcPr>
            <w:tcW w:w="1841" w:type="dxa"/>
            <w:tcBorders>
              <w:top w:val="single" w:sz="8" w:space="0" w:color="auto"/>
            </w:tcBorders>
          </w:tcPr>
          <w:p w14:paraId="0E6F46B1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0.80 (0.67 – 0.89)</w:t>
            </w:r>
          </w:p>
        </w:tc>
        <w:tc>
          <w:tcPr>
            <w:tcW w:w="1841" w:type="dxa"/>
            <w:tcBorders>
              <w:top w:val="single" w:sz="8" w:space="0" w:color="auto"/>
            </w:tcBorders>
          </w:tcPr>
          <w:p w14:paraId="5DF7AA06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0.92 (0.82 – 0.98)</w:t>
            </w:r>
          </w:p>
        </w:tc>
      </w:tr>
      <w:tr w:rsidR="00FA4B4D" w:rsidRPr="009B1608" w14:paraId="23749C46" w14:textId="77777777" w:rsidTr="00D100FF">
        <w:tc>
          <w:tcPr>
            <w:tcW w:w="1555" w:type="dxa"/>
          </w:tcPr>
          <w:p w14:paraId="74511422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B1608">
              <w:rPr>
                <w:rFonts w:ascii="Times New Roman" w:hAnsi="Times New Roman" w:cs="Times New Roman"/>
              </w:rPr>
              <w:t>Cut</w:t>
            </w:r>
            <w:proofErr w:type="spellEnd"/>
            <w:r w:rsidRPr="009B1608">
              <w:rPr>
                <w:rFonts w:ascii="Times New Roman" w:hAnsi="Times New Roman" w:cs="Times New Roman"/>
              </w:rPr>
              <w:t>-off</w:t>
            </w:r>
          </w:p>
        </w:tc>
        <w:tc>
          <w:tcPr>
            <w:tcW w:w="1841" w:type="dxa"/>
          </w:tcPr>
          <w:p w14:paraId="657E5D01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&gt;0</w:t>
            </w:r>
          </w:p>
        </w:tc>
        <w:tc>
          <w:tcPr>
            <w:tcW w:w="1841" w:type="dxa"/>
          </w:tcPr>
          <w:p w14:paraId="3BC2D019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&gt;0</w:t>
            </w:r>
          </w:p>
        </w:tc>
        <w:tc>
          <w:tcPr>
            <w:tcW w:w="1841" w:type="dxa"/>
          </w:tcPr>
          <w:p w14:paraId="3BB615AA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&gt;0</w:t>
            </w:r>
          </w:p>
        </w:tc>
        <w:tc>
          <w:tcPr>
            <w:tcW w:w="1841" w:type="dxa"/>
          </w:tcPr>
          <w:p w14:paraId="5369F8A4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&gt;0</w:t>
            </w:r>
          </w:p>
        </w:tc>
      </w:tr>
      <w:tr w:rsidR="00FA4B4D" w:rsidRPr="009B1608" w14:paraId="06EAEECF" w14:textId="77777777" w:rsidTr="00D100FF">
        <w:tc>
          <w:tcPr>
            <w:tcW w:w="1555" w:type="dxa"/>
          </w:tcPr>
          <w:p w14:paraId="4B9BE419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B1608">
              <w:rPr>
                <w:rFonts w:ascii="Times New Roman" w:hAnsi="Times New Roman" w:cs="Times New Roman"/>
              </w:rPr>
              <w:t>Sensitivity</w:t>
            </w:r>
            <w:proofErr w:type="spellEnd"/>
          </w:p>
        </w:tc>
        <w:tc>
          <w:tcPr>
            <w:tcW w:w="1841" w:type="dxa"/>
          </w:tcPr>
          <w:p w14:paraId="368A758A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100 (71 – 100)</w:t>
            </w:r>
          </w:p>
        </w:tc>
        <w:tc>
          <w:tcPr>
            <w:tcW w:w="1841" w:type="dxa"/>
          </w:tcPr>
          <w:p w14:paraId="78CBFC88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91 (56 – 100)</w:t>
            </w:r>
          </w:p>
        </w:tc>
        <w:tc>
          <w:tcPr>
            <w:tcW w:w="1841" w:type="dxa"/>
          </w:tcPr>
          <w:p w14:paraId="44A3DF99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82 (48 – 98)</w:t>
            </w:r>
          </w:p>
        </w:tc>
        <w:tc>
          <w:tcPr>
            <w:tcW w:w="1841" w:type="dxa"/>
          </w:tcPr>
          <w:p w14:paraId="5DC5C387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91 (59 – 100)</w:t>
            </w:r>
          </w:p>
        </w:tc>
      </w:tr>
      <w:tr w:rsidR="00FA4B4D" w:rsidRPr="009B1608" w14:paraId="1CFEF76B" w14:textId="77777777" w:rsidTr="00D100FF">
        <w:tc>
          <w:tcPr>
            <w:tcW w:w="1555" w:type="dxa"/>
          </w:tcPr>
          <w:p w14:paraId="7DD829BA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B1608">
              <w:rPr>
                <w:rFonts w:ascii="Times New Roman" w:hAnsi="Times New Roman" w:cs="Times New Roman"/>
              </w:rPr>
              <w:t>Specificity</w:t>
            </w:r>
            <w:proofErr w:type="spellEnd"/>
          </w:p>
        </w:tc>
        <w:tc>
          <w:tcPr>
            <w:tcW w:w="1841" w:type="dxa"/>
          </w:tcPr>
          <w:p w14:paraId="68C5BD0E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11 (4 – 24)</w:t>
            </w:r>
          </w:p>
        </w:tc>
        <w:tc>
          <w:tcPr>
            <w:tcW w:w="1841" w:type="dxa"/>
          </w:tcPr>
          <w:p w14:paraId="04F29EED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84 (70 – 93)</w:t>
            </w:r>
          </w:p>
        </w:tc>
        <w:tc>
          <w:tcPr>
            <w:tcW w:w="1841" w:type="dxa"/>
          </w:tcPr>
          <w:p w14:paraId="6AC79F98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69 (53 – 82)</w:t>
            </w:r>
          </w:p>
        </w:tc>
        <w:tc>
          <w:tcPr>
            <w:tcW w:w="1841" w:type="dxa"/>
          </w:tcPr>
          <w:p w14:paraId="07427E96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93 (82 – 99)</w:t>
            </w:r>
          </w:p>
        </w:tc>
      </w:tr>
      <w:tr w:rsidR="00FA4B4D" w:rsidRPr="009B1608" w14:paraId="2B43AB12" w14:textId="77777777" w:rsidTr="00D100FF">
        <w:tc>
          <w:tcPr>
            <w:tcW w:w="1555" w:type="dxa"/>
          </w:tcPr>
          <w:p w14:paraId="7C667CD0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+LR</w:t>
            </w:r>
          </w:p>
        </w:tc>
        <w:tc>
          <w:tcPr>
            <w:tcW w:w="1841" w:type="dxa"/>
          </w:tcPr>
          <w:p w14:paraId="02CF3991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1.12 (1.0 – 1.2)</w:t>
            </w:r>
          </w:p>
        </w:tc>
        <w:tc>
          <w:tcPr>
            <w:tcW w:w="1841" w:type="dxa"/>
          </w:tcPr>
          <w:p w14:paraId="62E028D8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5.84 (2.9 – 11.8)</w:t>
            </w:r>
          </w:p>
        </w:tc>
        <w:tc>
          <w:tcPr>
            <w:tcW w:w="1841" w:type="dxa"/>
          </w:tcPr>
          <w:p w14:paraId="4C8BD703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2.63 (1.6 – 4.4)</w:t>
            </w:r>
          </w:p>
        </w:tc>
        <w:tc>
          <w:tcPr>
            <w:tcW w:w="1841" w:type="dxa"/>
          </w:tcPr>
          <w:p w14:paraId="2BC47831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13.6 (4.5 – 41.3)</w:t>
            </w:r>
          </w:p>
        </w:tc>
      </w:tr>
      <w:tr w:rsidR="00FA4B4D" w:rsidRPr="009B1608" w14:paraId="4268BA3E" w14:textId="77777777" w:rsidTr="00D100FF">
        <w:tc>
          <w:tcPr>
            <w:tcW w:w="1555" w:type="dxa"/>
          </w:tcPr>
          <w:p w14:paraId="5E069F03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-LR</w:t>
            </w:r>
          </w:p>
        </w:tc>
        <w:tc>
          <w:tcPr>
            <w:tcW w:w="1841" w:type="dxa"/>
          </w:tcPr>
          <w:p w14:paraId="3F0F2F40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1" w:type="dxa"/>
          </w:tcPr>
          <w:p w14:paraId="44947913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0.11 (0.02 – 0.7)</w:t>
            </w:r>
          </w:p>
        </w:tc>
        <w:tc>
          <w:tcPr>
            <w:tcW w:w="1841" w:type="dxa"/>
          </w:tcPr>
          <w:p w14:paraId="0EF5AB0B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0.26 (0.07 – 0.9)</w:t>
            </w:r>
          </w:p>
        </w:tc>
        <w:tc>
          <w:tcPr>
            <w:tcW w:w="1841" w:type="dxa"/>
          </w:tcPr>
          <w:p w14:paraId="01AF7002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0.097 (0.02 – 0.6)</w:t>
            </w:r>
          </w:p>
        </w:tc>
      </w:tr>
      <w:tr w:rsidR="00FA4B4D" w:rsidRPr="009B1608" w14:paraId="003FC233" w14:textId="77777777" w:rsidTr="00D100FF">
        <w:tc>
          <w:tcPr>
            <w:tcW w:w="1555" w:type="dxa"/>
          </w:tcPr>
          <w:p w14:paraId="46BDBB3C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+PV (%)</w:t>
            </w:r>
          </w:p>
        </w:tc>
        <w:tc>
          <w:tcPr>
            <w:tcW w:w="1841" w:type="dxa"/>
          </w:tcPr>
          <w:p w14:paraId="77C4CE0D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22 (20 – 23.4)</w:t>
            </w:r>
          </w:p>
        </w:tc>
        <w:tc>
          <w:tcPr>
            <w:tcW w:w="1841" w:type="dxa"/>
          </w:tcPr>
          <w:p w14:paraId="5421C015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59 (41 – 74)</w:t>
            </w:r>
          </w:p>
        </w:tc>
        <w:tc>
          <w:tcPr>
            <w:tcW w:w="1841" w:type="dxa"/>
          </w:tcPr>
          <w:p w14:paraId="2DD2CD1B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39 (28 – 52)</w:t>
            </w:r>
          </w:p>
        </w:tc>
        <w:tc>
          <w:tcPr>
            <w:tcW w:w="1841" w:type="dxa"/>
          </w:tcPr>
          <w:p w14:paraId="0B1358BB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77 (52 – 91)</w:t>
            </w:r>
          </w:p>
        </w:tc>
      </w:tr>
      <w:tr w:rsidR="00FA4B4D" w:rsidRPr="009B1608" w14:paraId="7521F52D" w14:textId="77777777" w:rsidTr="00D100FF">
        <w:tc>
          <w:tcPr>
            <w:tcW w:w="1555" w:type="dxa"/>
            <w:tcBorders>
              <w:bottom w:val="single" w:sz="8" w:space="0" w:color="auto"/>
            </w:tcBorders>
          </w:tcPr>
          <w:p w14:paraId="2909BDD9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-PV (%)</w:t>
            </w:r>
          </w:p>
        </w:tc>
        <w:tc>
          <w:tcPr>
            <w:tcW w:w="1841" w:type="dxa"/>
            <w:tcBorders>
              <w:bottom w:val="single" w:sz="8" w:space="0" w:color="auto"/>
            </w:tcBorders>
          </w:tcPr>
          <w:p w14:paraId="75C504D3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1" w:type="dxa"/>
            <w:tcBorders>
              <w:bottom w:val="single" w:sz="8" w:space="0" w:color="auto"/>
            </w:tcBorders>
          </w:tcPr>
          <w:p w14:paraId="2256F675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97 (85 – 100)</w:t>
            </w:r>
          </w:p>
        </w:tc>
        <w:tc>
          <w:tcPr>
            <w:tcW w:w="1841" w:type="dxa"/>
            <w:tcBorders>
              <w:bottom w:val="single" w:sz="8" w:space="0" w:color="auto"/>
            </w:tcBorders>
          </w:tcPr>
          <w:p w14:paraId="7D39BE3E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94 (81 – 98)</w:t>
            </w:r>
          </w:p>
        </w:tc>
        <w:tc>
          <w:tcPr>
            <w:tcW w:w="1841" w:type="dxa"/>
            <w:tcBorders>
              <w:bottom w:val="single" w:sz="8" w:space="0" w:color="auto"/>
            </w:tcBorders>
          </w:tcPr>
          <w:p w14:paraId="2B444543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98 (87 – 100)</w:t>
            </w:r>
          </w:p>
        </w:tc>
      </w:tr>
    </w:tbl>
    <w:p w14:paraId="32C7B762" w14:textId="77777777" w:rsidR="00FA4B4D" w:rsidRPr="009B1608" w:rsidRDefault="00FA4B4D" w:rsidP="00D100FF">
      <w:pPr>
        <w:jc w:val="both"/>
        <w:rPr>
          <w:rFonts w:ascii="Times New Roman" w:hAnsi="Times New Roman" w:cs="Times New Roman"/>
          <w:lang w:val="en-US"/>
        </w:rPr>
      </w:pPr>
      <w:r w:rsidRPr="009B1608">
        <w:rPr>
          <w:rFonts w:ascii="Times New Roman" w:hAnsi="Times New Roman" w:cs="Times New Roman"/>
          <w:b/>
          <w:bCs/>
          <w:i/>
          <w:lang w:val="en-US"/>
        </w:rPr>
        <w:t>Abbreviations:</w:t>
      </w:r>
      <w:r w:rsidRPr="009B1608">
        <w:rPr>
          <w:rFonts w:ascii="Times New Roman" w:hAnsi="Times New Roman" w:cs="Times New Roman"/>
          <w:i/>
          <w:lang w:val="en-US"/>
        </w:rPr>
        <w:t xml:space="preserve"> CVP = central venous pressure; AUROC = area under the receiver operating characteristic curve; +LR = positive likelihood ratio; -LR = negative likelihood ratio; +PV = positive predictive value; -PV = negative predictive value.</w:t>
      </w:r>
    </w:p>
    <w:p w14:paraId="32D30424" w14:textId="77777777" w:rsidR="00FA4B4D" w:rsidRPr="009B1608" w:rsidRDefault="00FA4B4D" w:rsidP="00D100FF">
      <w:pPr>
        <w:jc w:val="both"/>
        <w:rPr>
          <w:rFonts w:ascii="Times New Roman" w:hAnsi="Times New Roman" w:cs="Times New Roman"/>
          <w:lang w:val="en-US"/>
        </w:rPr>
      </w:pPr>
    </w:p>
    <w:p w14:paraId="53FFCF08" w14:textId="21C68218" w:rsidR="00FA4B4D" w:rsidRPr="009B1608" w:rsidRDefault="00FA4B4D" w:rsidP="00973258">
      <w:pPr>
        <w:pStyle w:val="Ttulo1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bookmarkStart w:id="3" w:name="_Toc223079092"/>
      <w:r w:rsidRPr="009B160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Table S</w:t>
      </w:r>
      <w:r w:rsidR="00FB49B5" w:rsidRPr="009B160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4</w:t>
      </w:r>
      <w:r w:rsidRPr="009B160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. </w:t>
      </w:r>
      <w:r w:rsidRPr="009B1608">
        <w:rPr>
          <w:rFonts w:ascii="Times New Roman" w:hAnsi="Times New Roman" w:cs="Times New Roman"/>
          <w:color w:val="auto"/>
          <w:sz w:val="22"/>
          <w:szCs w:val="22"/>
          <w:lang w:val="en-US"/>
        </w:rPr>
        <w:t>Diagnostic accuracy of P-</w:t>
      </w:r>
      <w:proofErr w:type="spellStart"/>
      <w:r w:rsidRPr="009B1608">
        <w:rPr>
          <w:rFonts w:ascii="Times New Roman" w:hAnsi="Times New Roman" w:cs="Times New Roman"/>
          <w:color w:val="auto"/>
          <w:sz w:val="22"/>
          <w:szCs w:val="22"/>
          <w:lang w:val="en-US"/>
        </w:rPr>
        <w:t>VExUS</w:t>
      </w:r>
      <w:proofErr w:type="spellEnd"/>
      <w:r w:rsidRPr="009B1608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models for predicting low central venous pressure (&lt;7 mmHg). Values in parentheses indicate 95% confidence intervals.</w:t>
      </w:r>
      <w:bookmarkEnd w:id="3"/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126"/>
        <w:gridCol w:w="2126"/>
      </w:tblGrid>
      <w:tr w:rsidR="00FA4B4D" w:rsidRPr="009B1608" w14:paraId="046C46AB" w14:textId="77777777" w:rsidTr="00D100FF"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</w:tcPr>
          <w:p w14:paraId="17B65900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Parameter</w:t>
            </w:r>
            <w:proofErr w:type="spellEnd"/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</w:tcPr>
          <w:p w14:paraId="4981087A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VExUS</w:t>
            </w:r>
            <w:proofErr w:type="spellEnd"/>
            <w:r w:rsidRPr="009B1608">
              <w:rPr>
                <w:rFonts w:ascii="Times New Roman" w:hAnsi="Times New Roman" w:cs="Times New Roman"/>
                <w:b/>
                <w:bCs/>
              </w:rPr>
              <w:t xml:space="preserve"> Model 1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</w:tcPr>
          <w:p w14:paraId="762F01FD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VExUS</w:t>
            </w:r>
            <w:proofErr w:type="spellEnd"/>
            <w:r w:rsidRPr="009B1608">
              <w:rPr>
                <w:rFonts w:ascii="Times New Roman" w:hAnsi="Times New Roman" w:cs="Times New Roman"/>
                <w:b/>
                <w:bCs/>
              </w:rPr>
              <w:t xml:space="preserve"> Model 2</w:t>
            </w:r>
          </w:p>
        </w:tc>
      </w:tr>
      <w:tr w:rsidR="00FA4B4D" w:rsidRPr="009B1608" w14:paraId="52FE4C5D" w14:textId="77777777" w:rsidTr="00D100FF">
        <w:tc>
          <w:tcPr>
            <w:tcW w:w="1560" w:type="dxa"/>
            <w:tcBorders>
              <w:top w:val="single" w:sz="8" w:space="0" w:color="auto"/>
            </w:tcBorders>
          </w:tcPr>
          <w:p w14:paraId="48DFB60F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AUROC</w:t>
            </w:r>
          </w:p>
        </w:tc>
        <w:tc>
          <w:tcPr>
            <w:tcW w:w="2126" w:type="dxa"/>
            <w:tcBorders>
              <w:top w:val="single" w:sz="8" w:space="0" w:color="auto"/>
            </w:tcBorders>
          </w:tcPr>
          <w:p w14:paraId="4958302B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0.69 (0.55–0.81)</w:t>
            </w:r>
          </w:p>
        </w:tc>
        <w:tc>
          <w:tcPr>
            <w:tcW w:w="2126" w:type="dxa"/>
            <w:tcBorders>
              <w:top w:val="single" w:sz="8" w:space="0" w:color="auto"/>
            </w:tcBorders>
          </w:tcPr>
          <w:p w14:paraId="573CCFD7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0.80 (0.67–0.89)</w:t>
            </w:r>
          </w:p>
        </w:tc>
      </w:tr>
      <w:tr w:rsidR="00FA4B4D" w:rsidRPr="009B1608" w14:paraId="071B4B4E" w14:textId="77777777" w:rsidTr="00D100FF">
        <w:tc>
          <w:tcPr>
            <w:tcW w:w="1560" w:type="dxa"/>
          </w:tcPr>
          <w:p w14:paraId="00C45CC9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B1608">
              <w:rPr>
                <w:rFonts w:ascii="Times New Roman" w:hAnsi="Times New Roman" w:cs="Times New Roman"/>
              </w:rPr>
              <w:t>Cut</w:t>
            </w:r>
            <w:proofErr w:type="spellEnd"/>
            <w:r w:rsidRPr="009B1608">
              <w:rPr>
                <w:rFonts w:ascii="Times New Roman" w:hAnsi="Times New Roman" w:cs="Times New Roman"/>
              </w:rPr>
              <w:t>-off</w:t>
            </w:r>
          </w:p>
        </w:tc>
        <w:tc>
          <w:tcPr>
            <w:tcW w:w="2126" w:type="dxa"/>
          </w:tcPr>
          <w:p w14:paraId="08284C10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Grade 0</w:t>
            </w:r>
          </w:p>
        </w:tc>
        <w:tc>
          <w:tcPr>
            <w:tcW w:w="2126" w:type="dxa"/>
          </w:tcPr>
          <w:p w14:paraId="0CFAA868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≤1 point</w:t>
            </w:r>
          </w:p>
        </w:tc>
      </w:tr>
      <w:tr w:rsidR="00FA4B4D" w:rsidRPr="009B1608" w14:paraId="559EE1CF" w14:textId="77777777" w:rsidTr="00D100FF">
        <w:tc>
          <w:tcPr>
            <w:tcW w:w="1560" w:type="dxa"/>
          </w:tcPr>
          <w:p w14:paraId="3D249CEE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B1608">
              <w:rPr>
                <w:rFonts w:ascii="Times New Roman" w:hAnsi="Times New Roman" w:cs="Times New Roman"/>
              </w:rPr>
              <w:t>Sensitivity</w:t>
            </w:r>
            <w:proofErr w:type="spellEnd"/>
          </w:p>
        </w:tc>
        <w:tc>
          <w:tcPr>
            <w:tcW w:w="2126" w:type="dxa"/>
          </w:tcPr>
          <w:p w14:paraId="40A53163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25 (9 – 49)</w:t>
            </w:r>
          </w:p>
        </w:tc>
        <w:tc>
          <w:tcPr>
            <w:tcW w:w="2126" w:type="dxa"/>
          </w:tcPr>
          <w:p w14:paraId="1C6479BC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75 (51 – 91)</w:t>
            </w:r>
          </w:p>
        </w:tc>
      </w:tr>
      <w:tr w:rsidR="00FA4B4D" w:rsidRPr="009B1608" w14:paraId="7BAE108C" w14:textId="77777777" w:rsidTr="00D100FF">
        <w:tc>
          <w:tcPr>
            <w:tcW w:w="1560" w:type="dxa"/>
          </w:tcPr>
          <w:p w14:paraId="4B49AB19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B1608">
              <w:rPr>
                <w:rFonts w:ascii="Times New Roman" w:hAnsi="Times New Roman" w:cs="Times New Roman"/>
              </w:rPr>
              <w:t>Specificity</w:t>
            </w:r>
            <w:proofErr w:type="spellEnd"/>
          </w:p>
        </w:tc>
        <w:tc>
          <w:tcPr>
            <w:tcW w:w="2126" w:type="dxa"/>
          </w:tcPr>
          <w:p w14:paraId="6435C34F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100 (90 – 100)</w:t>
            </w:r>
          </w:p>
        </w:tc>
        <w:tc>
          <w:tcPr>
            <w:tcW w:w="2126" w:type="dxa"/>
          </w:tcPr>
          <w:p w14:paraId="7D9296BF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67 (49 – 81)</w:t>
            </w:r>
          </w:p>
        </w:tc>
      </w:tr>
      <w:tr w:rsidR="00FA4B4D" w:rsidRPr="009B1608" w14:paraId="3E028FDD" w14:textId="77777777" w:rsidTr="00D100FF">
        <w:tc>
          <w:tcPr>
            <w:tcW w:w="1560" w:type="dxa"/>
          </w:tcPr>
          <w:p w14:paraId="5FBDD21A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+LR</w:t>
            </w:r>
          </w:p>
        </w:tc>
        <w:tc>
          <w:tcPr>
            <w:tcW w:w="2126" w:type="dxa"/>
          </w:tcPr>
          <w:p w14:paraId="10322A68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14:paraId="6F918E07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2.25 (1.33 – 3.81)</w:t>
            </w:r>
          </w:p>
        </w:tc>
      </w:tr>
      <w:tr w:rsidR="00FA4B4D" w:rsidRPr="009B1608" w14:paraId="6C4E54D8" w14:textId="77777777" w:rsidTr="00D100FF">
        <w:tc>
          <w:tcPr>
            <w:tcW w:w="1560" w:type="dxa"/>
          </w:tcPr>
          <w:p w14:paraId="0355EBBA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-LR</w:t>
            </w:r>
          </w:p>
        </w:tc>
        <w:tc>
          <w:tcPr>
            <w:tcW w:w="2126" w:type="dxa"/>
          </w:tcPr>
          <w:p w14:paraId="1240FB44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0.75 (0.58 – 0.97)</w:t>
            </w:r>
          </w:p>
        </w:tc>
        <w:tc>
          <w:tcPr>
            <w:tcW w:w="2126" w:type="dxa"/>
          </w:tcPr>
          <w:p w14:paraId="61F4181F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0.38 (0.17 – 0.83)</w:t>
            </w:r>
          </w:p>
        </w:tc>
      </w:tr>
      <w:tr w:rsidR="00FA4B4D" w:rsidRPr="009B1608" w14:paraId="1A4F284F" w14:textId="77777777" w:rsidTr="00D100FF">
        <w:tc>
          <w:tcPr>
            <w:tcW w:w="1560" w:type="dxa"/>
          </w:tcPr>
          <w:p w14:paraId="1419DEC7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+PV (%)</w:t>
            </w:r>
          </w:p>
        </w:tc>
        <w:tc>
          <w:tcPr>
            <w:tcW w:w="2126" w:type="dxa"/>
          </w:tcPr>
          <w:p w14:paraId="3F8438F5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126" w:type="dxa"/>
          </w:tcPr>
          <w:p w14:paraId="4E89DF7A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56 (42 – 68)</w:t>
            </w:r>
          </w:p>
        </w:tc>
      </w:tr>
      <w:tr w:rsidR="00FA4B4D" w:rsidRPr="009B1608" w14:paraId="1AE879AC" w14:textId="77777777" w:rsidTr="00D100FF">
        <w:tc>
          <w:tcPr>
            <w:tcW w:w="1560" w:type="dxa"/>
            <w:tcBorders>
              <w:bottom w:val="single" w:sz="8" w:space="0" w:color="auto"/>
            </w:tcBorders>
          </w:tcPr>
          <w:p w14:paraId="69CA2222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-PV (%)</w:t>
            </w:r>
          </w:p>
        </w:tc>
        <w:tc>
          <w:tcPr>
            <w:tcW w:w="2126" w:type="dxa"/>
            <w:tcBorders>
              <w:bottom w:val="single" w:sz="8" w:space="0" w:color="auto"/>
            </w:tcBorders>
          </w:tcPr>
          <w:p w14:paraId="0A8C5E7A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71 (65 – 76)</w:t>
            </w:r>
          </w:p>
        </w:tc>
        <w:tc>
          <w:tcPr>
            <w:tcW w:w="2126" w:type="dxa"/>
            <w:tcBorders>
              <w:bottom w:val="single" w:sz="8" w:space="0" w:color="auto"/>
            </w:tcBorders>
          </w:tcPr>
          <w:p w14:paraId="461125EB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83 (68 – 91)</w:t>
            </w:r>
          </w:p>
        </w:tc>
      </w:tr>
    </w:tbl>
    <w:p w14:paraId="63907208" w14:textId="77777777" w:rsidR="00FA4B4D" w:rsidRPr="009B1608" w:rsidRDefault="00FA4B4D" w:rsidP="00D100FF">
      <w:pPr>
        <w:jc w:val="both"/>
        <w:rPr>
          <w:rFonts w:ascii="Times New Roman" w:hAnsi="Times New Roman" w:cs="Times New Roman"/>
          <w:lang w:val="en-US"/>
        </w:rPr>
      </w:pPr>
      <w:r w:rsidRPr="009B1608">
        <w:rPr>
          <w:rFonts w:ascii="Times New Roman" w:hAnsi="Times New Roman" w:cs="Times New Roman"/>
          <w:b/>
          <w:bCs/>
          <w:i/>
          <w:lang w:val="en-US"/>
        </w:rPr>
        <w:t>Abbreviations:</w:t>
      </w:r>
      <w:r w:rsidRPr="009B1608">
        <w:rPr>
          <w:rFonts w:ascii="Times New Roman" w:hAnsi="Times New Roman" w:cs="Times New Roman"/>
          <w:i/>
          <w:lang w:val="en-US"/>
        </w:rPr>
        <w:t xml:space="preserve"> P-</w:t>
      </w:r>
      <w:proofErr w:type="spellStart"/>
      <w:r w:rsidRPr="009B1608">
        <w:rPr>
          <w:rFonts w:ascii="Times New Roman" w:hAnsi="Times New Roman" w:cs="Times New Roman"/>
          <w:i/>
          <w:lang w:val="en-US"/>
        </w:rPr>
        <w:t>VExUS</w:t>
      </w:r>
      <w:proofErr w:type="spellEnd"/>
      <w:r w:rsidRPr="009B1608">
        <w:rPr>
          <w:rFonts w:ascii="Times New Roman" w:hAnsi="Times New Roman" w:cs="Times New Roman"/>
          <w:i/>
          <w:lang w:val="en-US"/>
        </w:rPr>
        <w:t xml:space="preserve"> = Pediatric Venous Excess Ultrasound Score; CVP = central venous pressure; AUROC = area under the receiver operating characteristic curve; +LR = positive likelihood ratio; -LR = negative likelihood ratio; +PV = positive predictive value; -PV = negative predictive value.</w:t>
      </w:r>
    </w:p>
    <w:p w14:paraId="37737FBD" w14:textId="77777777" w:rsidR="00FA4B4D" w:rsidRPr="009B1608" w:rsidRDefault="00FA4B4D" w:rsidP="00D100FF">
      <w:pPr>
        <w:jc w:val="both"/>
        <w:rPr>
          <w:rFonts w:ascii="Times New Roman" w:hAnsi="Times New Roman" w:cs="Times New Roman"/>
          <w:lang w:val="en-US"/>
        </w:rPr>
      </w:pPr>
    </w:p>
    <w:p w14:paraId="64F83F8A" w14:textId="702BAF26" w:rsidR="00FA4B4D" w:rsidRPr="009B1608" w:rsidRDefault="00FA4B4D" w:rsidP="00973258">
      <w:pPr>
        <w:pStyle w:val="Ttulo1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bookmarkStart w:id="4" w:name="_Toc223079093"/>
      <w:r w:rsidRPr="009B160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Table S</w:t>
      </w:r>
      <w:r w:rsidR="00FB49B5" w:rsidRPr="009B160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5</w:t>
      </w:r>
      <w:r w:rsidRPr="009B160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. </w:t>
      </w:r>
      <w:r w:rsidRPr="009B1608">
        <w:rPr>
          <w:rFonts w:ascii="Times New Roman" w:hAnsi="Times New Roman" w:cs="Times New Roman"/>
          <w:color w:val="auto"/>
          <w:sz w:val="22"/>
          <w:szCs w:val="22"/>
          <w:lang w:val="en-US"/>
        </w:rPr>
        <w:t>Diagnostic accuracy of individual venous Doppler sites for predicting low central venous pressure (&lt;7 mmHg). Values in parentheses indicate 95% confidence intervals.</w:t>
      </w:r>
      <w:bookmarkEnd w:id="4"/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841"/>
        <w:gridCol w:w="1841"/>
        <w:gridCol w:w="1841"/>
        <w:gridCol w:w="1841"/>
      </w:tblGrid>
      <w:tr w:rsidR="00FA4B4D" w:rsidRPr="009B1608" w14:paraId="1C2D54BD" w14:textId="77777777" w:rsidTr="00D100FF">
        <w:tc>
          <w:tcPr>
            <w:tcW w:w="1555" w:type="dxa"/>
            <w:tcBorders>
              <w:top w:val="single" w:sz="8" w:space="0" w:color="auto"/>
              <w:bottom w:val="single" w:sz="8" w:space="0" w:color="auto"/>
            </w:tcBorders>
          </w:tcPr>
          <w:p w14:paraId="22AA6EB8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Parameter</w:t>
            </w:r>
            <w:proofErr w:type="spellEnd"/>
          </w:p>
        </w:tc>
        <w:tc>
          <w:tcPr>
            <w:tcW w:w="1841" w:type="dxa"/>
            <w:tcBorders>
              <w:top w:val="single" w:sz="8" w:space="0" w:color="auto"/>
              <w:bottom w:val="single" w:sz="8" w:space="0" w:color="auto"/>
            </w:tcBorders>
          </w:tcPr>
          <w:p w14:paraId="7F665DA9" w14:textId="77777777" w:rsidR="00FA4B4D" w:rsidRPr="009B1608" w:rsidRDefault="00FA4B4D" w:rsidP="005A64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>IVC</w:t>
            </w:r>
          </w:p>
        </w:tc>
        <w:tc>
          <w:tcPr>
            <w:tcW w:w="1841" w:type="dxa"/>
            <w:tcBorders>
              <w:top w:val="single" w:sz="8" w:space="0" w:color="auto"/>
              <w:bottom w:val="single" w:sz="8" w:space="0" w:color="auto"/>
            </w:tcBorders>
          </w:tcPr>
          <w:p w14:paraId="15240DEA" w14:textId="77777777" w:rsidR="00FA4B4D" w:rsidRPr="009B1608" w:rsidRDefault="00FA4B4D" w:rsidP="005A64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Hepatic</w:t>
            </w:r>
            <w:proofErr w:type="spellEnd"/>
            <w:r w:rsidRPr="009B16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Vein</w:t>
            </w:r>
            <w:proofErr w:type="spellEnd"/>
          </w:p>
        </w:tc>
        <w:tc>
          <w:tcPr>
            <w:tcW w:w="1841" w:type="dxa"/>
            <w:tcBorders>
              <w:top w:val="single" w:sz="8" w:space="0" w:color="auto"/>
              <w:bottom w:val="single" w:sz="8" w:space="0" w:color="auto"/>
            </w:tcBorders>
          </w:tcPr>
          <w:p w14:paraId="233684AE" w14:textId="77777777" w:rsidR="00FA4B4D" w:rsidRPr="009B1608" w:rsidRDefault="00FA4B4D" w:rsidP="005A64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 xml:space="preserve">Portal </w:t>
            </w: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Vein</w:t>
            </w:r>
            <w:proofErr w:type="spellEnd"/>
          </w:p>
        </w:tc>
        <w:tc>
          <w:tcPr>
            <w:tcW w:w="1841" w:type="dxa"/>
            <w:tcBorders>
              <w:top w:val="single" w:sz="8" w:space="0" w:color="auto"/>
              <w:bottom w:val="single" w:sz="8" w:space="0" w:color="auto"/>
            </w:tcBorders>
          </w:tcPr>
          <w:p w14:paraId="7D8CC34D" w14:textId="77777777" w:rsidR="00FA4B4D" w:rsidRPr="009B1608" w:rsidRDefault="00FA4B4D" w:rsidP="005A64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1608">
              <w:rPr>
                <w:rFonts w:ascii="Times New Roman" w:hAnsi="Times New Roman" w:cs="Times New Roman"/>
                <w:b/>
                <w:bCs/>
              </w:rPr>
              <w:t xml:space="preserve">Renal </w:t>
            </w:r>
            <w:proofErr w:type="spellStart"/>
            <w:r w:rsidRPr="009B1608">
              <w:rPr>
                <w:rFonts w:ascii="Times New Roman" w:hAnsi="Times New Roman" w:cs="Times New Roman"/>
                <w:b/>
                <w:bCs/>
              </w:rPr>
              <w:t>Vein</w:t>
            </w:r>
            <w:proofErr w:type="spellEnd"/>
          </w:p>
        </w:tc>
      </w:tr>
      <w:tr w:rsidR="00FA4B4D" w:rsidRPr="009B1608" w14:paraId="1C88BEE9" w14:textId="77777777" w:rsidTr="00D100FF">
        <w:tc>
          <w:tcPr>
            <w:tcW w:w="1555" w:type="dxa"/>
            <w:tcBorders>
              <w:top w:val="single" w:sz="8" w:space="0" w:color="auto"/>
            </w:tcBorders>
          </w:tcPr>
          <w:p w14:paraId="1218A291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AUROC</w:t>
            </w:r>
          </w:p>
        </w:tc>
        <w:tc>
          <w:tcPr>
            <w:tcW w:w="1841" w:type="dxa"/>
            <w:tcBorders>
              <w:top w:val="single" w:sz="8" w:space="0" w:color="auto"/>
            </w:tcBorders>
          </w:tcPr>
          <w:p w14:paraId="5621483A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0.62 (0.48 – 0.75)</w:t>
            </w:r>
          </w:p>
        </w:tc>
        <w:tc>
          <w:tcPr>
            <w:tcW w:w="1841" w:type="dxa"/>
            <w:tcBorders>
              <w:top w:val="single" w:sz="8" w:space="0" w:color="auto"/>
            </w:tcBorders>
          </w:tcPr>
          <w:p w14:paraId="55DCB1B6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0.70 (0.56 – 0.81)</w:t>
            </w:r>
          </w:p>
        </w:tc>
        <w:tc>
          <w:tcPr>
            <w:tcW w:w="1841" w:type="dxa"/>
            <w:tcBorders>
              <w:top w:val="single" w:sz="8" w:space="0" w:color="auto"/>
            </w:tcBorders>
          </w:tcPr>
          <w:p w14:paraId="0E9A6864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0.64 (0.50 – 0.76)</w:t>
            </w:r>
          </w:p>
        </w:tc>
        <w:tc>
          <w:tcPr>
            <w:tcW w:w="1841" w:type="dxa"/>
            <w:tcBorders>
              <w:top w:val="single" w:sz="8" w:space="0" w:color="auto"/>
            </w:tcBorders>
          </w:tcPr>
          <w:p w14:paraId="54A36C90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0.68 (0.54 – 0.80)</w:t>
            </w:r>
          </w:p>
        </w:tc>
      </w:tr>
      <w:tr w:rsidR="00FA4B4D" w:rsidRPr="009B1608" w14:paraId="272240D7" w14:textId="77777777" w:rsidTr="00D100FF">
        <w:tc>
          <w:tcPr>
            <w:tcW w:w="1555" w:type="dxa"/>
          </w:tcPr>
          <w:p w14:paraId="4510A804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B1608">
              <w:rPr>
                <w:rFonts w:ascii="Times New Roman" w:hAnsi="Times New Roman" w:cs="Times New Roman"/>
              </w:rPr>
              <w:t>Cut</w:t>
            </w:r>
            <w:proofErr w:type="spellEnd"/>
            <w:r w:rsidRPr="009B1608">
              <w:rPr>
                <w:rFonts w:ascii="Times New Roman" w:hAnsi="Times New Roman" w:cs="Times New Roman"/>
              </w:rPr>
              <w:t>-off</w:t>
            </w:r>
          </w:p>
        </w:tc>
        <w:tc>
          <w:tcPr>
            <w:tcW w:w="1841" w:type="dxa"/>
          </w:tcPr>
          <w:p w14:paraId="2B0A8436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≤0</w:t>
            </w:r>
          </w:p>
        </w:tc>
        <w:tc>
          <w:tcPr>
            <w:tcW w:w="1841" w:type="dxa"/>
          </w:tcPr>
          <w:p w14:paraId="4D7ECE87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≤0</w:t>
            </w:r>
          </w:p>
        </w:tc>
        <w:tc>
          <w:tcPr>
            <w:tcW w:w="1841" w:type="dxa"/>
          </w:tcPr>
          <w:p w14:paraId="14C5F2C1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≤0</w:t>
            </w:r>
          </w:p>
        </w:tc>
        <w:tc>
          <w:tcPr>
            <w:tcW w:w="1841" w:type="dxa"/>
          </w:tcPr>
          <w:p w14:paraId="08FE8433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4B4D" w:rsidRPr="009B1608" w14:paraId="6FA4D738" w14:textId="77777777" w:rsidTr="00D100FF">
        <w:tc>
          <w:tcPr>
            <w:tcW w:w="1555" w:type="dxa"/>
          </w:tcPr>
          <w:p w14:paraId="681E474D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B1608">
              <w:rPr>
                <w:rFonts w:ascii="Times New Roman" w:hAnsi="Times New Roman" w:cs="Times New Roman"/>
              </w:rPr>
              <w:t>Sensitivity</w:t>
            </w:r>
            <w:proofErr w:type="spellEnd"/>
          </w:p>
        </w:tc>
        <w:tc>
          <w:tcPr>
            <w:tcW w:w="1841" w:type="dxa"/>
          </w:tcPr>
          <w:p w14:paraId="6CA254F3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25 (9 – 49)</w:t>
            </w:r>
          </w:p>
        </w:tc>
        <w:tc>
          <w:tcPr>
            <w:tcW w:w="1841" w:type="dxa"/>
          </w:tcPr>
          <w:p w14:paraId="2AA1D169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95 (75 – 100)</w:t>
            </w:r>
          </w:p>
        </w:tc>
        <w:tc>
          <w:tcPr>
            <w:tcW w:w="1841" w:type="dxa"/>
          </w:tcPr>
          <w:p w14:paraId="1CEB689C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75 (51 – 91)</w:t>
            </w:r>
          </w:p>
        </w:tc>
        <w:tc>
          <w:tcPr>
            <w:tcW w:w="1841" w:type="dxa"/>
          </w:tcPr>
          <w:p w14:paraId="0E18FCBF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100 (83 – 100)</w:t>
            </w:r>
          </w:p>
        </w:tc>
      </w:tr>
      <w:tr w:rsidR="00FA4B4D" w:rsidRPr="009B1608" w14:paraId="628CCC12" w14:textId="77777777" w:rsidTr="00D100FF">
        <w:tc>
          <w:tcPr>
            <w:tcW w:w="1555" w:type="dxa"/>
          </w:tcPr>
          <w:p w14:paraId="21E16327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B1608">
              <w:rPr>
                <w:rFonts w:ascii="Times New Roman" w:hAnsi="Times New Roman" w:cs="Times New Roman"/>
              </w:rPr>
              <w:t>Specificity</w:t>
            </w:r>
            <w:proofErr w:type="spellEnd"/>
          </w:p>
        </w:tc>
        <w:tc>
          <w:tcPr>
            <w:tcW w:w="1841" w:type="dxa"/>
          </w:tcPr>
          <w:p w14:paraId="5EA5808B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100 (90 – 100)</w:t>
            </w:r>
          </w:p>
        </w:tc>
        <w:tc>
          <w:tcPr>
            <w:tcW w:w="1841" w:type="dxa"/>
          </w:tcPr>
          <w:p w14:paraId="0E41493D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44 (28 – 62)</w:t>
            </w:r>
          </w:p>
        </w:tc>
        <w:tc>
          <w:tcPr>
            <w:tcW w:w="1841" w:type="dxa"/>
          </w:tcPr>
          <w:p w14:paraId="79A35C7C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50 (33 – 67)</w:t>
            </w:r>
          </w:p>
        </w:tc>
        <w:tc>
          <w:tcPr>
            <w:tcW w:w="1841" w:type="dxa"/>
          </w:tcPr>
          <w:p w14:paraId="0B1FEB26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36 (21 – 54)</w:t>
            </w:r>
          </w:p>
        </w:tc>
      </w:tr>
      <w:tr w:rsidR="00FA4B4D" w:rsidRPr="009B1608" w14:paraId="04E2C358" w14:textId="77777777" w:rsidTr="00D100FF">
        <w:tc>
          <w:tcPr>
            <w:tcW w:w="1555" w:type="dxa"/>
          </w:tcPr>
          <w:p w14:paraId="4E7DC261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+LR</w:t>
            </w:r>
          </w:p>
        </w:tc>
        <w:tc>
          <w:tcPr>
            <w:tcW w:w="1841" w:type="dxa"/>
          </w:tcPr>
          <w:p w14:paraId="4996D609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1" w:type="dxa"/>
          </w:tcPr>
          <w:p w14:paraId="3A9DE618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1.71 (1.26 – 2.33)</w:t>
            </w:r>
          </w:p>
        </w:tc>
        <w:tc>
          <w:tcPr>
            <w:tcW w:w="1841" w:type="dxa"/>
          </w:tcPr>
          <w:p w14:paraId="569103DB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1.50 (0.99 – 2.27)</w:t>
            </w:r>
          </w:p>
        </w:tc>
        <w:tc>
          <w:tcPr>
            <w:tcW w:w="1841" w:type="dxa"/>
          </w:tcPr>
          <w:p w14:paraId="144DB9EF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1.57 (1.22 – 2)</w:t>
            </w:r>
          </w:p>
        </w:tc>
      </w:tr>
      <w:tr w:rsidR="00FA4B4D" w:rsidRPr="009B1608" w14:paraId="6A634576" w14:textId="77777777" w:rsidTr="00D100FF">
        <w:tc>
          <w:tcPr>
            <w:tcW w:w="1555" w:type="dxa"/>
          </w:tcPr>
          <w:p w14:paraId="0A6CBF52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-LR</w:t>
            </w:r>
          </w:p>
        </w:tc>
        <w:tc>
          <w:tcPr>
            <w:tcW w:w="1841" w:type="dxa"/>
          </w:tcPr>
          <w:p w14:paraId="08F450AF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0.75 (0.58 – 0.97)</w:t>
            </w:r>
          </w:p>
        </w:tc>
        <w:tc>
          <w:tcPr>
            <w:tcW w:w="1841" w:type="dxa"/>
          </w:tcPr>
          <w:p w14:paraId="1FC7FD47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0.11 (0.02 – 0.79)</w:t>
            </w:r>
          </w:p>
        </w:tc>
        <w:tc>
          <w:tcPr>
            <w:tcW w:w="1841" w:type="dxa"/>
          </w:tcPr>
          <w:p w14:paraId="564C4D01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0.50 (0.22 – 1.14)</w:t>
            </w:r>
          </w:p>
        </w:tc>
        <w:tc>
          <w:tcPr>
            <w:tcW w:w="1841" w:type="dxa"/>
          </w:tcPr>
          <w:p w14:paraId="483312C1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-</w:t>
            </w:r>
          </w:p>
        </w:tc>
      </w:tr>
      <w:tr w:rsidR="00FA4B4D" w:rsidRPr="009B1608" w14:paraId="6E3351A6" w14:textId="77777777" w:rsidTr="00D100FF">
        <w:tc>
          <w:tcPr>
            <w:tcW w:w="1555" w:type="dxa"/>
          </w:tcPr>
          <w:p w14:paraId="7D6CA76A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+PV (%)</w:t>
            </w:r>
          </w:p>
        </w:tc>
        <w:tc>
          <w:tcPr>
            <w:tcW w:w="1841" w:type="dxa"/>
          </w:tcPr>
          <w:p w14:paraId="4C5F8EC2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1" w:type="dxa"/>
          </w:tcPr>
          <w:p w14:paraId="08F48F0F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49 (41 – 56)</w:t>
            </w:r>
          </w:p>
        </w:tc>
        <w:tc>
          <w:tcPr>
            <w:tcW w:w="1841" w:type="dxa"/>
          </w:tcPr>
          <w:p w14:paraId="2920D91D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45 (35 – 56)</w:t>
            </w:r>
          </w:p>
        </w:tc>
        <w:tc>
          <w:tcPr>
            <w:tcW w:w="1841" w:type="dxa"/>
          </w:tcPr>
          <w:p w14:paraId="6C35FCE2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46 (40 – 53)</w:t>
            </w:r>
          </w:p>
        </w:tc>
      </w:tr>
      <w:tr w:rsidR="00FA4B4D" w:rsidRPr="009B1608" w14:paraId="5E0D0828" w14:textId="77777777" w:rsidTr="00D100FF">
        <w:tc>
          <w:tcPr>
            <w:tcW w:w="1555" w:type="dxa"/>
            <w:tcBorders>
              <w:bottom w:val="single" w:sz="8" w:space="0" w:color="auto"/>
            </w:tcBorders>
          </w:tcPr>
          <w:p w14:paraId="41D04EB5" w14:textId="77777777" w:rsidR="00FA4B4D" w:rsidRPr="009B1608" w:rsidRDefault="00FA4B4D" w:rsidP="00D100FF">
            <w:pPr>
              <w:jc w:val="both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-PV (%)</w:t>
            </w:r>
          </w:p>
        </w:tc>
        <w:tc>
          <w:tcPr>
            <w:tcW w:w="1841" w:type="dxa"/>
            <w:tcBorders>
              <w:bottom w:val="single" w:sz="8" w:space="0" w:color="auto"/>
            </w:tcBorders>
          </w:tcPr>
          <w:p w14:paraId="6F6843E7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71 (65 – 76)</w:t>
            </w:r>
          </w:p>
        </w:tc>
        <w:tc>
          <w:tcPr>
            <w:tcW w:w="1841" w:type="dxa"/>
            <w:tcBorders>
              <w:bottom w:val="single" w:sz="8" w:space="0" w:color="auto"/>
            </w:tcBorders>
          </w:tcPr>
          <w:p w14:paraId="0E01E012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94 (70 – 99)</w:t>
            </w:r>
          </w:p>
        </w:tc>
        <w:tc>
          <w:tcPr>
            <w:tcW w:w="1841" w:type="dxa"/>
            <w:tcBorders>
              <w:bottom w:val="single" w:sz="8" w:space="0" w:color="auto"/>
            </w:tcBorders>
          </w:tcPr>
          <w:p w14:paraId="78FDBC6C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78 (61 – 89)</w:t>
            </w:r>
          </w:p>
        </w:tc>
        <w:tc>
          <w:tcPr>
            <w:tcW w:w="1841" w:type="dxa"/>
            <w:tcBorders>
              <w:bottom w:val="single" w:sz="8" w:space="0" w:color="auto"/>
            </w:tcBorders>
          </w:tcPr>
          <w:p w14:paraId="393269AE" w14:textId="77777777" w:rsidR="00FA4B4D" w:rsidRPr="009B1608" w:rsidRDefault="00FA4B4D" w:rsidP="00D100FF">
            <w:pPr>
              <w:jc w:val="center"/>
              <w:rPr>
                <w:rFonts w:ascii="Times New Roman" w:hAnsi="Times New Roman" w:cs="Times New Roman"/>
              </w:rPr>
            </w:pPr>
            <w:r w:rsidRPr="009B1608">
              <w:rPr>
                <w:rFonts w:ascii="Times New Roman" w:hAnsi="Times New Roman" w:cs="Times New Roman"/>
              </w:rPr>
              <w:t>100</w:t>
            </w:r>
          </w:p>
        </w:tc>
      </w:tr>
    </w:tbl>
    <w:p w14:paraId="34FEDF77" w14:textId="77777777" w:rsidR="00FA4B4D" w:rsidRPr="009B1608" w:rsidRDefault="00FA4B4D" w:rsidP="00D100FF">
      <w:pPr>
        <w:jc w:val="both"/>
        <w:rPr>
          <w:rFonts w:ascii="Times New Roman" w:hAnsi="Times New Roman" w:cs="Times New Roman"/>
          <w:lang w:val="en-US"/>
        </w:rPr>
      </w:pPr>
      <w:r w:rsidRPr="009B1608">
        <w:rPr>
          <w:rFonts w:ascii="Times New Roman" w:hAnsi="Times New Roman" w:cs="Times New Roman"/>
          <w:b/>
          <w:bCs/>
          <w:i/>
          <w:lang w:val="en-US"/>
        </w:rPr>
        <w:t>Abbreviations:</w:t>
      </w:r>
      <w:r w:rsidRPr="009B1608">
        <w:rPr>
          <w:rFonts w:ascii="Times New Roman" w:hAnsi="Times New Roman" w:cs="Times New Roman"/>
          <w:i/>
          <w:lang w:val="en-US"/>
        </w:rPr>
        <w:t xml:space="preserve"> CVP = central venous pressure; AUROC = area under the receiver operating characteristic curve; +LR = positive likelihood ratio; -LR = negative likelihood ratio; +PV = positive predictive value; -PV = negative predictive value.</w:t>
      </w:r>
    </w:p>
    <w:p w14:paraId="30CFB884" w14:textId="264004A2" w:rsidR="00FA4B4D" w:rsidRPr="009B1608" w:rsidRDefault="00FA4B4D" w:rsidP="00D100FF">
      <w:pPr>
        <w:jc w:val="both"/>
        <w:rPr>
          <w:rFonts w:ascii="Times New Roman" w:hAnsi="Times New Roman" w:cs="Times New Roman"/>
          <w:lang w:val="en-US"/>
        </w:rPr>
      </w:pPr>
    </w:p>
    <w:p w14:paraId="3FBBBC26" w14:textId="0EF898F9" w:rsidR="00B2440B" w:rsidRPr="009B1608" w:rsidRDefault="006071FA" w:rsidP="00D100FF">
      <w:pPr>
        <w:jc w:val="both"/>
        <w:rPr>
          <w:rFonts w:ascii="Times New Roman" w:hAnsi="Times New Roman" w:cs="Times New Roman"/>
          <w:lang w:val="en-US"/>
        </w:rPr>
      </w:pPr>
      <w:r w:rsidRPr="009B1608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72114CCA" wp14:editId="4E8719E2">
            <wp:extent cx="5669915" cy="2831465"/>
            <wp:effectExtent l="0" t="0" r="6985" b="698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283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AA90C" w14:textId="292A74FC" w:rsidR="006071FA" w:rsidRPr="009B1608" w:rsidRDefault="006071FA" w:rsidP="000F2020">
      <w:pPr>
        <w:pStyle w:val="Ttulo1"/>
        <w:jc w:val="both"/>
        <w:rPr>
          <w:rFonts w:ascii="Times New Roman" w:hAnsi="Times New Roman" w:cs="Times New Roman"/>
          <w:color w:val="auto"/>
          <w:sz w:val="12"/>
          <w:szCs w:val="12"/>
          <w:lang w:val="en-US"/>
        </w:rPr>
      </w:pPr>
      <w:bookmarkStart w:id="5" w:name="_Toc223079094"/>
      <w:r w:rsidRPr="009B1608">
        <w:rPr>
          <w:rStyle w:val="Forte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Figure S1. </w:t>
      </w:r>
      <w:r w:rsidRPr="009B1608">
        <w:rPr>
          <w:rStyle w:val="Forte"/>
          <w:rFonts w:ascii="Times New Roman" w:hAnsi="Times New Roman" w:cs="Times New Roman"/>
          <w:b w:val="0"/>
          <w:bCs w:val="0"/>
          <w:color w:val="auto"/>
          <w:sz w:val="22"/>
          <w:szCs w:val="22"/>
          <w:lang w:val="en-US"/>
        </w:rPr>
        <w:t>Receiver operating characteristic (ROC) curves of P-</w:t>
      </w:r>
      <w:proofErr w:type="spellStart"/>
      <w:r w:rsidRPr="009B1608">
        <w:rPr>
          <w:rStyle w:val="Forte"/>
          <w:rFonts w:ascii="Times New Roman" w:hAnsi="Times New Roman" w:cs="Times New Roman"/>
          <w:b w:val="0"/>
          <w:bCs w:val="0"/>
          <w:color w:val="auto"/>
          <w:sz w:val="22"/>
          <w:szCs w:val="22"/>
          <w:lang w:val="en-US"/>
        </w:rPr>
        <w:t>VExUS</w:t>
      </w:r>
      <w:proofErr w:type="spellEnd"/>
      <w:r w:rsidRPr="009B1608">
        <w:rPr>
          <w:rStyle w:val="Forte"/>
          <w:rFonts w:ascii="Times New Roman" w:hAnsi="Times New Roman" w:cs="Times New Roman"/>
          <w:b w:val="0"/>
          <w:bCs w:val="0"/>
          <w:color w:val="auto"/>
          <w:sz w:val="22"/>
          <w:szCs w:val="22"/>
          <w:lang w:val="en-US"/>
        </w:rPr>
        <w:t xml:space="preserve"> models for predicting elevated central venous pressure (CVP &gt; 12 mmHg).</w:t>
      </w:r>
      <w:r w:rsidRPr="009B1608">
        <w:rPr>
          <w:rStyle w:val="Forte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(A) P-</w:t>
      </w:r>
      <w:proofErr w:type="spellStart"/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VExUS</w:t>
      </w:r>
      <w:proofErr w:type="spellEnd"/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Model 1 (categorical grading) demonstrated an AUROC of 0.74 (95% CI 0.61–0.85, </w:t>
      </w:r>
      <w:r w:rsidRPr="009B1608">
        <w:rPr>
          <w:rStyle w:val="nfase"/>
          <w:rFonts w:ascii="Times New Roman" w:hAnsi="Times New Roman" w:cs="Times New Roman"/>
          <w:color w:val="auto"/>
          <w:sz w:val="22"/>
          <w:szCs w:val="22"/>
          <w:lang w:val="en-US"/>
        </w:rPr>
        <w:t>p</w:t>
      </w:r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= 0.001). (B) P-</w:t>
      </w:r>
      <w:proofErr w:type="spellStart"/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VExUS</w:t>
      </w:r>
      <w:proofErr w:type="spellEnd"/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Model 2 (point-based score) showed superior diagnostic accuracy, with an AUROC of 0.94 (95% CI 0.84–0.98, </w:t>
      </w:r>
      <w:r w:rsidR="001F49EE" w:rsidRPr="009B1608">
        <w:rPr>
          <w:rStyle w:val="nfase"/>
          <w:rFonts w:ascii="Times New Roman" w:hAnsi="Times New Roman" w:cs="Times New Roman"/>
          <w:color w:val="auto"/>
          <w:sz w:val="22"/>
          <w:szCs w:val="22"/>
          <w:lang w:val="en-US"/>
        </w:rPr>
        <w:t>p</w:t>
      </w:r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&lt; 0.001).</w:t>
      </w:r>
      <w:bookmarkEnd w:id="5"/>
    </w:p>
    <w:p w14:paraId="09B0C160" w14:textId="5CF7269D" w:rsidR="006071FA" w:rsidRPr="009B1608" w:rsidRDefault="006071FA" w:rsidP="00D100FF">
      <w:pPr>
        <w:jc w:val="both"/>
        <w:rPr>
          <w:rFonts w:ascii="Times New Roman" w:hAnsi="Times New Roman" w:cs="Times New Roman"/>
          <w:lang w:val="en-US"/>
        </w:rPr>
      </w:pPr>
    </w:p>
    <w:p w14:paraId="10912B5B" w14:textId="3AEA19C4" w:rsidR="006071FA" w:rsidRPr="009B1608" w:rsidRDefault="006071FA" w:rsidP="00D100FF">
      <w:pPr>
        <w:jc w:val="both"/>
        <w:rPr>
          <w:rFonts w:ascii="Times New Roman" w:hAnsi="Times New Roman" w:cs="Times New Roman"/>
          <w:lang w:val="en-US"/>
        </w:rPr>
      </w:pPr>
    </w:p>
    <w:p w14:paraId="265A4703" w14:textId="7B7F8944" w:rsidR="006071FA" w:rsidRPr="009B1608" w:rsidRDefault="006071FA" w:rsidP="00D100FF">
      <w:pPr>
        <w:jc w:val="both"/>
        <w:rPr>
          <w:rFonts w:ascii="Times New Roman" w:hAnsi="Times New Roman" w:cs="Times New Roman"/>
          <w:lang w:val="en-US"/>
        </w:rPr>
      </w:pPr>
    </w:p>
    <w:p w14:paraId="66C202CB" w14:textId="13D895E7" w:rsidR="006071FA" w:rsidRPr="009B1608" w:rsidRDefault="006071FA" w:rsidP="00D100FF">
      <w:pPr>
        <w:jc w:val="both"/>
        <w:rPr>
          <w:rFonts w:ascii="Times New Roman" w:hAnsi="Times New Roman" w:cs="Times New Roman"/>
          <w:lang w:val="en-US"/>
        </w:rPr>
      </w:pPr>
    </w:p>
    <w:p w14:paraId="76FB6CC5" w14:textId="2688C811" w:rsidR="006071FA" w:rsidRPr="009B1608" w:rsidRDefault="006071FA" w:rsidP="00D100FF">
      <w:pPr>
        <w:jc w:val="both"/>
        <w:rPr>
          <w:rFonts w:ascii="Times New Roman" w:hAnsi="Times New Roman" w:cs="Times New Roman"/>
          <w:lang w:val="en-US"/>
        </w:rPr>
      </w:pPr>
    </w:p>
    <w:p w14:paraId="064D9F34" w14:textId="65956ADA" w:rsidR="001F49EE" w:rsidRPr="009B1608" w:rsidRDefault="001F49EE" w:rsidP="00D100FF">
      <w:pPr>
        <w:jc w:val="both"/>
        <w:rPr>
          <w:rStyle w:val="Forte"/>
          <w:rFonts w:ascii="Times New Roman" w:hAnsi="Times New Roman" w:cs="Times New Roman"/>
          <w:lang w:val="en-US"/>
        </w:rPr>
      </w:pPr>
      <w:r w:rsidRPr="009B1608">
        <w:rPr>
          <w:rStyle w:val="Forte"/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30312203" wp14:editId="1896CC7A">
            <wp:extent cx="5539740" cy="5437991"/>
            <wp:effectExtent l="0" t="0" r="381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6523" cy="544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41B8B" w14:textId="58A677A7" w:rsidR="00B21911" w:rsidRPr="009B1608" w:rsidRDefault="006071FA" w:rsidP="000F2020">
      <w:pPr>
        <w:pStyle w:val="Ttulo1"/>
        <w:jc w:val="both"/>
        <w:rPr>
          <w:rStyle w:val="Forte"/>
          <w:rFonts w:ascii="Times New Roman" w:hAnsi="Times New Roman" w:cs="Times New Roman"/>
          <w:b w:val="0"/>
          <w:bCs w:val="0"/>
          <w:color w:val="auto"/>
          <w:sz w:val="22"/>
          <w:szCs w:val="22"/>
          <w:lang w:val="en-US"/>
        </w:rPr>
      </w:pPr>
      <w:bookmarkStart w:id="6" w:name="_Toc223079095"/>
      <w:r w:rsidRPr="009B1608">
        <w:rPr>
          <w:rStyle w:val="Forte"/>
          <w:rFonts w:ascii="Times New Roman" w:hAnsi="Times New Roman" w:cs="Times New Roman"/>
          <w:color w:val="auto"/>
          <w:sz w:val="22"/>
          <w:szCs w:val="22"/>
          <w:lang w:val="en-US"/>
        </w:rPr>
        <w:t>Figure S2.</w:t>
      </w:r>
      <w:r w:rsidRPr="009B1608">
        <w:rPr>
          <w:rFonts w:ascii="Times New Roman" w:hAnsi="Times New Roman" w:cs="Times New Roman"/>
          <w:color w:val="auto"/>
          <w:sz w:val="30"/>
          <w:szCs w:val="22"/>
          <w:lang w:val="en-US"/>
        </w:rPr>
        <w:t xml:space="preserve"> </w:t>
      </w:r>
      <w:r w:rsidRPr="009B1608">
        <w:rPr>
          <w:rStyle w:val="Forte"/>
          <w:rFonts w:ascii="Times New Roman" w:hAnsi="Times New Roman" w:cs="Times New Roman"/>
          <w:b w:val="0"/>
          <w:bCs w:val="0"/>
          <w:color w:val="auto"/>
          <w:sz w:val="22"/>
          <w:szCs w:val="22"/>
          <w:lang w:val="en-US"/>
        </w:rPr>
        <w:t xml:space="preserve">Receiver operating characteristic (ROC) curves for individual venous Doppler components in predicting elevated central venous pressure (CVP &gt; 12 mmHg). </w:t>
      </w:r>
      <w:r w:rsidR="00B21911" w:rsidRPr="009B1608">
        <w:rPr>
          <w:rStyle w:val="Forte"/>
          <w:rFonts w:ascii="Times New Roman" w:hAnsi="Times New Roman" w:cs="Times New Roman"/>
          <w:b w:val="0"/>
          <w:bCs w:val="0"/>
          <w:color w:val="auto"/>
          <w:sz w:val="22"/>
          <w:szCs w:val="22"/>
          <w:lang w:val="en-US"/>
        </w:rPr>
        <w:t xml:space="preserve">(A) Inferior vena cava (IVC) score, AUROC = 0.55 (95% CI 0.42–0.69, </w:t>
      </w:r>
      <w:r w:rsidR="00B21911" w:rsidRPr="009B1608">
        <w:rPr>
          <w:rStyle w:val="Forte"/>
          <w:rFonts w:ascii="Times New Roman" w:hAnsi="Times New Roman" w:cs="Times New Roman"/>
          <w:b w:val="0"/>
          <w:bCs w:val="0"/>
          <w:i/>
          <w:iCs/>
          <w:color w:val="auto"/>
          <w:sz w:val="22"/>
          <w:szCs w:val="22"/>
          <w:lang w:val="en-US"/>
        </w:rPr>
        <w:t>p</w:t>
      </w:r>
      <w:r w:rsidR="00B21911" w:rsidRPr="009B1608">
        <w:rPr>
          <w:rStyle w:val="Forte"/>
          <w:rFonts w:ascii="Times New Roman" w:hAnsi="Times New Roman" w:cs="Times New Roman"/>
          <w:b w:val="0"/>
          <w:bCs w:val="0"/>
          <w:color w:val="auto"/>
          <w:sz w:val="22"/>
          <w:szCs w:val="22"/>
          <w:lang w:val="en-US"/>
        </w:rPr>
        <w:t xml:space="preserve"> = 0.019); (B) hepatic vein score, AUROC = 0.89 (95% CI 0.77–0.96, </w:t>
      </w:r>
      <w:r w:rsidR="00B21911" w:rsidRPr="009B1608">
        <w:rPr>
          <w:rStyle w:val="Forte"/>
          <w:rFonts w:ascii="Times New Roman" w:hAnsi="Times New Roman" w:cs="Times New Roman"/>
          <w:b w:val="0"/>
          <w:bCs w:val="0"/>
          <w:i/>
          <w:iCs/>
          <w:color w:val="auto"/>
          <w:sz w:val="22"/>
          <w:szCs w:val="22"/>
          <w:lang w:val="en-US"/>
        </w:rPr>
        <w:t>p</w:t>
      </w:r>
      <w:r w:rsidR="00B21911" w:rsidRPr="009B1608">
        <w:rPr>
          <w:rStyle w:val="Forte"/>
          <w:rFonts w:ascii="Times New Roman" w:hAnsi="Times New Roman" w:cs="Times New Roman"/>
          <w:b w:val="0"/>
          <w:bCs w:val="0"/>
          <w:color w:val="auto"/>
          <w:sz w:val="22"/>
          <w:szCs w:val="22"/>
          <w:lang w:val="en-US"/>
        </w:rPr>
        <w:t xml:space="preserve"> &lt; 0.001); (C) portal vein score, AUROC = 0.80 (95% CI 0.67–0.89, </w:t>
      </w:r>
      <w:r w:rsidR="00B21911" w:rsidRPr="009B1608">
        <w:rPr>
          <w:rStyle w:val="Forte"/>
          <w:rFonts w:ascii="Times New Roman" w:hAnsi="Times New Roman" w:cs="Times New Roman"/>
          <w:b w:val="0"/>
          <w:bCs w:val="0"/>
          <w:i/>
          <w:iCs/>
          <w:color w:val="auto"/>
          <w:sz w:val="22"/>
          <w:szCs w:val="22"/>
          <w:lang w:val="en-US"/>
        </w:rPr>
        <w:t>p</w:t>
      </w:r>
      <w:r w:rsidR="00B21911" w:rsidRPr="009B1608">
        <w:rPr>
          <w:rStyle w:val="Forte"/>
          <w:rFonts w:ascii="Times New Roman" w:hAnsi="Times New Roman" w:cs="Times New Roman"/>
          <w:b w:val="0"/>
          <w:bCs w:val="0"/>
          <w:color w:val="auto"/>
          <w:sz w:val="22"/>
          <w:szCs w:val="22"/>
          <w:lang w:val="en-US"/>
        </w:rPr>
        <w:t xml:space="preserve"> &lt; 0.001); and (D) renal vein score, AUROC = 0.92 (95% CI 0.82–0.98, </w:t>
      </w:r>
      <w:r w:rsidR="00B21911" w:rsidRPr="009B1608">
        <w:rPr>
          <w:rStyle w:val="Forte"/>
          <w:rFonts w:ascii="Times New Roman" w:hAnsi="Times New Roman" w:cs="Times New Roman"/>
          <w:b w:val="0"/>
          <w:bCs w:val="0"/>
          <w:i/>
          <w:iCs/>
          <w:color w:val="auto"/>
          <w:sz w:val="22"/>
          <w:szCs w:val="22"/>
          <w:lang w:val="en-US"/>
        </w:rPr>
        <w:t>p</w:t>
      </w:r>
      <w:r w:rsidR="00B21911" w:rsidRPr="009B1608">
        <w:rPr>
          <w:rStyle w:val="Forte"/>
          <w:rFonts w:ascii="Times New Roman" w:hAnsi="Times New Roman" w:cs="Times New Roman"/>
          <w:b w:val="0"/>
          <w:bCs w:val="0"/>
          <w:color w:val="auto"/>
          <w:sz w:val="22"/>
          <w:szCs w:val="22"/>
          <w:lang w:val="en-US"/>
        </w:rPr>
        <w:t xml:space="preserve"> &lt; 0.001). Among individual sites, renal vein Doppler demonstrated the highest discriminative ability, followed by hepatic and portal veins, whereas the IVC score showed poor accuracy.</w:t>
      </w:r>
      <w:bookmarkEnd w:id="6"/>
    </w:p>
    <w:p w14:paraId="474E4868" w14:textId="213C8F3B" w:rsidR="001F49EE" w:rsidRPr="009B1608" w:rsidRDefault="001F49EE" w:rsidP="00D100FF">
      <w:pPr>
        <w:jc w:val="both"/>
        <w:rPr>
          <w:rStyle w:val="Forte"/>
          <w:rFonts w:ascii="Times New Roman" w:hAnsi="Times New Roman" w:cs="Times New Roman"/>
          <w:b w:val="0"/>
          <w:bCs w:val="0"/>
          <w:lang w:val="en-US"/>
        </w:rPr>
      </w:pPr>
    </w:p>
    <w:p w14:paraId="2B4F8EEB" w14:textId="262AA7F6" w:rsidR="001F49EE" w:rsidRPr="009B1608" w:rsidRDefault="001F49EE" w:rsidP="00D100FF">
      <w:pPr>
        <w:jc w:val="both"/>
        <w:rPr>
          <w:rStyle w:val="Forte"/>
          <w:rFonts w:ascii="Times New Roman" w:hAnsi="Times New Roman" w:cs="Times New Roman"/>
          <w:b w:val="0"/>
          <w:bCs w:val="0"/>
          <w:lang w:val="en-US"/>
        </w:rPr>
      </w:pPr>
    </w:p>
    <w:p w14:paraId="4D7A52FF" w14:textId="3D164D32" w:rsidR="001F49EE" w:rsidRPr="009B1608" w:rsidRDefault="001F49EE" w:rsidP="00D100FF">
      <w:pPr>
        <w:jc w:val="both"/>
        <w:rPr>
          <w:rStyle w:val="Forte"/>
          <w:rFonts w:ascii="Times New Roman" w:hAnsi="Times New Roman" w:cs="Times New Roman"/>
          <w:b w:val="0"/>
          <w:bCs w:val="0"/>
          <w:lang w:val="en-US"/>
        </w:rPr>
      </w:pPr>
      <w:r w:rsidRPr="009B1608">
        <w:rPr>
          <w:rStyle w:val="Forte"/>
          <w:rFonts w:ascii="Times New Roman" w:hAnsi="Times New Roman" w:cs="Times New Roman"/>
          <w:b w:val="0"/>
          <w:bCs w:val="0"/>
          <w:noProof/>
          <w:lang w:val="en-US"/>
        </w:rPr>
        <w:lastRenderedPageBreak/>
        <w:drawing>
          <wp:inline distT="0" distB="0" distL="0" distR="0" wp14:anchorId="6AEB9C0B" wp14:editId="4BA50511">
            <wp:extent cx="5669915" cy="2726690"/>
            <wp:effectExtent l="0" t="0" r="698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272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6F1E1" w14:textId="45508C10" w:rsidR="00BB7E62" w:rsidRPr="009B1608" w:rsidRDefault="001F49EE" w:rsidP="00973258">
      <w:pPr>
        <w:pStyle w:val="NormalWeb"/>
        <w:jc w:val="both"/>
        <w:outlineLvl w:val="0"/>
        <w:rPr>
          <w:sz w:val="22"/>
          <w:szCs w:val="22"/>
          <w:lang w:val="en-US"/>
        </w:rPr>
      </w:pPr>
      <w:bookmarkStart w:id="7" w:name="_Toc223079096"/>
      <w:r w:rsidRPr="009B1608">
        <w:rPr>
          <w:rStyle w:val="Forte"/>
          <w:rFonts w:eastAsiaTheme="majorEastAsia"/>
          <w:sz w:val="22"/>
          <w:szCs w:val="22"/>
          <w:lang w:val="en-US"/>
        </w:rPr>
        <w:t>Figure S3.</w:t>
      </w:r>
      <w:r w:rsidRPr="009B1608">
        <w:rPr>
          <w:sz w:val="22"/>
          <w:szCs w:val="22"/>
          <w:lang w:val="en-US"/>
        </w:rPr>
        <w:t xml:space="preserve"> Receiver operating characteristic (ROC) curves for predicting low central venous pressure (CVP &lt; 7 mmHg) using two P-</w:t>
      </w:r>
      <w:proofErr w:type="spellStart"/>
      <w:r w:rsidRPr="009B1608">
        <w:rPr>
          <w:sz w:val="22"/>
          <w:szCs w:val="22"/>
          <w:lang w:val="en-US"/>
        </w:rPr>
        <w:t>VExUS</w:t>
      </w:r>
      <w:proofErr w:type="spellEnd"/>
      <w:r w:rsidRPr="009B1608">
        <w:rPr>
          <w:sz w:val="22"/>
          <w:szCs w:val="22"/>
          <w:lang w:val="en-US"/>
        </w:rPr>
        <w:t xml:space="preserve"> models. </w:t>
      </w:r>
      <w:r w:rsidR="00BB7E62" w:rsidRPr="009B1608">
        <w:rPr>
          <w:sz w:val="22"/>
          <w:szCs w:val="22"/>
          <w:lang w:val="en-US"/>
        </w:rPr>
        <w:t>(A) P-</w:t>
      </w:r>
      <w:proofErr w:type="spellStart"/>
      <w:r w:rsidR="00BB7E62" w:rsidRPr="009B1608">
        <w:rPr>
          <w:sz w:val="22"/>
          <w:szCs w:val="22"/>
          <w:lang w:val="en-US"/>
        </w:rPr>
        <w:t>VExUS</w:t>
      </w:r>
      <w:proofErr w:type="spellEnd"/>
      <w:r w:rsidR="00BB7E62" w:rsidRPr="009B1608">
        <w:rPr>
          <w:sz w:val="22"/>
          <w:szCs w:val="22"/>
          <w:lang w:val="en-US"/>
        </w:rPr>
        <w:t xml:space="preserve"> model 1 (categorical grading) demonstrated an AUROC of 0.69 (95% CI 0.55–0.81, </w:t>
      </w:r>
      <w:r w:rsidR="00BB7E62" w:rsidRPr="009B1608">
        <w:rPr>
          <w:i/>
          <w:iCs/>
          <w:sz w:val="22"/>
          <w:szCs w:val="22"/>
          <w:lang w:val="en-US"/>
        </w:rPr>
        <w:t>p</w:t>
      </w:r>
      <w:r w:rsidR="00BB7E62" w:rsidRPr="009B1608">
        <w:rPr>
          <w:sz w:val="22"/>
          <w:szCs w:val="22"/>
          <w:lang w:val="en-US"/>
        </w:rPr>
        <w:t xml:space="preserve"> &lt; 0.001). (B) P-</w:t>
      </w:r>
      <w:proofErr w:type="spellStart"/>
      <w:r w:rsidR="00BB7E62" w:rsidRPr="009B1608">
        <w:rPr>
          <w:sz w:val="22"/>
          <w:szCs w:val="22"/>
          <w:lang w:val="en-US"/>
        </w:rPr>
        <w:t>VExUS</w:t>
      </w:r>
      <w:proofErr w:type="spellEnd"/>
      <w:r w:rsidR="00BB7E62" w:rsidRPr="009B1608">
        <w:rPr>
          <w:sz w:val="22"/>
          <w:szCs w:val="22"/>
          <w:lang w:val="en-US"/>
        </w:rPr>
        <w:t xml:space="preserve"> model 2 (point-based score) achieved higher accuracy, with an AUROC of 0.80 (95% CI 0.67–0.89, </w:t>
      </w:r>
      <w:r w:rsidR="00BB7E62" w:rsidRPr="009B1608">
        <w:rPr>
          <w:i/>
          <w:iCs/>
          <w:sz w:val="22"/>
          <w:szCs w:val="22"/>
          <w:lang w:val="en-US"/>
        </w:rPr>
        <w:t>p</w:t>
      </w:r>
      <w:r w:rsidR="00BB7E62" w:rsidRPr="009B1608">
        <w:rPr>
          <w:sz w:val="22"/>
          <w:szCs w:val="22"/>
          <w:lang w:val="en-US"/>
        </w:rPr>
        <w:t xml:space="preserve"> &lt; 0.001). Model 2 showed significantly better discriminative performance compared to model 1 (</w:t>
      </w:r>
      <w:r w:rsidR="00BB7E62" w:rsidRPr="009B1608">
        <w:rPr>
          <w:i/>
          <w:iCs/>
          <w:sz w:val="22"/>
          <w:szCs w:val="22"/>
          <w:lang w:val="en-US"/>
        </w:rPr>
        <w:t>p</w:t>
      </w:r>
      <w:r w:rsidR="00BB7E62" w:rsidRPr="009B1608">
        <w:rPr>
          <w:sz w:val="22"/>
          <w:szCs w:val="22"/>
          <w:lang w:val="en-US"/>
        </w:rPr>
        <w:t xml:space="preserve"> = 0.02).</w:t>
      </w:r>
      <w:bookmarkEnd w:id="7"/>
    </w:p>
    <w:p w14:paraId="1B9C501B" w14:textId="692B5517" w:rsidR="001F49EE" w:rsidRPr="009B1608" w:rsidRDefault="001F49EE" w:rsidP="00D100FF">
      <w:pPr>
        <w:jc w:val="both"/>
        <w:rPr>
          <w:rStyle w:val="Forte"/>
          <w:rFonts w:ascii="Times New Roman" w:hAnsi="Times New Roman" w:cs="Times New Roman"/>
          <w:b w:val="0"/>
          <w:bCs w:val="0"/>
          <w:lang w:val="en-US"/>
        </w:rPr>
      </w:pPr>
      <w:r w:rsidRPr="009B1608">
        <w:rPr>
          <w:rStyle w:val="Forte"/>
          <w:rFonts w:ascii="Times New Roman" w:hAnsi="Times New Roman" w:cs="Times New Roman"/>
          <w:b w:val="0"/>
          <w:bCs w:val="0"/>
          <w:noProof/>
          <w:lang w:val="en-US"/>
        </w:rPr>
        <w:lastRenderedPageBreak/>
        <w:drawing>
          <wp:inline distT="0" distB="0" distL="0" distR="0" wp14:anchorId="01DBA9C9" wp14:editId="70F103CA">
            <wp:extent cx="5669915" cy="5210810"/>
            <wp:effectExtent l="0" t="0" r="6985" b="889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521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C452C" w14:textId="72631B6D" w:rsidR="001F49EE" w:rsidRDefault="001F49EE" w:rsidP="000F2020">
      <w:pPr>
        <w:pStyle w:val="Ttulo1"/>
        <w:jc w:val="both"/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bookmarkStart w:id="8" w:name="_Toc223079097"/>
      <w:r w:rsidRPr="009B1608">
        <w:rPr>
          <w:rStyle w:val="Forte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Figure S4. </w:t>
      </w:r>
      <w:r w:rsidRPr="009B1608">
        <w:rPr>
          <w:rStyle w:val="Forte"/>
          <w:rFonts w:ascii="Times New Roman" w:hAnsi="Times New Roman" w:cs="Times New Roman"/>
          <w:b w:val="0"/>
          <w:bCs w:val="0"/>
          <w:color w:val="auto"/>
          <w:sz w:val="22"/>
          <w:szCs w:val="22"/>
          <w:lang w:val="en-US"/>
        </w:rPr>
        <w:t>Receiver operating characteristic (ROC) curves of individual venous Doppler components for predicting low central venous pressure (CVP &lt; 7 mmHg).</w:t>
      </w:r>
      <w:r w:rsidRPr="009B1608">
        <w:rPr>
          <w:rStyle w:val="Forte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(A) Inferior </w:t>
      </w:r>
      <w:proofErr w:type="spellStart"/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vena</w:t>
      </w:r>
      <w:proofErr w:type="spellEnd"/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cava (IVC) score, AUROC = 0.62 (95% CI 0.48–0.75, </w:t>
      </w:r>
      <w:r w:rsidRPr="009B1608">
        <w:rPr>
          <w:rStyle w:val="nfase"/>
          <w:rFonts w:ascii="Times New Roman" w:hAnsi="Times New Roman" w:cs="Times New Roman"/>
          <w:color w:val="auto"/>
          <w:sz w:val="22"/>
          <w:szCs w:val="22"/>
        </w:rPr>
        <w:t>p</w:t>
      </w:r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= 0.012). (B) </w:t>
      </w:r>
      <w:proofErr w:type="spellStart"/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Hepatic</w:t>
      </w:r>
      <w:proofErr w:type="spellEnd"/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vein</w:t>
      </w:r>
      <w:proofErr w:type="spellEnd"/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score, AUROC = 0.70 (95% CI 0.56–0.81, </w:t>
      </w:r>
      <w:r w:rsidRPr="009B1608">
        <w:rPr>
          <w:rStyle w:val="nfase"/>
          <w:rFonts w:ascii="Times New Roman" w:hAnsi="Times New Roman" w:cs="Times New Roman"/>
          <w:color w:val="auto"/>
          <w:sz w:val="22"/>
          <w:szCs w:val="22"/>
        </w:rPr>
        <w:t>p</w:t>
      </w:r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&lt; 0.001). (C) Portal </w:t>
      </w:r>
      <w:proofErr w:type="spellStart"/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vein</w:t>
      </w:r>
      <w:proofErr w:type="spellEnd"/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score, AUROC = 0.64 (95% CI 0.50–0.76, </w:t>
      </w:r>
      <w:r w:rsidRPr="009B1608">
        <w:rPr>
          <w:rStyle w:val="nfase"/>
          <w:rFonts w:ascii="Times New Roman" w:hAnsi="Times New Roman" w:cs="Times New Roman"/>
          <w:color w:val="auto"/>
          <w:sz w:val="22"/>
          <w:szCs w:val="22"/>
        </w:rPr>
        <w:t>p</w:t>
      </w:r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= 0.033). (D) Renal </w:t>
      </w:r>
      <w:proofErr w:type="spellStart"/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vein</w:t>
      </w:r>
      <w:proofErr w:type="spellEnd"/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score, AUROC = 0.68 (95% CI 0.54–0.80, </w:t>
      </w:r>
      <w:r w:rsidRPr="009B1608">
        <w:rPr>
          <w:rStyle w:val="nfase"/>
          <w:rFonts w:ascii="Times New Roman" w:hAnsi="Times New Roman" w:cs="Times New Roman"/>
          <w:color w:val="auto"/>
          <w:sz w:val="22"/>
          <w:szCs w:val="22"/>
        </w:rPr>
        <w:t>p</w:t>
      </w:r>
      <w:r w:rsidRPr="009B1608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&lt; 0.001).</w:t>
      </w:r>
      <w:bookmarkEnd w:id="8"/>
    </w:p>
    <w:p w14:paraId="45B19727" w14:textId="77777777" w:rsidR="009F6B98" w:rsidRDefault="009F6B98" w:rsidP="009F6B98"/>
    <w:p w14:paraId="3262979A" w14:textId="77777777" w:rsidR="009F6B98" w:rsidRDefault="009F6B98" w:rsidP="009F6B98"/>
    <w:p w14:paraId="4CC58A26" w14:textId="527A7182" w:rsidR="009F6B98" w:rsidRDefault="0005147A" w:rsidP="009F6B98">
      <w:r w:rsidRPr="0005147A">
        <w:lastRenderedPageBreak/>
        <w:drawing>
          <wp:inline distT="0" distB="0" distL="0" distR="0" wp14:anchorId="3E615D45" wp14:editId="1CAB41F8">
            <wp:extent cx="5669915" cy="2108200"/>
            <wp:effectExtent l="0" t="0" r="6985" b="6350"/>
            <wp:docPr id="1903634884" name="Imagem 1" descr="Gráfico, Gráfico de linhas, Gráfico de caixa estrei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634884" name="Imagem 1" descr="Gráfico, Gráfico de linhas, Gráfico de caixa estreita&#10;&#10;O conteúdo gerado por IA pode estar incorreto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C1EB4" w14:textId="1A956311" w:rsidR="009F6B98" w:rsidRPr="0005147A" w:rsidRDefault="0005147A" w:rsidP="00B56993">
      <w:pPr>
        <w:pStyle w:val="Ttulo1"/>
        <w:jc w:val="both"/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bookmarkStart w:id="9" w:name="_Toc223079098"/>
      <w:r w:rsidRPr="0005147A">
        <w:rPr>
          <w:rStyle w:val="nfase"/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Figure S</w:t>
      </w:r>
      <w:r w:rsidRPr="0005147A">
        <w:rPr>
          <w:rStyle w:val="nfase"/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5</w:t>
      </w:r>
      <w:r w:rsidRPr="0005147A">
        <w:rPr>
          <w:rStyle w:val="nfase"/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05147A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9F6B98" w:rsidRPr="0005147A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Distribution of invasively measured central venous pressure (CVP) across P-</w:t>
      </w:r>
      <w:proofErr w:type="spellStart"/>
      <w:r w:rsidR="009F6B98" w:rsidRPr="0005147A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VExUS</w:t>
      </w:r>
      <w:proofErr w:type="spellEnd"/>
      <w:r w:rsidR="009F6B98" w:rsidRPr="0005147A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Model 1 grades (</w:t>
      </w:r>
      <w:r w:rsidR="009F6B98" w:rsidRPr="0005147A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A</w:t>
      </w:r>
      <w:r w:rsidR="009F6B98" w:rsidRPr="0005147A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) and P-</w:t>
      </w:r>
      <w:proofErr w:type="spellStart"/>
      <w:r w:rsidR="009F6B98" w:rsidRPr="0005147A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VExUS</w:t>
      </w:r>
      <w:proofErr w:type="spellEnd"/>
      <w:r w:rsidR="009F6B98" w:rsidRPr="0005147A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Model 2 scores (</w:t>
      </w:r>
      <w:r w:rsidR="009F6B98" w:rsidRPr="0005147A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B</w:t>
      </w:r>
      <w:r w:rsidR="009F6B98" w:rsidRPr="0005147A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). Each point represents </w:t>
      </w:r>
      <w:proofErr w:type="spellStart"/>
      <w:r w:rsidR="009F6B98" w:rsidRPr="0005147A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an</w:t>
      </w:r>
      <w:proofErr w:type="spellEnd"/>
      <w:r w:rsidR="009F6B98" w:rsidRPr="0005147A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individual </w:t>
      </w:r>
      <w:proofErr w:type="spellStart"/>
      <w:r w:rsidR="009F6B98" w:rsidRPr="0005147A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patient</w:t>
      </w:r>
      <w:proofErr w:type="spellEnd"/>
      <w:r w:rsidR="009F6B98" w:rsidRPr="0005147A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="009F6B98" w:rsidRPr="0005147A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measurement</w:t>
      </w:r>
      <w:proofErr w:type="spellEnd"/>
      <w:r w:rsidR="009F6B98" w:rsidRPr="0005147A">
        <w:rPr>
          <w:rStyle w:val="nfase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  <w:bookmarkEnd w:id="9"/>
    </w:p>
    <w:sectPr w:rsidR="009F6B98" w:rsidRPr="0005147A" w:rsidSect="00555193">
      <w:footerReference w:type="default" r:id="rId13"/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2E2E4" w14:textId="77777777" w:rsidR="004C0462" w:rsidRDefault="004C0462" w:rsidP="00FB49B5">
      <w:pPr>
        <w:spacing w:after="0" w:line="240" w:lineRule="auto"/>
      </w:pPr>
      <w:r>
        <w:separator/>
      </w:r>
    </w:p>
  </w:endnote>
  <w:endnote w:type="continuationSeparator" w:id="0">
    <w:p w14:paraId="6BC8ED00" w14:textId="77777777" w:rsidR="004C0462" w:rsidRDefault="004C0462" w:rsidP="00FB4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7582074"/>
      <w:docPartObj>
        <w:docPartGallery w:val="Page Numbers (Bottom of Page)"/>
        <w:docPartUnique/>
      </w:docPartObj>
    </w:sdtPr>
    <w:sdtContent>
      <w:p w14:paraId="302C3B0F" w14:textId="77777777" w:rsidR="00FB49B5" w:rsidRDefault="00FB49B5">
        <w:pPr>
          <w:pStyle w:val="Rodap"/>
          <w:jc w:val="right"/>
        </w:pPr>
      </w:p>
      <w:p w14:paraId="0F8CD9C7" w14:textId="3039B046" w:rsidR="00FB49B5" w:rsidRDefault="00FB49B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9E416A" w14:textId="77777777" w:rsidR="00FB49B5" w:rsidRDefault="00FB49B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B8135" w14:textId="77777777" w:rsidR="004C0462" w:rsidRDefault="004C0462" w:rsidP="00FB49B5">
      <w:pPr>
        <w:spacing w:after="0" w:line="240" w:lineRule="auto"/>
      </w:pPr>
      <w:r>
        <w:separator/>
      </w:r>
    </w:p>
  </w:footnote>
  <w:footnote w:type="continuationSeparator" w:id="0">
    <w:p w14:paraId="4BCA5EBC" w14:textId="77777777" w:rsidR="004C0462" w:rsidRDefault="004C0462" w:rsidP="00FB49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07CEA"/>
    <w:multiLevelType w:val="hybridMultilevel"/>
    <w:tmpl w:val="88989640"/>
    <w:lvl w:ilvl="0" w:tplc="F9B2A66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i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054E2"/>
    <w:multiLevelType w:val="multilevel"/>
    <w:tmpl w:val="AD8688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999962">
    <w:abstractNumId w:val="1"/>
  </w:num>
  <w:num w:numId="2" w16cid:durableId="1323969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93"/>
    <w:rsid w:val="0005147A"/>
    <w:rsid w:val="000F2020"/>
    <w:rsid w:val="0014607A"/>
    <w:rsid w:val="001F49EE"/>
    <w:rsid w:val="00325057"/>
    <w:rsid w:val="00347E5D"/>
    <w:rsid w:val="00393309"/>
    <w:rsid w:val="004058AC"/>
    <w:rsid w:val="00415DD2"/>
    <w:rsid w:val="00452561"/>
    <w:rsid w:val="004C0462"/>
    <w:rsid w:val="004E0B75"/>
    <w:rsid w:val="005114A2"/>
    <w:rsid w:val="00555193"/>
    <w:rsid w:val="005A643B"/>
    <w:rsid w:val="005C3E9D"/>
    <w:rsid w:val="006071FA"/>
    <w:rsid w:val="00616CA7"/>
    <w:rsid w:val="00661FE0"/>
    <w:rsid w:val="00767BD6"/>
    <w:rsid w:val="00820BFB"/>
    <w:rsid w:val="00886CCD"/>
    <w:rsid w:val="008D7645"/>
    <w:rsid w:val="00930974"/>
    <w:rsid w:val="00973258"/>
    <w:rsid w:val="009744EE"/>
    <w:rsid w:val="009B1608"/>
    <w:rsid w:val="009B2877"/>
    <w:rsid w:val="009F6B98"/>
    <w:rsid w:val="00A4756A"/>
    <w:rsid w:val="00B21911"/>
    <w:rsid w:val="00B2440B"/>
    <w:rsid w:val="00B56993"/>
    <w:rsid w:val="00BB7E62"/>
    <w:rsid w:val="00BD6611"/>
    <w:rsid w:val="00C27088"/>
    <w:rsid w:val="00D100FF"/>
    <w:rsid w:val="00D721EF"/>
    <w:rsid w:val="00FA4B4D"/>
    <w:rsid w:val="00FB49B5"/>
    <w:rsid w:val="00FE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F987A"/>
  <w15:chartTrackingRefBased/>
  <w15:docId w15:val="{EA0497C9-A2AF-478B-B85C-BAFC7B58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55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55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551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55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551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551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551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551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551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551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551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551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5519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5519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551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5519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551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551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551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55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55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55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551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5519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5519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5519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551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5519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5519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555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6071FA"/>
    <w:rPr>
      <w:b/>
      <w:bCs/>
    </w:rPr>
  </w:style>
  <w:style w:type="character" w:styleId="nfase">
    <w:name w:val="Emphasis"/>
    <w:basedOn w:val="Fontepargpadro"/>
    <w:uiPriority w:val="20"/>
    <w:qFormat/>
    <w:rsid w:val="006071F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F4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doSumrio">
    <w:name w:val="TOC Heading"/>
    <w:basedOn w:val="Ttulo1"/>
    <w:next w:val="Normal"/>
    <w:uiPriority w:val="39"/>
    <w:unhideWhenUsed/>
    <w:qFormat/>
    <w:rsid w:val="00973258"/>
    <w:pPr>
      <w:spacing w:before="240" w:after="0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973258"/>
    <w:pPr>
      <w:spacing w:after="100"/>
    </w:pPr>
  </w:style>
  <w:style w:type="character" w:styleId="Hyperlink">
    <w:name w:val="Hyperlink"/>
    <w:basedOn w:val="Fontepargpadro"/>
    <w:uiPriority w:val="99"/>
    <w:unhideWhenUsed/>
    <w:rsid w:val="00973258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FB49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49B5"/>
  </w:style>
  <w:style w:type="paragraph" w:styleId="Rodap">
    <w:name w:val="footer"/>
    <w:basedOn w:val="Normal"/>
    <w:link w:val="RodapChar"/>
    <w:uiPriority w:val="99"/>
    <w:unhideWhenUsed/>
    <w:rsid w:val="00FB49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B49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8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1745D-6FC5-4799-A61D-C3ACD9EA6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8</Pages>
  <Words>1540</Words>
  <Characters>8321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Tiago Henrique de Souza</dc:creator>
  <cp:keywords/>
  <dc:description/>
  <cp:lastModifiedBy>Tiago Henrique de Souza</cp:lastModifiedBy>
  <cp:revision>33</cp:revision>
  <dcterms:created xsi:type="dcterms:W3CDTF">2025-08-18T00:31:00Z</dcterms:created>
  <dcterms:modified xsi:type="dcterms:W3CDTF">2026-02-27T13:06:00Z</dcterms:modified>
</cp:coreProperties>
</file>