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C06" w:rsidRPr="00F37329" w:rsidRDefault="003D4C06" w:rsidP="003D4C06">
      <w:pPr>
        <w:pStyle w:val="EndNoteBibliography"/>
      </w:pPr>
    </w:p>
    <w:tbl>
      <w:tblPr>
        <w:tblStyle w:val="GridTable4-Accent1"/>
        <w:tblpPr w:leftFromText="141" w:rightFromText="141" w:horzAnchor="margin" w:tblpY="223"/>
        <w:tblW w:w="6658" w:type="dxa"/>
        <w:tblLook w:val="0420" w:firstRow="1" w:lastRow="0" w:firstColumn="0" w:lastColumn="0" w:noHBand="0" w:noVBand="1"/>
      </w:tblPr>
      <w:tblGrid>
        <w:gridCol w:w="5473"/>
        <w:gridCol w:w="1185"/>
      </w:tblGrid>
      <w:tr w:rsidR="003D4C06" w:rsidRPr="00B00BB2" w:rsidTr="00BD7D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5473" w:type="dxa"/>
            <w:tcBorders>
              <w:right w:val="single" w:sz="4" w:space="0" w:color="5B9BD5" w:themeColor="accent1"/>
            </w:tcBorders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  <w:lang w:val="en-US"/>
              </w:rPr>
            </w:pPr>
            <w:r w:rsidRPr="00B00BB2">
              <w:rPr>
                <w:sz w:val="20"/>
                <w:szCs w:val="20"/>
                <w:lang w:val="en-US"/>
              </w:rPr>
              <w:t>Subgroup of t-AML, n=23</w:t>
            </w:r>
          </w:p>
        </w:tc>
        <w:tc>
          <w:tcPr>
            <w:tcW w:w="1185" w:type="dxa"/>
            <w:tcBorders>
              <w:left w:val="single" w:sz="4" w:space="0" w:color="5B9BD5" w:themeColor="accent1"/>
            </w:tcBorders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 (%)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B00BB2">
              <w:rPr>
                <w:b/>
                <w:bCs/>
                <w:sz w:val="20"/>
                <w:szCs w:val="20"/>
              </w:rPr>
              <w:t xml:space="preserve">Primary disease 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</w:p>
        </w:tc>
      </w:tr>
      <w:tr w:rsidR="003D4C06" w:rsidRPr="00B00BB2" w:rsidTr="00BD7D33">
        <w:trPr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ind w:left="283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Non-hodgkin lymphoma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(21.7)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ind w:lef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Hodgkin’s disease 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(13)</w:t>
            </w:r>
          </w:p>
        </w:tc>
      </w:tr>
      <w:tr w:rsidR="003D4C06" w:rsidRPr="00B00BB2" w:rsidTr="00BD7D33">
        <w:trPr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ind w:left="283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Breast cancer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 (47.8)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ind w:lef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 lymphatic le</w:t>
            </w:r>
            <w:bookmarkStart w:id="0" w:name="_GoBack"/>
            <w:r>
              <w:rPr>
                <w:sz w:val="20"/>
                <w:szCs w:val="20"/>
              </w:rPr>
              <w:t>u</w:t>
            </w:r>
            <w:bookmarkEnd w:id="0"/>
            <w:r>
              <w:rPr>
                <w:sz w:val="20"/>
                <w:szCs w:val="20"/>
              </w:rPr>
              <w:t xml:space="preserve">kemia 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(4.3)</w:t>
            </w:r>
          </w:p>
        </w:tc>
      </w:tr>
      <w:tr w:rsidR="003D4C06" w:rsidRPr="00B00BB2" w:rsidTr="00BD7D33">
        <w:trPr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ind w:left="283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Crohn's disease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(8.6)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ind w:left="283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 xml:space="preserve">Rectal cancer 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(4.3)</w:t>
            </w:r>
          </w:p>
        </w:tc>
      </w:tr>
      <w:tr w:rsidR="003D4C06" w:rsidRPr="00B00BB2" w:rsidTr="00BD7D33">
        <w:trPr>
          <w:trHeight w:val="282"/>
        </w:trPr>
        <w:tc>
          <w:tcPr>
            <w:tcW w:w="5473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  <w:lang w:val="en-US"/>
              </w:rPr>
            </w:pPr>
            <w:r w:rsidRPr="00B00BB2">
              <w:rPr>
                <w:sz w:val="20"/>
                <w:szCs w:val="20"/>
                <w:lang w:val="en-US"/>
              </w:rPr>
              <w:t xml:space="preserve">Median time from end of primary treatment to AML onset, month </w:t>
            </w:r>
            <w:r>
              <w:rPr>
                <w:sz w:val="20"/>
                <w:szCs w:val="20"/>
                <w:lang w:val="en-US"/>
              </w:rPr>
              <w:t>[</w:t>
            </w:r>
            <w:r w:rsidRPr="00B00BB2">
              <w:rPr>
                <w:sz w:val="20"/>
                <w:szCs w:val="20"/>
                <w:lang w:val="en-US"/>
              </w:rPr>
              <w:t>range</w:t>
            </w:r>
            <w:r>
              <w:rPr>
                <w:sz w:val="20"/>
                <w:szCs w:val="20"/>
                <w:lang w:val="en-US"/>
              </w:rPr>
              <w:t>]</w:t>
            </w:r>
          </w:p>
        </w:tc>
        <w:tc>
          <w:tcPr>
            <w:tcW w:w="1185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 xml:space="preserve">30 </w:t>
            </w:r>
            <w:r>
              <w:rPr>
                <w:sz w:val="20"/>
                <w:szCs w:val="20"/>
              </w:rPr>
              <w:t>[</w:t>
            </w:r>
            <w:r w:rsidRPr="00B00BB2">
              <w:rPr>
                <w:sz w:val="20"/>
                <w:szCs w:val="20"/>
              </w:rPr>
              <w:t>0-100</w:t>
            </w:r>
            <w:r>
              <w:rPr>
                <w:sz w:val="20"/>
                <w:szCs w:val="20"/>
              </w:rPr>
              <w:t>]</w:t>
            </w:r>
          </w:p>
        </w:tc>
      </w:tr>
    </w:tbl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Default="003D4C06" w:rsidP="003D4C06">
      <w:pPr>
        <w:pStyle w:val="EndNoteBibliography"/>
        <w:rPr>
          <w:b/>
          <w:bCs/>
          <w:sz w:val="20"/>
          <w:szCs w:val="20"/>
        </w:rPr>
      </w:pPr>
    </w:p>
    <w:p w:rsidR="003D4C06" w:rsidRPr="00B00BB2" w:rsidRDefault="003D4C06" w:rsidP="003D4C06">
      <w:pPr>
        <w:pStyle w:val="EndNoteBibliography"/>
        <w:rPr>
          <w:sz w:val="20"/>
          <w:szCs w:val="20"/>
        </w:rPr>
      </w:pPr>
      <w:r w:rsidRPr="00C447EB">
        <w:rPr>
          <w:b/>
          <w:bCs/>
          <w:sz w:val="20"/>
          <w:szCs w:val="20"/>
        </w:rPr>
        <w:t>Table S1</w:t>
      </w:r>
      <w:r w:rsidRPr="00B00BB2">
        <w:rPr>
          <w:sz w:val="20"/>
          <w:szCs w:val="20"/>
        </w:rPr>
        <w:t>: Overview about antecedent primary diseases before AML onset</w:t>
      </w:r>
      <w:r>
        <w:rPr>
          <w:sz w:val="20"/>
          <w:szCs w:val="20"/>
        </w:rPr>
        <w:t>.</w:t>
      </w:r>
    </w:p>
    <w:p w:rsidR="003D4C06" w:rsidRDefault="003D4C06" w:rsidP="003D4C06">
      <w:pPr>
        <w:pStyle w:val="EndNoteBibliography"/>
      </w:pPr>
    </w:p>
    <w:tbl>
      <w:tblPr>
        <w:tblStyle w:val="GridTable4-Accent1"/>
        <w:tblW w:w="5098" w:type="dxa"/>
        <w:tblLook w:val="0420" w:firstRow="1" w:lastRow="0" w:firstColumn="0" w:lastColumn="0" w:noHBand="0" w:noVBand="1"/>
      </w:tblPr>
      <w:tblGrid>
        <w:gridCol w:w="3820"/>
        <w:gridCol w:w="1278"/>
      </w:tblGrid>
      <w:tr w:rsidR="003D4C06" w:rsidRPr="00E56E85" w:rsidTr="00BD7D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3820" w:type="dxa"/>
            <w:tcBorders>
              <w:right w:val="single" w:sz="4" w:space="0" w:color="5B9BD5" w:themeColor="accent1"/>
            </w:tcBorders>
            <w:hideMark/>
          </w:tcPr>
          <w:p w:rsidR="003D4C06" w:rsidRPr="00B00BB2" w:rsidRDefault="003D4C06" w:rsidP="00BD7D33">
            <w:pPr>
              <w:pStyle w:val="NoSpacing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B00BB2">
              <w:rPr>
                <w:sz w:val="20"/>
                <w:szCs w:val="20"/>
                <w:lang w:val="en-US"/>
              </w:rPr>
              <w:t xml:space="preserve">Cytogenetic remission of </w:t>
            </w:r>
            <w:r>
              <w:rPr>
                <w:sz w:val="20"/>
                <w:szCs w:val="20"/>
                <w:lang w:val="en-US"/>
              </w:rPr>
              <w:t>pts</w:t>
            </w:r>
            <w:r w:rsidRPr="00B00BB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with</w:t>
            </w:r>
            <w:r w:rsidRPr="00B00BB2">
              <w:rPr>
                <w:sz w:val="20"/>
                <w:szCs w:val="20"/>
                <w:lang w:val="en-US"/>
              </w:rPr>
              <w:t xml:space="preserve"> CR/CRi following to induction chemotherapy, n=68</w:t>
            </w:r>
          </w:p>
        </w:tc>
        <w:tc>
          <w:tcPr>
            <w:tcW w:w="1278" w:type="dxa"/>
            <w:tcBorders>
              <w:left w:val="single" w:sz="4" w:space="0" w:color="5B9BD5" w:themeColor="accent1"/>
            </w:tcBorders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 (%)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FISH applicable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 xml:space="preserve">37 </w:t>
            </w:r>
            <w:r>
              <w:rPr>
                <w:sz w:val="20"/>
                <w:szCs w:val="20"/>
              </w:rPr>
              <w:t>(54.4)</w:t>
            </w:r>
          </w:p>
        </w:tc>
      </w:tr>
      <w:tr w:rsidR="003D4C06" w:rsidRPr="00B00BB2" w:rsidTr="00BD7D33">
        <w:trPr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00BB2">
              <w:rPr>
                <w:sz w:val="20"/>
                <w:szCs w:val="20"/>
              </w:rPr>
              <w:t xml:space="preserve">esults available  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 xml:space="preserve">25/37 </w:t>
            </w:r>
            <w:r>
              <w:rPr>
                <w:sz w:val="20"/>
                <w:szCs w:val="20"/>
              </w:rPr>
              <w:t>(67.5)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CR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22/25</w:t>
            </w:r>
            <w:r>
              <w:rPr>
                <w:sz w:val="20"/>
                <w:szCs w:val="20"/>
              </w:rPr>
              <w:t xml:space="preserve"> (88)</w:t>
            </w:r>
          </w:p>
        </w:tc>
      </w:tr>
      <w:tr w:rsidR="003D4C06" w:rsidRPr="00B00BB2" w:rsidTr="00BD7D33">
        <w:trPr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PR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/25 (12)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820" w:type="dxa"/>
            <w:hideMark/>
          </w:tcPr>
          <w:p w:rsidR="003D4C06" w:rsidRPr="00D54928" w:rsidRDefault="003D4C06" w:rsidP="00BD7D33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D54928">
              <w:rPr>
                <w:b/>
                <w:bCs/>
                <w:sz w:val="20"/>
                <w:szCs w:val="20"/>
                <w:lang w:val="en-US"/>
              </w:rPr>
              <w:t xml:space="preserve">Cytogenetic remission of pts with CR/CRi prior to </w:t>
            </w:r>
            <w:r>
              <w:rPr>
                <w:b/>
                <w:bCs/>
                <w:sz w:val="20"/>
                <w:szCs w:val="20"/>
                <w:lang w:val="en-US"/>
              </w:rPr>
              <w:t>allo-HSCT</w:t>
            </w:r>
            <w:r w:rsidRPr="00D54928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41/62</w:t>
            </w:r>
            <w:r>
              <w:rPr>
                <w:sz w:val="20"/>
                <w:szCs w:val="20"/>
              </w:rPr>
              <w:t xml:space="preserve"> (66.1)</w:t>
            </w:r>
          </w:p>
        </w:tc>
      </w:tr>
      <w:tr w:rsidR="003D4C06" w:rsidRPr="00B00BB2" w:rsidTr="00BD7D33">
        <w:trPr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 xml:space="preserve">FISH applicable 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23/41</w:t>
            </w:r>
            <w:r>
              <w:rPr>
                <w:sz w:val="20"/>
                <w:szCs w:val="20"/>
              </w:rPr>
              <w:t xml:space="preserve"> (56)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 xml:space="preserve">Results available 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18/23</w:t>
            </w:r>
            <w:r>
              <w:rPr>
                <w:sz w:val="20"/>
                <w:szCs w:val="20"/>
              </w:rPr>
              <w:t xml:space="preserve"> (78.2)</w:t>
            </w:r>
          </w:p>
        </w:tc>
      </w:tr>
      <w:tr w:rsidR="003D4C06" w:rsidRPr="00B00BB2" w:rsidTr="00BD7D33">
        <w:trPr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CR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14/18</w:t>
            </w:r>
            <w:r>
              <w:rPr>
                <w:sz w:val="20"/>
                <w:szCs w:val="20"/>
              </w:rPr>
              <w:t xml:space="preserve"> (77)</w:t>
            </w:r>
          </w:p>
        </w:tc>
      </w:tr>
      <w:tr w:rsidR="003D4C06" w:rsidRPr="00B00BB2" w:rsidTr="00BD7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820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PR</w:t>
            </w:r>
          </w:p>
        </w:tc>
        <w:tc>
          <w:tcPr>
            <w:tcW w:w="1278" w:type="dxa"/>
            <w:hideMark/>
          </w:tcPr>
          <w:p w:rsidR="003D4C06" w:rsidRPr="00B00BB2" w:rsidRDefault="003D4C06" w:rsidP="00BD7D33">
            <w:pPr>
              <w:pStyle w:val="NoSpacing"/>
              <w:rPr>
                <w:sz w:val="20"/>
                <w:szCs w:val="20"/>
              </w:rPr>
            </w:pPr>
            <w:r w:rsidRPr="00B00BB2">
              <w:rPr>
                <w:sz w:val="20"/>
                <w:szCs w:val="20"/>
              </w:rPr>
              <w:t>4/18</w:t>
            </w:r>
            <w:r>
              <w:rPr>
                <w:sz w:val="20"/>
                <w:szCs w:val="20"/>
              </w:rPr>
              <w:t xml:space="preserve"> (22)</w:t>
            </w:r>
          </w:p>
        </w:tc>
      </w:tr>
    </w:tbl>
    <w:p w:rsidR="003D4C06" w:rsidRPr="00FB2120" w:rsidRDefault="003D4C06" w:rsidP="003D4C06">
      <w:pPr>
        <w:pStyle w:val="EndNoteBibliography"/>
        <w:rPr>
          <w:sz w:val="20"/>
          <w:szCs w:val="20"/>
        </w:rPr>
        <w:sectPr w:rsidR="003D4C06" w:rsidRPr="00FB2120">
          <w:footerReference w:type="default" r:id="rId4"/>
          <w:pgSz w:w="11906" w:h="16838"/>
          <w:pgMar w:top="1417" w:right="1417" w:bottom="1134" w:left="1417" w:header="708" w:footer="708" w:gutter="0"/>
          <w:cols w:space="720"/>
        </w:sectPr>
      </w:pPr>
      <w:r w:rsidRPr="00C447EB">
        <w:rPr>
          <w:b/>
          <w:bCs/>
          <w:sz w:val="20"/>
          <w:szCs w:val="20"/>
        </w:rPr>
        <w:t>Table S2:</w:t>
      </w:r>
      <w:r w:rsidRPr="008C08E8">
        <w:rPr>
          <w:sz w:val="20"/>
          <w:szCs w:val="20"/>
        </w:rPr>
        <w:t xml:space="preserve"> Assessment of cytogenetic remission status after induction chemotherapy and prior to </w:t>
      </w:r>
      <w:r>
        <w:rPr>
          <w:sz w:val="20"/>
          <w:szCs w:val="20"/>
        </w:rPr>
        <w:t>allo-HSCT</w:t>
      </w:r>
      <w:r w:rsidRPr="008C08E8">
        <w:rPr>
          <w:sz w:val="20"/>
          <w:szCs w:val="20"/>
        </w:rPr>
        <w:t xml:space="preserve"> in patients who achieved CR/CRi </w:t>
      </w:r>
      <w:r>
        <w:rPr>
          <w:sz w:val="20"/>
          <w:szCs w:val="20"/>
        </w:rPr>
        <w:t xml:space="preserve">(when </w:t>
      </w:r>
      <w:r w:rsidRPr="008C08E8">
        <w:rPr>
          <w:sz w:val="20"/>
          <w:szCs w:val="20"/>
        </w:rPr>
        <w:t>exhibit</w:t>
      </w:r>
      <w:r>
        <w:rPr>
          <w:sz w:val="20"/>
          <w:szCs w:val="20"/>
        </w:rPr>
        <w:t>ing</w:t>
      </w:r>
      <w:r w:rsidRPr="008C0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usable </w:t>
      </w:r>
      <w:r w:rsidRPr="008C08E8">
        <w:rPr>
          <w:sz w:val="20"/>
          <w:szCs w:val="20"/>
        </w:rPr>
        <w:t>cytogenetic markers</w:t>
      </w:r>
      <w:r>
        <w:rPr>
          <w:sz w:val="20"/>
          <w:szCs w:val="20"/>
        </w:rPr>
        <w:t>).</w:t>
      </w:r>
    </w:p>
    <w:p w:rsidR="003D4C06" w:rsidRDefault="003D4C06" w:rsidP="003D4C06">
      <w:pPr>
        <w:pStyle w:val="EndNoteBibliography"/>
      </w:pPr>
    </w:p>
    <w:p w:rsidR="000525B4" w:rsidRDefault="000525B4"/>
    <w:sectPr w:rsidR="000525B4" w:rsidSect="000C1313">
      <w:pgSz w:w="16838" w:h="11906" w:orient="landscape"/>
      <w:pgMar w:top="1417" w:right="1134" w:bottom="1417" w:left="1417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FBC" w:rsidRDefault="003D4C06" w:rsidP="00EC644F">
    <w:pPr>
      <w:pStyle w:val="Footer"/>
    </w:pPr>
  </w:p>
  <w:p w:rsidR="00CD5FBC" w:rsidRDefault="003D4C0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C06"/>
    <w:rsid w:val="00001882"/>
    <w:rsid w:val="00007DA9"/>
    <w:rsid w:val="00020852"/>
    <w:rsid w:val="00024527"/>
    <w:rsid w:val="0003128F"/>
    <w:rsid w:val="00041E71"/>
    <w:rsid w:val="000525B4"/>
    <w:rsid w:val="0005433D"/>
    <w:rsid w:val="000546DE"/>
    <w:rsid w:val="000573E6"/>
    <w:rsid w:val="0007631E"/>
    <w:rsid w:val="0008400F"/>
    <w:rsid w:val="000901DB"/>
    <w:rsid w:val="00093DDF"/>
    <w:rsid w:val="000A52FA"/>
    <w:rsid w:val="000B7796"/>
    <w:rsid w:val="000D10AB"/>
    <w:rsid w:val="000D1A61"/>
    <w:rsid w:val="000D5A4A"/>
    <w:rsid w:val="000E3766"/>
    <w:rsid w:val="000E44E7"/>
    <w:rsid w:val="000E7829"/>
    <w:rsid w:val="00120D70"/>
    <w:rsid w:val="00121674"/>
    <w:rsid w:val="0012684D"/>
    <w:rsid w:val="001520D7"/>
    <w:rsid w:val="00154755"/>
    <w:rsid w:val="001628A5"/>
    <w:rsid w:val="00166940"/>
    <w:rsid w:val="00175849"/>
    <w:rsid w:val="00177F4D"/>
    <w:rsid w:val="00185DA9"/>
    <w:rsid w:val="00192B11"/>
    <w:rsid w:val="001936EC"/>
    <w:rsid w:val="001B0D93"/>
    <w:rsid w:val="001B5AC2"/>
    <w:rsid w:val="001C1931"/>
    <w:rsid w:val="001C234F"/>
    <w:rsid w:val="001D3DE6"/>
    <w:rsid w:val="001D544B"/>
    <w:rsid w:val="001D6B83"/>
    <w:rsid w:val="001E06F0"/>
    <w:rsid w:val="001F4382"/>
    <w:rsid w:val="001F7F3F"/>
    <w:rsid w:val="00202A96"/>
    <w:rsid w:val="00203110"/>
    <w:rsid w:val="0020498F"/>
    <w:rsid w:val="00210954"/>
    <w:rsid w:val="00211111"/>
    <w:rsid w:val="00217C1F"/>
    <w:rsid w:val="00234808"/>
    <w:rsid w:val="00243665"/>
    <w:rsid w:val="00244374"/>
    <w:rsid w:val="00245792"/>
    <w:rsid w:val="00245F73"/>
    <w:rsid w:val="00251EAA"/>
    <w:rsid w:val="00255571"/>
    <w:rsid w:val="00264D9B"/>
    <w:rsid w:val="00273468"/>
    <w:rsid w:val="00290321"/>
    <w:rsid w:val="002A2F9C"/>
    <w:rsid w:val="002C6684"/>
    <w:rsid w:val="002D0662"/>
    <w:rsid w:val="002D77A1"/>
    <w:rsid w:val="002E6909"/>
    <w:rsid w:val="002F048A"/>
    <w:rsid w:val="002F7E8F"/>
    <w:rsid w:val="0030024E"/>
    <w:rsid w:val="00306C8F"/>
    <w:rsid w:val="00310364"/>
    <w:rsid w:val="00321978"/>
    <w:rsid w:val="003240CC"/>
    <w:rsid w:val="00344049"/>
    <w:rsid w:val="0035113B"/>
    <w:rsid w:val="003618E0"/>
    <w:rsid w:val="003849AF"/>
    <w:rsid w:val="003979C4"/>
    <w:rsid w:val="003A2C4A"/>
    <w:rsid w:val="003D4C06"/>
    <w:rsid w:val="003E2848"/>
    <w:rsid w:val="003E4C96"/>
    <w:rsid w:val="003E686C"/>
    <w:rsid w:val="003F0EB3"/>
    <w:rsid w:val="003F572C"/>
    <w:rsid w:val="00400D1F"/>
    <w:rsid w:val="0043486C"/>
    <w:rsid w:val="004647A9"/>
    <w:rsid w:val="0046524C"/>
    <w:rsid w:val="0047141A"/>
    <w:rsid w:val="00471672"/>
    <w:rsid w:val="00473AC9"/>
    <w:rsid w:val="0047614C"/>
    <w:rsid w:val="004929B9"/>
    <w:rsid w:val="00493119"/>
    <w:rsid w:val="00493899"/>
    <w:rsid w:val="004A3E34"/>
    <w:rsid w:val="004B30BF"/>
    <w:rsid w:val="004C35AC"/>
    <w:rsid w:val="004C6503"/>
    <w:rsid w:val="004E3332"/>
    <w:rsid w:val="004E5ECD"/>
    <w:rsid w:val="0050599C"/>
    <w:rsid w:val="00515004"/>
    <w:rsid w:val="0052482E"/>
    <w:rsid w:val="005276B0"/>
    <w:rsid w:val="0053564A"/>
    <w:rsid w:val="00545180"/>
    <w:rsid w:val="00547DDB"/>
    <w:rsid w:val="00552BF9"/>
    <w:rsid w:val="00571BB2"/>
    <w:rsid w:val="0057415D"/>
    <w:rsid w:val="005A0F75"/>
    <w:rsid w:val="005A3598"/>
    <w:rsid w:val="005A4936"/>
    <w:rsid w:val="005B4A58"/>
    <w:rsid w:val="005C4FD9"/>
    <w:rsid w:val="005D5657"/>
    <w:rsid w:val="005E05D3"/>
    <w:rsid w:val="005F569A"/>
    <w:rsid w:val="005F5941"/>
    <w:rsid w:val="006062C8"/>
    <w:rsid w:val="00615442"/>
    <w:rsid w:val="006220D5"/>
    <w:rsid w:val="00630413"/>
    <w:rsid w:val="00632EAB"/>
    <w:rsid w:val="0064313F"/>
    <w:rsid w:val="00652010"/>
    <w:rsid w:val="0067220F"/>
    <w:rsid w:val="00691E09"/>
    <w:rsid w:val="006A1B69"/>
    <w:rsid w:val="006A23D9"/>
    <w:rsid w:val="006B1275"/>
    <w:rsid w:val="006C7E8C"/>
    <w:rsid w:val="006D082F"/>
    <w:rsid w:val="006D1A9E"/>
    <w:rsid w:val="006D3540"/>
    <w:rsid w:val="006E1BC5"/>
    <w:rsid w:val="006E260A"/>
    <w:rsid w:val="006E2E77"/>
    <w:rsid w:val="006F2E4D"/>
    <w:rsid w:val="006F4C84"/>
    <w:rsid w:val="006F6927"/>
    <w:rsid w:val="00711452"/>
    <w:rsid w:val="00722A71"/>
    <w:rsid w:val="00726436"/>
    <w:rsid w:val="007477E2"/>
    <w:rsid w:val="007531ED"/>
    <w:rsid w:val="00770332"/>
    <w:rsid w:val="00776584"/>
    <w:rsid w:val="007862DF"/>
    <w:rsid w:val="00791B45"/>
    <w:rsid w:val="007B40D6"/>
    <w:rsid w:val="007C3B43"/>
    <w:rsid w:val="007D24F4"/>
    <w:rsid w:val="007D644D"/>
    <w:rsid w:val="007E2171"/>
    <w:rsid w:val="007F182B"/>
    <w:rsid w:val="007F1BC8"/>
    <w:rsid w:val="007F30D0"/>
    <w:rsid w:val="007F7AF0"/>
    <w:rsid w:val="00806458"/>
    <w:rsid w:val="0081644F"/>
    <w:rsid w:val="00857B5A"/>
    <w:rsid w:val="008834AC"/>
    <w:rsid w:val="00883C3D"/>
    <w:rsid w:val="00884E27"/>
    <w:rsid w:val="00891C48"/>
    <w:rsid w:val="008A5CED"/>
    <w:rsid w:val="008A7BF5"/>
    <w:rsid w:val="008D3749"/>
    <w:rsid w:val="008E1EB6"/>
    <w:rsid w:val="008F6393"/>
    <w:rsid w:val="00907A21"/>
    <w:rsid w:val="00920E4D"/>
    <w:rsid w:val="00931E57"/>
    <w:rsid w:val="009337A7"/>
    <w:rsid w:val="00933E2A"/>
    <w:rsid w:val="0098392F"/>
    <w:rsid w:val="0098494B"/>
    <w:rsid w:val="0099136E"/>
    <w:rsid w:val="0099773B"/>
    <w:rsid w:val="009A0A5B"/>
    <w:rsid w:val="009C22F5"/>
    <w:rsid w:val="009C30B9"/>
    <w:rsid w:val="009D0BCF"/>
    <w:rsid w:val="009E2E49"/>
    <w:rsid w:val="009E41A6"/>
    <w:rsid w:val="009E43A0"/>
    <w:rsid w:val="009E64F2"/>
    <w:rsid w:val="009F3A40"/>
    <w:rsid w:val="009F63F4"/>
    <w:rsid w:val="00A01322"/>
    <w:rsid w:val="00A144B4"/>
    <w:rsid w:val="00A161C5"/>
    <w:rsid w:val="00A34D18"/>
    <w:rsid w:val="00A47948"/>
    <w:rsid w:val="00A56758"/>
    <w:rsid w:val="00A751D2"/>
    <w:rsid w:val="00A805C5"/>
    <w:rsid w:val="00A81E8E"/>
    <w:rsid w:val="00A8474E"/>
    <w:rsid w:val="00A93CB3"/>
    <w:rsid w:val="00A93F46"/>
    <w:rsid w:val="00A97401"/>
    <w:rsid w:val="00AA02AC"/>
    <w:rsid w:val="00AB09BF"/>
    <w:rsid w:val="00AB18BB"/>
    <w:rsid w:val="00AB2EE3"/>
    <w:rsid w:val="00AD2A4D"/>
    <w:rsid w:val="00AE1AC3"/>
    <w:rsid w:val="00AE2809"/>
    <w:rsid w:val="00AE37FA"/>
    <w:rsid w:val="00B00C63"/>
    <w:rsid w:val="00B22A72"/>
    <w:rsid w:val="00B23B6D"/>
    <w:rsid w:val="00B27414"/>
    <w:rsid w:val="00B406E8"/>
    <w:rsid w:val="00B4591F"/>
    <w:rsid w:val="00B46D84"/>
    <w:rsid w:val="00B62A97"/>
    <w:rsid w:val="00B67CE0"/>
    <w:rsid w:val="00B77C56"/>
    <w:rsid w:val="00B80144"/>
    <w:rsid w:val="00B91F47"/>
    <w:rsid w:val="00BA1497"/>
    <w:rsid w:val="00BB14C8"/>
    <w:rsid w:val="00BD5170"/>
    <w:rsid w:val="00BD6AB8"/>
    <w:rsid w:val="00BD72C2"/>
    <w:rsid w:val="00BE4755"/>
    <w:rsid w:val="00BE5B09"/>
    <w:rsid w:val="00BE7BF8"/>
    <w:rsid w:val="00BF330B"/>
    <w:rsid w:val="00BF7CAE"/>
    <w:rsid w:val="00C0554E"/>
    <w:rsid w:val="00C241FE"/>
    <w:rsid w:val="00C36D0F"/>
    <w:rsid w:val="00C67357"/>
    <w:rsid w:val="00C8213D"/>
    <w:rsid w:val="00CA3EA2"/>
    <w:rsid w:val="00CB78F8"/>
    <w:rsid w:val="00CF4664"/>
    <w:rsid w:val="00D26363"/>
    <w:rsid w:val="00D379F3"/>
    <w:rsid w:val="00D4507B"/>
    <w:rsid w:val="00D47B6B"/>
    <w:rsid w:val="00D561CB"/>
    <w:rsid w:val="00D717AB"/>
    <w:rsid w:val="00D7344B"/>
    <w:rsid w:val="00D81E6A"/>
    <w:rsid w:val="00D851F7"/>
    <w:rsid w:val="00D95F59"/>
    <w:rsid w:val="00D97D53"/>
    <w:rsid w:val="00DA1565"/>
    <w:rsid w:val="00DB02A8"/>
    <w:rsid w:val="00DC3B84"/>
    <w:rsid w:val="00DC3C0F"/>
    <w:rsid w:val="00DC6DED"/>
    <w:rsid w:val="00DD3C03"/>
    <w:rsid w:val="00DE12DE"/>
    <w:rsid w:val="00DF042A"/>
    <w:rsid w:val="00DF42CD"/>
    <w:rsid w:val="00E020F9"/>
    <w:rsid w:val="00E128B3"/>
    <w:rsid w:val="00E22688"/>
    <w:rsid w:val="00E274BA"/>
    <w:rsid w:val="00E320BD"/>
    <w:rsid w:val="00E32FDA"/>
    <w:rsid w:val="00E350BB"/>
    <w:rsid w:val="00E42034"/>
    <w:rsid w:val="00E44902"/>
    <w:rsid w:val="00E4602C"/>
    <w:rsid w:val="00E46EB2"/>
    <w:rsid w:val="00E51ED5"/>
    <w:rsid w:val="00E61988"/>
    <w:rsid w:val="00E61F52"/>
    <w:rsid w:val="00E6501D"/>
    <w:rsid w:val="00E71627"/>
    <w:rsid w:val="00E72F1B"/>
    <w:rsid w:val="00E764D9"/>
    <w:rsid w:val="00E77E6C"/>
    <w:rsid w:val="00E875D0"/>
    <w:rsid w:val="00EA210B"/>
    <w:rsid w:val="00EB2DFD"/>
    <w:rsid w:val="00EC6BD8"/>
    <w:rsid w:val="00ED4EE3"/>
    <w:rsid w:val="00EE4EEE"/>
    <w:rsid w:val="00EF7C71"/>
    <w:rsid w:val="00F022F6"/>
    <w:rsid w:val="00F2244A"/>
    <w:rsid w:val="00F22BAB"/>
    <w:rsid w:val="00F2676F"/>
    <w:rsid w:val="00F302EF"/>
    <w:rsid w:val="00F37E27"/>
    <w:rsid w:val="00F52E54"/>
    <w:rsid w:val="00F55B62"/>
    <w:rsid w:val="00F5677F"/>
    <w:rsid w:val="00F626B0"/>
    <w:rsid w:val="00F62E82"/>
    <w:rsid w:val="00F66E25"/>
    <w:rsid w:val="00F90984"/>
    <w:rsid w:val="00F94C7E"/>
    <w:rsid w:val="00FC36D7"/>
    <w:rsid w:val="00FC5F0A"/>
    <w:rsid w:val="00FD08C4"/>
    <w:rsid w:val="00FE759F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32C2D-E14F-488D-8D0A-FE65CB0E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D4C06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3D4C06"/>
    <w:rPr>
      <w:rFonts w:ascii="Calibri" w:eastAsia="Calibri" w:hAnsi="Calibri" w:cs="Times New Roman"/>
      <w:lang w:val="de-DE"/>
    </w:rPr>
  </w:style>
  <w:style w:type="paragraph" w:customStyle="1" w:styleId="EndNoteBibliography">
    <w:name w:val="EndNote Bibliography"/>
    <w:basedOn w:val="Normal"/>
    <w:rsid w:val="003D4C06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lang w:val="en-US"/>
    </w:rPr>
  </w:style>
  <w:style w:type="paragraph" w:styleId="NoSpacing">
    <w:name w:val="No Spacing"/>
    <w:uiPriority w:val="1"/>
    <w:qFormat/>
    <w:rsid w:val="003D4C0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de-DE"/>
    </w:rPr>
  </w:style>
  <w:style w:type="table" w:styleId="GridTable4-Accent1">
    <w:name w:val="Grid Table 4 Accent 1"/>
    <w:basedOn w:val="TableNormal"/>
    <w:uiPriority w:val="49"/>
    <w:rsid w:val="003D4C06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de-D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Darania</dc:creator>
  <cp:keywords/>
  <dc:description/>
  <cp:lastModifiedBy>Darania</cp:lastModifiedBy>
  <cp:revision>1</cp:revision>
  <dcterms:created xsi:type="dcterms:W3CDTF">2021-07-08T19:41:00Z</dcterms:created>
  <dcterms:modified xsi:type="dcterms:W3CDTF">2021-07-08T19:43:00Z</dcterms:modified>
</cp:coreProperties>
</file>