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2E436" w14:textId="3AA95702" w:rsidR="00BB4A90" w:rsidRPr="0027799F" w:rsidRDefault="00BB4A90" w:rsidP="00BB4A9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27799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Table </w:t>
      </w:r>
      <w:r w:rsidR="00B02652">
        <w:rPr>
          <w:rFonts w:ascii="Times New Roman" w:hAnsi="Times New Roman" w:cs="Times New Roman"/>
          <w:bCs/>
          <w:sz w:val="20"/>
          <w:szCs w:val="20"/>
          <w:lang w:val="en-US"/>
        </w:rPr>
        <w:t>4</w:t>
      </w:r>
      <w:r w:rsidRPr="0027799F">
        <w:rPr>
          <w:rFonts w:ascii="Times New Roman" w:hAnsi="Times New Roman" w:cs="Times New Roman"/>
          <w:bCs/>
          <w:sz w:val="20"/>
          <w:szCs w:val="20"/>
          <w:lang w:val="en-US"/>
        </w:rPr>
        <w:t>. Table risk of bias</w:t>
      </w:r>
    </w:p>
    <w:tbl>
      <w:tblPr>
        <w:tblStyle w:val="Tabellenraster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4"/>
        <w:gridCol w:w="688"/>
        <w:gridCol w:w="2019"/>
        <w:gridCol w:w="4099"/>
        <w:gridCol w:w="962"/>
      </w:tblGrid>
      <w:tr w:rsidR="00BB4A90" w:rsidRPr="00FF07DD" w14:paraId="71D94B51" w14:textId="77777777" w:rsidTr="00A618B3">
        <w:tc>
          <w:tcPr>
            <w:tcW w:w="719" w:type="pct"/>
            <w:tcBorders>
              <w:bottom w:val="single" w:sz="4" w:space="0" w:color="auto"/>
            </w:tcBorders>
          </w:tcPr>
          <w:p w14:paraId="7DA15138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Reference</w:t>
            </w:r>
          </w:p>
        </w:tc>
        <w:tc>
          <w:tcPr>
            <w:tcW w:w="379" w:type="pct"/>
            <w:tcBorders>
              <w:bottom w:val="single" w:sz="4" w:space="0" w:color="auto"/>
            </w:tcBorders>
          </w:tcPr>
          <w:p w14:paraId="30B5D0F3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Study type</w:t>
            </w:r>
          </w:p>
        </w:tc>
        <w:tc>
          <w:tcPr>
            <w:tcW w:w="1113" w:type="pct"/>
            <w:tcBorders>
              <w:bottom w:val="single" w:sz="4" w:space="0" w:color="auto"/>
            </w:tcBorders>
          </w:tcPr>
          <w:p w14:paraId="4A1DBAA4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Standardized rating of risk of bias</w:t>
            </w:r>
          </w:p>
        </w:tc>
        <w:tc>
          <w:tcPr>
            <w:tcW w:w="2259" w:type="pct"/>
            <w:tcBorders>
              <w:bottom w:val="single" w:sz="4" w:space="0" w:color="auto"/>
            </w:tcBorders>
          </w:tcPr>
          <w:p w14:paraId="718E008A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Additional comments on methodology</w:t>
            </w:r>
          </w:p>
        </w:tc>
        <w:tc>
          <w:tcPr>
            <w:tcW w:w="530" w:type="pct"/>
            <w:tcBorders>
              <w:bottom w:val="single" w:sz="4" w:space="0" w:color="auto"/>
            </w:tcBorders>
          </w:tcPr>
          <w:p w14:paraId="6FB79B9A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Evidence Level (Oxford)</w:t>
            </w:r>
          </w:p>
        </w:tc>
      </w:tr>
      <w:tr w:rsidR="00BB4A90" w:rsidRPr="00FF07DD" w14:paraId="18779359" w14:textId="77777777" w:rsidTr="00A618B3">
        <w:tc>
          <w:tcPr>
            <w:tcW w:w="719" w:type="pct"/>
            <w:tcBorders>
              <w:top w:val="nil"/>
            </w:tcBorders>
          </w:tcPr>
          <w:p w14:paraId="382B63A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Aghabati (2010)</w:t>
            </w:r>
          </w:p>
        </w:tc>
        <w:tc>
          <w:tcPr>
            <w:tcW w:w="379" w:type="pct"/>
            <w:tcBorders>
              <w:top w:val="nil"/>
            </w:tcBorders>
          </w:tcPr>
          <w:p w14:paraId="739BCA6C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  <w:tcBorders>
              <w:top w:val="nil"/>
            </w:tcBorders>
          </w:tcPr>
          <w:p w14:paraId="3AB184A0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4739BD7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3</w:t>
            </w:r>
          </w:p>
          <w:p w14:paraId="0D26B283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3</w:t>
            </w:r>
          </w:p>
          <w:p w14:paraId="209B001E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2</w:t>
            </w:r>
          </w:p>
          <w:p w14:paraId="75603F0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  <w:tcBorders>
              <w:top w:val="nil"/>
            </w:tcBorders>
          </w:tcPr>
          <w:p w14:paraId="085F28B2" w14:textId="77777777" w:rsidR="00BB4A90" w:rsidRPr="0027799F" w:rsidRDefault="00BB4A90" w:rsidP="005D34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Validated questionnaires; effort was made to maintain consistent</w:t>
            </w:r>
          </w:p>
          <w:p w14:paraId="45A8E1D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facilities and environmental conditions</w:t>
            </w:r>
          </w:p>
          <w:p w14:paraId="7AED099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Missing blinding or insufficient description; no baseline control; no consideration of multiple testing</w:t>
            </w:r>
          </w:p>
        </w:tc>
        <w:tc>
          <w:tcPr>
            <w:tcW w:w="530" w:type="pct"/>
            <w:tcBorders>
              <w:top w:val="nil"/>
            </w:tcBorders>
          </w:tcPr>
          <w:p w14:paraId="7296A652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3FA36868" w14:textId="77777777" w:rsidTr="00A618B3">
        <w:tc>
          <w:tcPr>
            <w:tcW w:w="719" w:type="pct"/>
            <w:tcBorders>
              <w:top w:val="nil"/>
            </w:tcBorders>
          </w:tcPr>
          <w:p w14:paraId="3E5C850A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Alarcão (2016)</w:t>
            </w:r>
          </w:p>
        </w:tc>
        <w:tc>
          <w:tcPr>
            <w:tcW w:w="379" w:type="pct"/>
            <w:tcBorders>
              <w:top w:val="nil"/>
            </w:tcBorders>
          </w:tcPr>
          <w:p w14:paraId="7E68A3F3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  <w:tcBorders>
              <w:top w:val="nil"/>
            </w:tcBorders>
          </w:tcPr>
          <w:p w14:paraId="0F66A0E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6F36BE7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4</w:t>
            </w:r>
          </w:p>
          <w:p w14:paraId="2235B63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4</w:t>
            </w:r>
          </w:p>
          <w:p w14:paraId="019B636D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0</w:t>
            </w:r>
          </w:p>
          <w:p w14:paraId="4141F61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  <w:tcBorders>
              <w:top w:val="nil"/>
            </w:tcBorders>
          </w:tcPr>
          <w:p w14:paraId="1A8B5BC7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Adequate use of statistical analyses and methods; Testing for normal contribution; Detailed description of the statistical analysis; Inclusion of the influence of demographic variables on the result (QoL)</w:t>
            </w:r>
          </w:p>
          <w:p w14:paraId="6F4CAAC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Blinding process questionable; No detailed demographic information; Undetailed timeline; No means or SD (or any numbers) describing the results, besides p-values; Overall no information about size of the effect possible; High correlation between the domains, so results are not independent of each other</w:t>
            </w:r>
          </w:p>
        </w:tc>
        <w:tc>
          <w:tcPr>
            <w:tcW w:w="530" w:type="pct"/>
            <w:tcBorders>
              <w:top w:val="nil"/>
            </w:tcBorders>
          </w:tcPr>
          <w:p w14:paraId="6B413537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5618564B" w14:textId="77777777" w:rsidTr="00A618B3">
        <w:trPr>
          <w:trHeight w:val="1316"/>
        </w:trPr>
        <w:tc>
          <w:tcPr>
            <w:tcW w:w="719" w:type="pct"/>
          </w:tcPr>
          <w:p w14:paraId="7AE92722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Beard (2011)</w:t>
            </w:r>
          </w:p>
        </w:tc>
        <w:tc>
          <w:tcPr>
            <w:tcW w:w="379" w:type="pct"/>
          </w:tcPr>
          <w:p w14:paraId="5D8F3CE2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5B1F9BEB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66AD5CD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6</w:t>
            </w:r>
          </w:p>
          <w:p w14:paraId="23CF6F1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0</w:t>
            </w:r>
          </w:p>
          <w:p w14:paraId="67E65831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2</w:t>
            </w:r>
          </w:p>
          <w:p w14:paraId="0AD2338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3D0FB92E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Comparability of the groups given; High patient adherence; Appropriate use of statistical analysis and methods; Intention-To-Treat Analysis; Bonferroni Correction for multiple testing</w:t>
            </w:r>
          </w:p>
          <w:p w14:paraId="1F3FEC3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Small sample size; Different intensity of interventions; Brief presentation of the results with only a few statistical numbers; No other intervention with “touch” involved; No Poweranalyis; No testing for normal contribution of the data; Timepoints are not well defined; Unequal group sizes for comparison of anxious/depressed vs. normal participants (subgroup analysis); Participants were predominantly well-educated white men; No information on side effects</w:t>
            </w:r>
          </w:p>
        </w:tc>
        <w:tc>
          <w:tcPr>
            <w:tcW w:w="530" w:type="pct"/>
          </w:tcPr>
          <w:p w14:paraId="72558691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765D3FB1" w14:textId="77777777" w:rsidTr="00A618B3">
        <w:trPr>
          <w:trHeight w:val="1316"/>
        </w:trPr>
        <w:tc>
          <w:tcPr>
            <w:tcW w:w="719" w:type="pct"/>
          </w:tcPr>
          <w:p w14:paraId="7EB3718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Catlin (2011)</w:t>
            </w:r>
          </w:p>
        </w:tc>
        <w:tc>
          <w:tcPr>
            <w:tcW w:w="379" w:type="pct"/>
          </w:tcPr>
          <w:p w14:paraId="45184D85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5062C7C0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7895E1D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4</w:t>
            </w:r>
          </w:p>
          <w:p w14:paraId="290523A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4</w:t>
            </w:r>
          </w:p>
          <w:p w14:paraId="4535D34D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0</w:t>
            </w:r>
          </w:p>
          <w:p w14:paraId="3CF800B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113F90B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Validated questionnaires and information from Cronbach Alpha; Checking the validity and reliability of the interventions; Comparability of groups for age, round of chemotherapy, frequency of prior experience with CAM and origin; Double blinding; Power analysis</w:t>
            </w:r>
          </w:p>
          <w:p w14:paraId="4E9EC2F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CONTRA: Quasi-randomization; Statistical tables questionable: Different evaluated sample numbers from N=58 bis N=66; Comparability of groups questionable; Incorrect blinding information; Only measured short-term effects, which could also be attributed to attention; No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description of how to extract the subscales (secondary endpoints) from survey of overall wellbeing and comfort; No indication of mean values (SD) or other values for the questionnaires; No indication of effect sizes or confidence intervals; Indication of demographic data inaccurate and inadequate; No recording which previous experiences were made with CAM or no inclusion of these in the analysis</w:t>
            </w:r>
          </w:p>
        </w:tc>
        <w:tc>
          <w:tcPr>
            <w:tcW w:w="530" w:type="pct"/>
          </w:tcPr>
          <w:p w14:paraId="3BA9A64A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2b</w:t>
            </w:r>
          </w:p>
        </w:tc>
      </w:tr>
      <w:tr w:rsidR="00BB4A90" w:rsidRPr="00FF07DD" w14:paraId="5558F644" w14:textId="77777777" w:rsidTr="00A618B3">
        <w:trPr>
          <w:trHeight w:val="1316"/>
        </w:trPr>
        <w:tc>
          <w:tcPr>
            <w:tcW w:w="719" w:type="pct"/>
          </w:tcPr>
          <w:p w14:paraId="72616F32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Clark (2012)</w:t>
            </w:r>
          </w:p>
        </w:tc>
        <w:tc>
          <w:tcPr>
            <w:tcW w:w="379" w:type="pct"/>
          </w:tcPr>
          <w:p w14:paraId="1EF3C1C9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085DEFC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16C52C4B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5</w:t>
            </w:r>
          </w:p>
          <w:p w14:paraId="25410227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0</w:t>
            </w:r>
          </w:p>
          <w:p w14:paraId="49FC61E4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3</w:t>
            </w:r>
          </w:p>
          <w:p w14:paraId="72444BDB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411EFD34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Exact study flow chart; Validated questionnaires and specification of the Cronbach’s Alpha; Insight into patient compliance; Detailed and clear presentation of the results; Comparability of groups for demographic and medical characteristics</w:t>
            </w:r>
          </w:p>
          <w:p w14:paraId="5CE49C6A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Different intensities of the interventions; High drop-out; Not enough power for producing statistically significant outcomes; Small sample size; Missing values were replaced by the series mean for the variable; Not clear which patient have taken drugs for the neuropathy during the study; No recording which previous experiences were made with CAM or no inclusion of these in the analysis</w:t>
            </w:r>
          </w:p>
        </w:tc>
        <w:tc>
          <w:tcPr>
            <w:tcW w:w="530" w:type="pct"/>
          </w:tcPr>
          <w:p w14:paraId="49517742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4D3AAFED" w14:textId="77777777" w:rsidTr="00A618B3">
        <w:trPr>
          <w:trHeight w:val="1316"/>
        </w:trPr>
        <w:tc>
          <w:tcPr>
            <w:tcW w:w="719" w:type="pct"/>
          </w:tcPr>
          <w:p w14:paraId="50EC7FF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FitzHenry (2014)</w:t>
            </w:r>
          </w:p>
        </w:tc>
        <w:tc>
          <w:tcPr>
            <w:tcW w:w="379" w:type="pct"/>
          </w:tcPr>
          <w:p w14:paraId="1BF725B1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736DB8C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5356EDC8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7</w:t>
            </w:r>
          </w:p>
          <w:p w14:paraId="48ECE7C0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0</w:t>
            </w:r>
          </w:p>
          <w:p w14:paraId="43837F4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1</w:t>
            </w:r>
          </w:p>
          <w:p w14:paraId="26B6880F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High</w:t>
            </w:r>
          </w:p>
        </w:tc>
        <w:tc>
          <w:tcPr>
            <w:tcW w:w="2259" w:type="pct"/>
          </w:tcPr>
          <w:p w14:paraId="438E62F1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Therapists were replaced by others during the study to avoid over-focusing the patient on one therapist; Comparability of groups for all important demographic data and clinical variables; Successful verification of blinding after the end of the study; Validated questionnaires and details of the Cronbach Alpha</w:t>
            </w:r>
          </w:p>
          <w:p w14:paraId="487699EE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No standardization of sham intervention; Insufficient power; No intention-to-treat analysis; More women in the control group were working full- or part-time; Participants in the HT group had to change the therapist more often than the sham group; No information about the total number of treatments in the respective groups at the end of the study; No recording which previous experiences were made with CAM or no inclusion of these in the analysis</w:t>
            </w:r>
          </w:p>
        </w:tc>
        <w:tc>
          <w:tcPr>
            <w:tcW w:w="530" w:type="pct"/>
          </w:tcPr>
          <w:p w14:paraId="08FC2C43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1b-</w:t>
            </w:r>
          </w:p>
        </w:tc>
      </w:tr>
      <w:tr w:rsidR="00BB4A90" w:rsidRPr="00FF07DD" w14:paraId="6B4CF3D5" w14:textId="77777777" w:rsidTr="00A618B3">
        <w:trPr>
          <w:trHeight w:val="1316"/>
        </w:trPr>
        <w:tc>
          <w:tcPr>
            <w:tcW w:w="719" w:type="pct"/>
          </w:tcPr>
          <w:p w14:paraId="5F7BE9AB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Frank (2007)</w:t>
            </w:r>
          </w:p>
        </w:tc>
        <w:tc>
          <w:tcPr>
            <w:tcW w:w="379" w:type="pct"/>
          </w:tcPr>
          <w:p w14:paraId="2FC02568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7967C9EA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1DBA0C9F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6</w:t>
            </w:r>
          </w:p>
          <w:p w14:paraId="0582F7E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2</w:t>
            </w:r>
          </w:p>
          <w:p w14:paraId="0C6DC924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0</w:t>
            </w:r>
          </w:p>
          <w:p w14:paraId="6ACA2A97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68D0CBC1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Comparability of groups for demographic data, pretreatment characteristics and VAS findings; Prior training of placebo therapists to ensure consistent placebo therapy; Blinding of the patients, the clinical and planning staff of the breast center and the study coordinators; Control of variables through multivariate model</w:t>
            </w:r>
          </w:p>
          <w:p w14:paraId="2D259058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CONTRA: Small sample size; No collection of data from patients who complained about their assigned group; Only measured short-term effects; Inaccurate description of the data collection methods; General only superficial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description of the framework; No recording which previous experiences were made with CAM or no inclusion of these in the analysis</w:t>
            </w:r>
          </w:p>
        </w:tc>
        <w:tc>
          <w:tcPr>
            <w:tcW w:w="530" w:type="pct"/>
          </w:tcPr>
          <w:p w14:paraId="151F42A8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2b</w:t>
            </w:r>
          </w:p>
        </w:tc>
      </w:tr>
      <w:tr w:rsidR="00BB4A90" w:rsidRPr="00FF07DD" w14:paraId="0DEFD7B2" w14:textId="77777777" w:rsidTr="00A618B3">
        <w:trPr>
          <w:trHeight w:val="1316"/>
        </w:trPr>
        <w:tc>
          <w:tcPr>
            <w:tcW w:w="719" w:type="pct"/>
          </w:tcPr>
          <w:p w14:paraId="02331331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Giasson and Bouchard (1998)</w:t>
            </w:r>
          </w:p>
        </w:tc>
        <w:tc>
          <w:tcPr>
            <w:tcW w:w="379" w:type="pct"/>
          </w:tcPr>
          <w:p w14:paraId="7C73E5FC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054AF4AE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279972A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5</w:t>
            </w:r>
          </w:p>
          <w:p w14:paraId="44CF65E7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1</w:t>
            </w:r>
          </w:p>
          <w:p w14:paraId="63851978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2</w:t>
            </w:r>
          </w:p>
          <w:p w14:paraId="042F068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1B1A6580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Indication of Cronbach's alpha and reliabilities</w:t>
            </w:r>
          </w:p>
          <w:p w14:paraId="5EB4AE0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The author is also a performing therapist; no blinding; no information on effect sizes and power</w:t>
            </w:r>
          </w:p>
        </w:tc>
        <w:tc>
          <w:tcPr>
            <w:tcW w:w="530" w:type="pct"/>
          </w:tcPr>
          <w:p w14:paraId="548503C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77789B4D" w14:textId="77777777" w:rsidTr="00A618B3">
        <w:trPr>
          <w:trHeight w:val="1316"/>
        </w:trPr>
        <w:tc>
          <w:tcPr>
            <w:tcW w:w="719" w:type="pct"/>
          </w:tcPr>
          <w:p w14:paraId="453283A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Lutgendorf (2010)</w:t>
            </w:r>
          </w:p>
        </w:tc>
        <w:tc>
          <w:tcPr>
            <w:tcW w:w="379" w:type="pct"/>
          </w:tcPr>
          <w:p w14:paraId="3DF29702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1E97F7AD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47057A6B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5</w:t>
            </w:r>
          </w:p>
          <w:p w14:paraId="38363B28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0</w:t>
            </w:r>
          </w:p>
          <w:p w14:paraId="138830A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3</w:t>
            </w:r>
          </w:p>
          <w:p w14:paraId="6ABFE05E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High</w:t>
            </w:r>
          </w:p>
        </w:tc>
        <w:tc>
          <w:tcPr>
            <w:tcW w:w="2259" w:type="pct"/>
          </w:tcPr>
          <w:p w14:paraId="5E0F6497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Comparability of the groups; Various and reliable questionnaires; Age and stage of illness as well as health behavior as permanent covariates for the relevant endpoints; Measurement of participants' expectations in advance; Measurement of long-term effects; Testing for normal distribution of data</w:t>
            </w:r>
          </w:p>
          <w:p w14:paraId="0F92EB05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After five patients, the study design was changed and a new randomization scheme was applied; Some of the Healing Touch treatments were performed by one practitioner, others by two practitioners (63.5% of the sessions); Different treatment duration and different average number of sessions in the groups; Small sample size; No intention-to-treat analysis</w:t>
            </w:r>
          </w:p>
        </w:tc>
        <w:tc>
          <w:tcPr>
            <w:tcW w:w="530" w:type="pct"/>
          </w:tcPr>
          <w:p w14:paraId="124EE374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1b</w:t>
            </w:r>
          </w:p>
        </w:tc>
      </w:tr>
      <w:tr w:rsidR="00BB4A90" w:rsidRPr="00FF07DD" w14:paraId="7A1CA0F4" w14:textId="77777777" w:rsidTr="00A618B3">
        <w:trPr>
          <w:trHeight w:val="1316"/>
        </w:trPr>
        <w:tc>
          <w:tcPr>
            <w:tcW w:w="7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AC1B8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Matourypour (2015)</w:t>
            </w:r>
          </w:p>
          <w:p w14:paraId="1116ADA7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10922C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CC465CB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5820559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13F0B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005631D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9B7F479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12AB4DA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E68F04D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AD7A365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DA44969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A1145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89532BA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C7F877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893C07B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74BDA97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40DBDA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E309D3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A0AE9CA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FB7E2CC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845BB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BE55E4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CF1D555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491FEFC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EFF2F9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4903D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32415BC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62989A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85147B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36F5F9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2B20FF3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1AA1B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CB9B09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AB743B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3ACC18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58873DD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ED1C4D2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0787677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865ACB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9EC6B6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Matourypour (2016)</w:t>
            </w:r>
          </w:p>
          <w:p w14:paraId="193A07BD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47AC68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AE0E4F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A67E88F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51732B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2BBFB76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0AA923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AB92D17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D0399A7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2A94C1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29977F9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9C465A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43BBB3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8473B4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B57AAA3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3A1EC9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9BBCA54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4DD308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A59D92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49A9E57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AB94134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Vanaki (2016)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073A5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RCT</w:t>
            </w:r>
          </w:p>
          <w:p w14:paraId="7054E168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584487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C499853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E65AB93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D74175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9AF745C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B0FEA08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C91EB0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4F164C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BB2D61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6CB2C7B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B765083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FB85AA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0437698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2962AA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9BAC522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D299E16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0A2B20B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C953A2C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3E56C4B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3786FEF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6AF2DF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F4470D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156A93F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A7A277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107B21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950A144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5478659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3F9B33D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D5DF9C3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9437612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C156E47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D34563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BDB3259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327620A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E8EE15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B0243F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0F543C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C34F670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6DF10C9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693D0A6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  <w:p w14:paraId="1FB86425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E6B262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0565CBA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30209E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D600717" w14:textId="77777777" w:rsidR="00BB4A90" w:rsidRPr="00FF07DD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FCF850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ECEF1BF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41D20A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C7B6317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49545D1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DA4424F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190B34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73B92AD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76BA6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CDB0805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9CF7D88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80FC2D2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FB1A1CB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C98C8BB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C597B8F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E5FDAF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541E928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9A816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SIGN</w:t>
            </w:r>
          </w:p>
          <w:p w14:paraId="2E63B034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2</w:t>
            </w:r>
          </w:p>
          <w:p w14:paraId="416B758F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5</w:t>
            </w:r>
          </w:p>
          <w:p w14:paraId="5289D167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0</w:t>
            </w:r>
          </w:p>
          <w:p w14:paraId="0C335030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Low</w:t>
            </w:r>
          </w:p>
          <w:p w14:paraId="2797E6E7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981FEDE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B1B410C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F9B3E41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1B015BC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B3EAA2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E11B637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88829FC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ABF5F65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ABB7E08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5DED8A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12AD0D8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29AB53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426515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D0BABC9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3C9F970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6731919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896C500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B106092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E55BD7E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A537FBC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0583DF8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44E116E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1FFADF5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8C179B9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167B9CD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34FB03B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328C191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D96B48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997E17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2B0ED24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8865B5D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56BDE19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6341A5C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7E3F484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F285587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965F34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1732154D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3</w:t>
            </w:r>
          </w:p>
          <w:p w14:paraId="7767FB25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4</w:t>
            </w:r>
          </w:p>
          <w:p w14:paraId="6B1AA1E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0</w:t>
            </w:r>
          </w:p>
          <w:p w14:paraId="77C2885D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Low</w:t>
            </w:r>
          </w:p>
          <w:p w14:paraId="7CF6497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F6CAFC0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79F0CAD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BB61DF8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4A873C1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D6DA9F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31DAC4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4667024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8E8DAD6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82021B4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3B9C7B1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92E87D9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91E72A9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021ADA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70F23CD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ADD444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591BC65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2F57602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DBD2CB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D69BB1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C3BC4FE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C00F127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B305DCD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98B6C66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4CA405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E127DA1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66A5C49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9632B57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C82AC1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C115941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099FD89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5EA05266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1</w:t>
            </w:r>
          </w:p>
          <w:p w14:paraId="478606F8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6</w:t>
            </w:r>
          </w:p>
          <w:p w14:paraId="7BC631DB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0</w:t>
            </w:r>
          </w:p>
          <w:p w14:paraId="7D738F9F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Low</w:t>
            </w:r>
          </w:p>
        </w:tc>
        <w:tc>
          <w:tcPr>
            <w:tcW w:w="2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59CAB6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PRO: Ethics vote; Sample size determined by Altman’s Nomogram; Validated and reliable questionnaire; Comparability of groups with statistical values for education, patient's occupation, income, spouse's income, age range; Testing for normal distribution of data; Detailed description of the Therapeutic Touch process</w:t>
            </w:r>
          </w:p>
          <w:p w14:paraId="70C27D02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042AE35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Blinding questionable; Selective reporting, which only makes sense in the combination of the two or three studies; Blinding questionable; Comparability of the groups questionable; Interventions carried out by the researcher; Only short-term effects measured; No record and inclusion of previous experience with CAM; No precise indication of cancer stage or prior treatments, time since diagnosis, comorbidities; Mean intervention duration longer for patients with gastrointestinal disease in history (20-25 minutes) and need for reintervention in 69.4% - but no subgroup analysis or information on how many patients had gastrointestinal disease in history; More high-income patients in the intervention group (16.7%) than in the placebo (5.6%) and control groups (2.8%); No presentation of statistical results of endpoint 3 in the results section - p-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value is mentioned in the abstract - no information concerning the analysis, presentation of results makes no sense as only percentages are given; No information whether 1st round CTX or further round; Reporting of mean ranks (endpoint 2) not reliable, as it is not possible to trace back what was selected in the mean or median; No detailed information on questionnaires for primary outcomes and non-transparent presentation of these</w:t>
            </w:r>
          </w:p>
          <w:p w14:paraId="49222A74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EC38014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D15543B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sample size determined by Altman’s Nomogram; validated and reliable questionnaire; comparability of groups with statistical values for education, patient's occupation, income, spouse's income, age range; testing for normal distribution of data; detailed description of the Therapeutic Touch process</w:t>
            </w:r>
          </w:p>
          <w:p w14:paraId="664D5AE2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0A48F41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Blinding questionable; Selective reporting, which only makes sense in the combination of the two or three studies; Blinding questionable; Comparability of the groups questionable; Interventions carried out by the researcher; Only short-term effects measured; No record and inclusion of previous experience with CAM; No precise indication of cancer stage or prior treatments, time since diagnosis, comorbidities; Mean intervention duration longer for patients with gastrointestinal disease in history (20-25 minutes) and need for reintervention in 69.4% - but no subgroup analysis or information on how many patients had gastrointestinal disease in history; More high-income patients in the intervention group (16.7%) than in the placebo (5.6%) and control groups (2.8%); No presentation of data from the checklist that was collected before the intervention; Unclear comparability of the groups regarding frequency of vomiting; Unclear if CTX is started at the study time (i.e. 1st round for patients) or whether the patients are in a further round</w:t>
            </w:r>
          </w:p>
          <w:p w14:paraId="041893D3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DEBA5A6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43E9A4A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sample size determined by Altman’s Nomogram; validated and reliable questionnaire; comparability of groups with statistical values for education, patient's occupation, income, spouse's income, age range; testing for normal distribution of data; detailed description of the Therapeutic Touch process</w:t>
            </w:r>
          </w:p>
          <w:p w14:paraId="40B1B936" w14:textId="77777777" w:rsidR="00BB4A90" w:rsidRPr="0027799F" w:rsidRDefault="00BB4A90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D1B2C8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CONTRA: No information on the type of randomization and blinding; Selective reporting, which only makes sense in the combination of the two or three studies; Blinding questionable; Comparability of the groups questionable; Interventions carried out by the researcher;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Only short-term effects measured; No record and inclusion of previous experience with CAM; No precise indication of cancer stage or prior treatments, time since diagnosis, comorbidities; Mean intervention duration longer for patients with gastrointestinal disease in history (20-25 minutes) and need for reintervention in 69.4% - but no subgroup analysis or information on how many patients had gastrointestinal disease in history; More high-income patients in the intervention group (16.7%) than in the placebo (5.6%) and control groups (2.8%); No statistical table for intensity of nausea; No comparison and p-value for placebo and control group (or at least values not provided); VAS (nausea intensity) results before intervention/CTX but not after; Unclear measurement of nausea intensity after intervention; Unclear results of the VAS; No values for individual time points (morning, noon, evening, night); Generally superficial or even selective reporting that questions the interpretation of the results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87FDB4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2b-</w:t>
            </w:r>
          </w:p>
        </w:tc>
      </w:tr>
      <w:tr w:rsidR="00BB4A90" w:rsidRPr="00FF07DD" w14:paraId="1B89B259" w14:textId="77777777" w:rsidTr="00A618B3">
        <w:trPr>
          <w:trHeight w:val="416"/>
        </w:trPr>
        <w:tc>
          <w:tcPr>
            <w:tcW w:w="719" w:type="pct"/>
          </w:tcPr>
          <w:p w14:paraId="3757A42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Mustian (2011)</w:t>
            </w:r>
          </w:p>
        </w:tc>
        <w:tc>
          <w:tcPr>
            <w:tcW w:w="379" w:type="pct"/>
          </w:tcPr>
          <w:p w14:paraId="38425626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63EFB6AF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7E405154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3</w:t>
            </w:r>
          </w:p>
          <w:p w14:paraId="047D0A17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0</w:t>
            </w:r>
          </w:p>
          <w:p w14:paraId="4BF8D08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5</w:t>
            </w:r>
          </w:p>
          <w:p w14:paraId="2364790D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6084AF6D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Comparability of groups in terms of demographic variables; Detailed description of massage technique; Baseline differences included as a control variable in analyses; Standardized daily and time intervals for interventions and data collection; Comprehensible statistical analyses; Critical review of own approach and results; Massage therapists with experience with cancer patients; Thorough statistical control of analyses and implementation of corrections (Bayesian analysis as a control for small samples and high SD); Intention to minimize dialogues between the practitioner and the patient</w:t>
            </w:r>
          </w:p>
          <w:p w14:paraId="5D4AE248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Small sample size;  At T0: higher fatigue scores in arm A (M = 3.7, SD = 2.3) and arm B (M = 3.0, SD = 1.7) compared to arm C (M = 1.8, SD = 1.4, p = 0.03) in BFI as well as in diaries (p = 0.003); No standardization of additional treatments; Inconsistent information in tables and text; Bias in subjective endpoints possible, as participants were informed of the aim of the study; No intention-to-treat analysis; Drop-out insufficiently described; No standardization of participant medications; No record and inclusion of experience with CAM; No comparison and p-value on secondary measurement points between intervention and control arms</w:t>
            </w:r>
          </w:p>
        </w:tc>
        <w:tc>
          <w:tcPr>
            <w:tcW w:w="530" w:type="pct"/>
          </w:tcPr>
          <w:p w14:paraId="1CD7BD66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5E09E991" w14:textId="77777777" w:rsidTr="00A618B3">
        <w:trPr>
          <w:trHeight w:val="1316"/>
        </w:trPr>
        <w:tc>
          <w:tcPr>
            <w:tcW w:w="719" w:type="pct"/>
          </w:tcPr>
          <w:p w14:paraId="0C8BADF8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Olson (2003)</w:t>
            </w:r>
          </w:p>
        </w:tc>
        <w:tc>
          <w:tcPr>
            <w:tcW w:w="379" w:type="pct"/>
          </w:tcPr>
          <w:p w14:paraId="659DA7F5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6C4149ED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1FBE06D4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5</w:t>
            </w:r>
          </w:p>
          <w:p w14:paraId="5818C510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0</w:t>
            </w:r>
          </w:p>
          <w:p w14:paraId="494CCCAE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Negative: 3</w:t>
            </w:r>
          </w:p>
          <w:p w14:paraId="22550F3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3434BECA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PRO: Computer-generated random number assignment system; group assignment was strictly maintained</w:t>
            </w:r>
          </w:p>
          <w:p w14:paraId="66882C1D" w14:textId="77777777" w:rsidR="00BB4A90" w:rsidRPr="0027799F" w:rsidRDefault="00BB4A90" w:rsidP="005D34C2">
            <w:pPr>
              <w:tabs>
                <w:tab w:val="left" w:pos="1289"/>
              </w:tabs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CONTRA: No blinding or placebo group; just looking at differences between changes; hardly any information on effect sizes and power</w:t>
            </w:r>
          </w:p>
        </w:tc>
        <w:tc>
          <w:tcPr>
            <w:tcW w:w="530" w:type="pct"/>
          </w:tcPr>
          <w:p w14:paraId="1111417C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2b</w:t>
            </w:r>
          </w:p>
        </w:tc>
      </w:tr>
      <w:tr w:rsidR="00BB4A90" w:rsidRPr="00FF07DD" w14:paraId="4D231038" w14:textId="77777777" w:rsidTr="00A618B3">
        <w:trPr>
          <w:trHeight w:val="1316"/>
        </w:trPr>
        <w:tc>
          <w:tcPr>
            <w:tcW w:w="719" w:type="pct"/>
          </w:tcPr>
          <w:p w14:paraId="3D52505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Orsak (2015)</w:t>
            </w:r>
          </w:p>
        </w:tc>
        <w:tc>
          <w:tcPr>
            <w:tcW w:w="379" w:type="pct"/>
          </w:tcPr>
          <w:p w14:paraId="19E2072F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0F3A522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4B6F090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2</w:t>
            </w:r>
          </w:p>
          <w:p w14:paraId="7DB9F701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2</w:t>
            </w:r>
          </w:p>
          <w:p w14:paraId="6245DAAC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4</w:t>
            </w:r>
          </w:p>
          <w:p w14:paraId="2CE2D552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151E86A7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Group comparability for all key demographics, cancer stage, and tobacco and alcohol consumption; Validated questionnaires; No influence of environmental factors; Long-term effects were measured in addition to short-term effects; Clear presentation of the hypotheses; Inclusion of age and cancer stage in the analysis; Bonferroni correction for multiple testing</w:t>
            </w:r>
          </w:p>
          <w:p w14:paraId="4F2082AB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Differences between groups in quality of life and mood at baseline of the study; No information about randomization method; Data for the control group were not collected simultaneously with the other two groups; Training level of therapists was not the same (1x master level vs. 5x level II); Different group sizes and very small samples; No record and inclusion of experience with CAM</w:t>
            </w:r>
          </w:p>
        </w:tc>
        <w:tc>
          <w:tcPr>
            <w:tcW w:w="530" w:type="pct"/>
          </w:tcPr>
          <w:p w14:paraId="2D41B755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5DA89A7D" w14:textId="77777777" w:rsidTr="00A618B3">
        <w:trPr>
          <w:trHeight w:val="1316"/>
        </w:trPr>
        <w:tc>
          <w:tcPr>
            <w:tcW w:w="719" w:type="pct"/>
          </w:tcPr>
          <w:p w14:paraId="5532141A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Post-White (2003)</w:t>
            </w:r>
          </w:p>
        </w:tc>
        <w:tc>
          <w:tcPr>
            <w:tcW w:w="379" w:type="pct"/>
          </w:tcPr>
          <w:p w14:paraId="7D3A0887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36661024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0485FA8A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4</w:t>
            </w:r>
          </w:p>
          <w:p w14:paraId="22E9423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2</w:t>
            </w:r>
          </w:p>
          <w:p w14:paraId="699E401F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2</w:t>
            </w:r>
          </w:p>
          <w:p w14:paraId="770EE709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High</w:t>
            </w:r>
          </w:p>
        </w:tc>
        <w:tc>
          <w:tcPr>
            <w:tcW w:w="2259" w:type="pct"/>
          </w:tcPr>
          <w:p w14:paraId="11C23531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Detailed and adequate analysis; power analysis</w:t>
            </w:r>
          </w:p>
          <w:p w14:paraId="627F4216" w14:textId="77777777" w:rsidR="00BB4A90" w:rsidRPr="0027799F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Hardly any information about blinding; patients left the study because they were not in the desired group</w:t>
            </w:r>
          </w:p>
        </w:tc>
        <w:tc>
          <w:tcPr>
            <w:tcW w:w="530" w:type="pct"/>
          </w:tcPr>
          <w:p w14:paraId="4717230E" w14:textId="77777777" w:rsidR="00BB4A90" w:rsidRPr="00FF07DD" w:rsidRDefault="00BB4A90" w:rsidP="005D34C2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1b</w:t>
            </w:r>
          </w:p>
        </w:tc>
      </w:tr>
      <w:tr w:rsidR="00BB4A90" w:rsidRPr="00FF07DD" w14:paraId="00844705" w14:textId="77777777" w:rsidTr="00A618B3">
        <w:trPr>
          <w:trHeight w:val="1316"/>
        </w:trPr>
        <w:tc>
          <w:tcPr>
            <w:tcW w:w="719" w:type="pct"/>
          </w:tcPr>
          <w:p w14:paraId="05C5F8E3" w14:textId="5D708C70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Potter (2007)</w:t>
            </w:r>
          </w:p>
        </w:tc>
        <w:tc>
          <w:tcPr>
            <w:tcW w:w="379" w:type="pct"/>
          </w:tcPr>
          <w:p w14:paraId="16E9DBA2" w14:textId="41C88E1D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4600B7D1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24989921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6</w:t>
            </w:r>
          </w:p>
          <w:p w14:paraId="0D37566A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0</w:t>
            </w:r>
          </w:p>
          <w:p w14:paraId="1EFAE8AB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2</w:t>
            </w:r>
          </w:p>
          <w:p w14:paraId="249B8E0D" w14:textId="1ABC988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5034338E" w14:textId="77777777" w:rsidR="00BB4A90" w:rsidRPr="0027799F" w:rsidRDefault="00BB4A90" w:rsidP="00BB4A90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Comparable groups (although p-values were not reported); Scheduled supervisory meetings to review the study protocol, documentation, and therapeutic concerns; Validated questionnaires and data of Cronbach's alpha; Power analysis; Verification of validity and reliability of interventions</w:t>
            </w:r>
          </w:p>
          <w:p w14:paraId="7EA54509" w14:textId="7DAAB77B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Small sample size with only 20% predictive power + Anxiety and depression scores were already low at the beginning of the study (floor effect); Possible selection bias (patients work in university setting, many health professions); No p-values for differences between Reiki and control group; No information on actual measurement times = superficial presentation of results with little statistical evidence; No indication of confidence intervals or effect sizes; No record and inclusion of experiences with CAM; Only data collection at T2 for STAI; No placebo arm</w:t>
            </w:r>
          </w:p>
        </w:tc>
        <w:tc>
          <w:tcPr>
            <w:tcW w:w="530" w:type="pct"/>
          </w:tcPr>
          <w:p w14:paraId="255672F1" w14:textId="194DF54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5BB94A9A" w14:textId="77777777" w:rsidTr="00A618B3">
        <w:trPr>
          <w:trHeight w:val="699"/>
        </w:trPr>
        <w:tc>
          <w:tcPr>
            <w:tcW w:w="719" w:type="pct"/>
          </w:tcPr>
          <w:p w14:paraId="283B956A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Roscoe (2005)</w:t>
            </w:r>
          </w:p>
        </w:tc>
        <w:tc>
          <w:tcPr>
            <w:tcW w:w="379" w:type="pct"/>
          </w:tcPr>
          <w:p w14:paraId="10DFBB7C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72282B75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0A18162D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2</w:t>
            </w:r>
          </w:p>
          <w:p w14:paraId="59177AC3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Uncertain: 4</w:t>
            </w:r>
          </w:p>
          <w:p w14:paraId="74CD7071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2</w:t>
            </w:r>
          </w:p>
          <w:p w14:paraId="085F8495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536E0066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 xml:space="preserve">PRO: Ethics vote; Validated and reliable questionnaires; Minimization of conversations between therapist and patient; Clear and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comprehensible presentation and collection of data</w:t>
            </w:r>
          </w:p>
          <w:p w14:paraId="3E1232B4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Demographic and medical data insufficiently described; Very small and homogeneous study population; No placebo or comparison arm; Completion of questionnaires may not always have occurred at the same time (patient-dependent period Tuesday after intervention until Friday evening, submission on Monday) -&gt; Potential source of interference with other influencing factors on the day of data collection by patients; No record and inclusion of experiences with CAM; Unclear randomization process; Number of people in intervention group and feedback reporting does not add up (11 out of 10)</w:t>
            </w:r>
          </w:p>
        </w:tc>
        <w:tc>
          <w:tcPr>
            <w:tcW w:w="530" w:type="pct"/>
          </w:tcPr>
          <w:p w14:paraId="5B300193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2b</w:t>
            </w:r>
          </w:p>
        </w:tc>
      </w:tr>
      <w:tr w:rsidR="00BB4A90" w:rsidRPr="00FF07DD" w14:paraId="73A00141" w14:textId="77777777" w:rsidTr="00A618B3">
        <w:trPr>
          <w:trHeight w:val="283"/>
        </w:trPr>
        <w:tc>
          <w:tcPr>
            <w:tcW w:w="719" w:type="pct"/>
          </w:tcPr>
          <w:p w14:paraId="6E6FECDB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Samarel (1998)</w:t>
            </w:r>
          </w:p>
        </w:tc>
        <w:tc>
          <w:tcPr>
            <w:tcW w:w="379" w:type="pct"/>
          </w:tcPr>
          <w:p w14:paraId="56DE7183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2EB5946B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070BA0F2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3</w:t>
            </w:r>
          </w:p>
          <w:p w14:paraId="642A0FBF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5</w:t>
            </w:r>
          </w:p>
          <w:p w14:paraId="3CAAF631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0</w:t>
            </w:r>
          </w:p>
          <w:p w14:paraId="05B38D8C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5449DBDF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Standardized treatment protocols; Reliable randomization; Validated questionnaires; Groups comparable in terms of demographic data and cancer treatment</w:t>
            </w:r>
          </w:p>
          <w:p w14:paraId="3084D3B4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No information regarding ethics vote; Small sample size (original study design with 60 participants); Different group size (n=14 vs. n=17); Large preoperative and postoperative range (1-7 days) in which treatments are performed; No baseline measurement + No testing for differences in relevant study variables between groups prior to treatment initiation; Pre-selection of study participants by surgeons; Information on demographic data inaccurate and insufficient; No record and inclusion regarding CAM experience; No exact information about possible effect of Co-intervention (piano music, dialogue, staying at home); Double blinding questionable - hard to believe that no nurses or patients in the hospital talked about the study design; Superficial presentation of results</w:t>
            </w:r>
          </w:p>
        </w:tc>
        <w:tc>
          <w:tcPr>
            <w:tcW w:w="530" w:type="pct"/>
          </w:tcPr>
          <w:p w14:paraId="72BA641F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FF07DD" w14:paraId="60067E59" w14:textId="77777777" w:rsidTr="00A618B3">
        <w:trPr>
          <w:trHeight w:val="1316"/>
        </w:trPr>
        <w:tc>
          <w:tcPr>
            <w:tcW w:w="719" w:type="pct"/>
          </w:tcPr>
          <w:p w14:paraId="121DE6DC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Tabatabaee (2016)</w:t>
            </w:r>
          </w:p>
        </w:tc>
        <w:tc>
          <w:tcPr>
            <w:tcW w:w="379" w:type="pct"/>
          </w:tcPr>
          <w:p w14:paraId="202E2F22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26D30172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07EB40F1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3</w:t>
            </w:r>
          </w:p>
          <w:p w14:paraId="67271ED0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5</w:t>
            </w:r>
          </w:p>
          <w:p w14:paraId="62D5F36B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0</w:t>
            </w:r>
          </w:p>
          <w:p w14:paraId="44E83241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1ADCAE0C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Comparability of groups by age, education, chronic diseases, cancer stage; Validated and reliable questionnaires; Listing of means and standard deviation (SD) for questionnaires; Bonferroni correction for multiple testing; Appropriate use of statistical analyses and methods</w:t>
            </w:r>
          </w:p>
          <w:p w14:paraId="1F0DD24F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CONTRA: No standardization of intervention in the placebo group; No p-values for comparison of arm B and C; No indication of effect sizes or confidence intervals; No record of previous experience with CAM; No information on cancer diagnosis, previous treatment (RTX, CTX, OP) and remission date; No information about chronic diseases; No information how physicians recorded cancer-related pain, how pain intensity was measured and whether it was comparable between study groups at baseline; Unclear baseline comparison of variables that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affect endpoints; Timeline not clearly described; no detailed description of procedure and patients; No description of the BPI scale; No information on blinding</w:t>
            </w:r>
          </w:p>
        </w:tc>
        <w:tc>
          <w:tcPr>
            <w:tcW w:w="530" w:type="pct"/>
          </w:tcPr>
          <w:p w14:paraId="7049F344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2b</w:t>
            </w:r>
          </w:p>
        </w:tc>
      </w:tr>
      <w:tr w:rsidR="00BB4A90" w:rsidRPr="00FF07DD" w14:paraId="6F664673" w14:textId="77777777" w:rsidTr="00A618B3">
        <w:trPr>
          <w:trHeight w:val="1316"/>
        </w:trPr>
        <w:tc>
          <w:tcPr>
            <w:tcW w:w="719" w:type="pct"/>
          </w:tcPr>
          <w:p w14:paraId="742A05E7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Tsang (2007)</w:t>
            </w:r>
          </w:p>
        </w:tc>
        <w:tc>
          <w:tcPr>
            <w:tcW w:w="379" w:type="pct"/>
          </w:tcPr>
          <w:p w14:paraId="0B316C80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RCT</w:t>
            </w:r>
          </w:p>
        </w:tc>
        <w:tc>
          <w:tcPr>
            <w:tcW w:w="1113" w:type="pct"/>
          </w:tcPr>
          <w:p w14:paraId="021C2E77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SIGN</w:t>
            </w:r>
          </w:p>
          <w:p w14:paraId="0E2F350B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Positive: 2</w:t>
            </w:r>
          </w:p>
          <w:p w14:paraId="4412A81C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Uncertain: 2</w:t>
            </w:r>
          </w:p>
          <w:p w14:paraId="1AC82519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Negative: 4</w:t>
            </w:r>
          </w:p>
          <w:p w14:paraId="0B43EB47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Overall quality: Acceptable</w:t>
            </w:r>
          </w:p>
        </w:tc>
        <w:tc>
          <w:tcPr>
            <w:tcW w:w="2259" w:type="pct"/>
          </w:tcPr>
          <w:p w14:paraId="47A5C94D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PRO: Ethics vote; Validated and reliable questionnaires; Exact description of the study procedure</w:t>
            </w:r>
          </w:p>
          <w:p w14:paraId="3E2865E4" w14:textId="77777777" w:rsidR="00BB4A90" w:rsidRPr="0027799F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CONTRA: Important demographic and medical data were not collected; No exact statement how many patients were evaluated; Different duration of Reiki treatments; Different duration of the second wash-out phase; Lower number of participants than originally planned (instead of 20 only 16 participants); Recommendation of Reiki therapy by patients' oncologists -&gt; Only patients convinced of the therapy participated; No placebo or active control group; No monitoring and validation of rest periods in arm B possible; Different baseline values; No consideration of external influences that could have disturbed "rest" in the control condition (life events, medical events); No record of previous experiences with CAM; Unclear randomization process; 6th and 7th Reiki application was dependent on participants</w:t>
            </w:r>
          </w:p>
        </w:tc>
        <w:tc>
          <w:tcPr>
            <w:tcW w:w="530" w:type="pct"/>
          </w:tcPr>
          <w:p w14:paraId="2ED9AA48" w14:textId="77777777" w:rsidR="00BB4A90" w:rsidRPr="00FF07DD" w:rsidRDefault="00BB4A90" w:rsidP="00BB4A9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2b</w:t>
            </w:r>
          </w:p>
        </w:tc>
      </w:tr>
      <w:tr w:rsidR="00BB4A90" w:rsidRPr="00B02652" w14:paraId="20FCC132" w14:textId="77777777" w:rsidTr="005D34C2">
        <w:tc>
          <w:tcPr>
            <w:tcW w:w="5000" w:type="pct"/>
            <w:gridSpan w:val="5"/>
          </w:tcPr>
          <w:p w14:paraId="41A98FC1" w14:textId="77777777" w:rsidR="00BB4A90" w:rsidRPr="0027799F" w:rsidRDefault="00BB4A90" w:rsidP="00D80E3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AMSTAR: A Measurement Tool to Assess Systematic Reviews, RCT: Randomized control trial, SIGN: Scottish Intercollegiate Guidelines Network Methodology: Checklist 2: Randomized Controlled Trials, SR: Systematic Review</w:t>
            </w:r>
          </w:p>
        </w:tc>
      </w:tr>
    </w:tbl>
    <w:p w14:paraId="61A12566" w14:textId="77777777" w:rsidR="002C1707" w:rsidRPr="00D80E30" w:rsidRDefault="002C1707" w:rsidP="001D60D5">
      <w:pPr>
        <w:spacing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</w:p>
    <w:sectPr w:rsidR="002C1707" w:rsidRPr="00D80E30" w:rsidSect="00A34C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46C6C" w14:textId="77777777" w:rsidR="004074D0" w:rsidRDefault="004074D0" w:rsidP="00B71552">
      <w:pPr>
        <w:spacing w:after="0" w:line="240" w:lineRule="auto"/>
      </w:pPr>
      <w:r>
        <w:separator/>
      </w:r>
    </w:p>
  </w:endnote>
  <w:endnote w:type="continuationSeparator" w:id="0">
    <w:p w14:paraId="3DC55B3E" w14:textId="77777777" w:rsidR="004074D0" w:rsidRDefault="004074D0" w:rsidP="00B71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48AE4" w14:textId="77777777" w:rsidR="004074D0" w:rsidRDefault="004074D0" w:rsidP="00B71552">
      <w:pPr>
        <w:spacing w:after="0" w:line="240" w:lineRule="auto"/>
      </w:pPr>
      <w:r>
        <w:separator/>
      </w:r>
    </w:p>
  </w:footnote>
  <w:footnote w:type="continuationSeparator" w:id="0">
    <w:p w14:paraId="533C8539" w14:textId="77777777" w:rsidR="004074D0" w:rsidRDefault="004074D0" w:rsidP="00B71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zdftdpox0fwmet9e6pw2piz0r0rvdsdaee&quot;&gt;Endnote 20220818 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/record-ids&gt;&lt;/item&gt;&lt;/Libraries&gt;"/>
  </w:docVars>
  <w:rsids>
    <w:rsidRoot w:val="0045763A"/>
    <w:rsid w:val="00005C19"/>
    <w:rsid w:val="00015B83"/>
    <w:rsid w:val="000B6A50"/>
    <w:rsid w:val="000E453C"/>
    <w:rsid w:val="00136809"/>
    <w:rsid w:val="001674B7"/>
    <w:rsid w:val="001D4512"/>
    <w:rsid w:val="001D60D5"/>
    <w:rsid w:val="001E69B0"/>
    <w:rsid w:val="001F3A6A"/>
    <w:rsid w:val="0021537D"/>
    <w:rsid w:val="0027799F"/>
    <w:rsid w:val="00282EC6"/>
    <w:rsid w:val="00283933"/>
    <w:rsid w:val="002A4F3A"/>
    <w:rsid w:val="002C1707"/>
    <w:rsid w:val="002C4F9F"/>
    <w:rsid w:val="003563AA"/>
    <w:rsid w:val="00383520"/>
    <w:rsid w:val="00385458"/>
    <w:rsid w:val="004074D0"/>
    <w:rsid w:val="00423F49"/>
    <w:rsid w:val="00435563"/>
    <w:rsid w:val="004438B6"/>
    <w:rsid w:val="004439FD"/>
    <w:rsid w:val="0045763A"/>
    <w:rsid w:val="00475415"/>
    <w:rsid w:val="00493C30"/>
    <w:rsid w:val="004A40D2"/>
    <w:rsid w:val="004D31A9"/>
    <w:rsid w:val="004E7B13"/>
    <w:rsid w:val="004F23B9"/>
    <w:rsid w:val="005336D7"/>
    <w:rsid w:val="0056638E"/>
    <w:rsid w:val="00582814"/>
    <w:rsid w:val="0059189C"/>
    <w:rsid w:val="00592C65"/>
    <w:rsid w:val="00593B3B"/>
    <w:rsid w:val="005C3A42"/>
    <w:rsid w:val="005C751E"/>
    <w:rsid w:val="005E4E95"/>
    <w:rsid w:val="007033A7"/>
    <w:rsid w:val="00721583"/>
    <w:rsid w:val="007718EF"/>
    <w:rsid w:val="00772391"/>
    <w:rsid w:val="007A7C5D"/>
    <w:rsid w:val="007C4B65"/>
    <w:rsid w:val="007C571C"/>
    <w:rsid w:val="007D3135"/>
    <w:rsid w:val="0080684C"/>
    <w:rsid w:val="0081388D"/>
    <w:rsid w:val="00827930"/>
    <w:rsid w:val="00840E0A"/>
    <w:rsid w:val="00875B4D"/>
    <w:rsid w:val="008D557E"/>
    <w:rsid w:val="008E1546"/>
    <w:rsid w:val="008E6AF4"/>
    <w:rsid w:val="008F493B"/>
    <w:rsid w:val="0093620E"/>
    <w:rsid w:val="00937C7B"/>
    <w:rsid w:val="009A6F09"/>
    <w:rsid w:val="00A02FCE"/>
    <w:rsid w:val="00A06E0A"/>
    <w:rsid w:val="00A34CF2"/>
    <w:rsid w:val="00A45879"/>
    <w:rsid w:val="00A618B3"/>
    <w:rsid w:val="00A92878"/>
    <w:rsid w:val="00B01ECC"/>
    <w:rsid w:val="00B02652"/>
    <w:rsid w:val="00B57B2B"/>
    <w:rsid w:val="00B71552"/>
    <w:rsid w:val="00BB4A90"/>
    <w:rsid w:val="00BD7763"/>
    <w:rsid w:val="00BE22CE"/>
    <w:rsid w:val="00BE5089"/>
    <w:rsid w:val="00C0764B"/>
    <w:rsid w:val="00D65FA0"/>
    <w:rsid w:val="00D80E30"/>
    <w:rsid w:val="00D86B2D"/>
    <w:rsid w:val="00DA0DAC"/>
    <w:rsid w:val="00E50EA3"/>
    <w:rsid w:val="00E640C2"/>
    <w:rsid w:val="00E7722B"/>
    <w:rsid w:val="00F03C7E"/>
    <w:rsid w:val="00F15009"/>
    <w:rsid w:val="00F203D0"/>
    <w:rsid w:val="00F4147A"/>
    <w:rsid w:val="00F83382"/>
    <w:rsid w:val="00F86E45"/>
    <w:rsid w:val="00F87737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B36BA"/>
  <w15:chartTrackingRefBased/>
  <w15:docId w15:val="{2E6782DE-C459-4E2E-B38D-26E2D74F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814"/>
    <w:pPr>
      <w:spacing w:after="200" w:line="276" w:lineRule="auto"/>
    </w:pPr>
    <w:rPr>
      <w:rFonts w:eastAsiaTheme="minorEastAsia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828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4B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7C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58281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8281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8281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de-D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F49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F493B"/>
    <w:rPr>
      <w:rFonts w:ascii="Courier New" w:eastAsia="Times New Roman" w:hAnsi="Courier New" w:cs="Courier New"/>
      <w:sz w:val="20"/>
      <w:szCs w:val="20"/>
      <w:lang w:val="de-DE"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B57B2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57B2B"/>
    <w:rPr>
      <w:rFonts w:ascii="Calibri" w:eastAsiaTheme="minorEastAsia" w:hAnsi="Calibri" w:cs="Calibri"/>
      <w:noProof/>
    </w:rPr>
  </w:style>
  <w:style w:type="paragraph" w:customStyle="1" w:styleId="EndNoteBibliography">
    <w:name w:val="EndNote Bibliography"/>
    <w:basedOn w:val="Standard"/>
    <w:link w:val="EndNoteBibliographyZchn"/>
    <w:rsid w:val="00B57B2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57B2B"/>
    <w:rPr>
      <w:rFonts w:ascii="Calibri" w:eastAsiaTheme="minorEastAsia" w:hAnsi="Calibri" w:cs="Calibri"/>
      <w:noProof/>
    </w:rPr>
  </w:style>
  <w:style w:type="character" w:styleId="Hyperlink">
    <w:name w:val="Hyperlink"/>
    <w:basedOn w:val="Absatz-Standardschriftart"/>
    <w:uiPriority w:val="99"/>
    <w:unhideWhenUsed/>
    <w:rsid w:val="00B57B2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7B2B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rsid w:val="00B57B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57B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57B2B"/>
    <w:rPr>
      <w:rFonts w:eastAsiaTheme="minorEastAsia"/>
      <w:sz w:val="20"/>
      <w:szCs w:val="2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4B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/>
    </w:rPr>
  </w:style>
  <w:style w:type="table" w:customStyle="1" w:styleId="EinfacheTabelle21">
    <w:name w:val="Einfache Tabelle 21"/>
    <w:basedOn w:val="NormaleTabelle"/>
    <w:uiPriority w:val="42"/>
    <w:rsid w:val="0021537D"/>
    <w:pPr>
      <w:spacing w:after="0" w:line="240" w:lineRule="auto"/>
    </w:pPr>
    <w:rPr>
      <w:rFonts w:ascii="Calibri" w:hAnsi="Calibri"/>
      <w:lang w:val="de-D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lenraster3">
    <w:name w:val="Tabellenraster3"/>
    <w:basedOn w:val="NormaleTabelle"/>
    <w:next w:val="Tabellenraster"/>
    <w:uiPriority w:val="39"/>
    <w:rsid w:val="00D65FA0"/>
    <w:pPr>
      <w:spacing w:after="0" w:line="240" w:lineRule="auto"/>
    </w:pPr>
    <w:rPr>
      <w:rFonts w:ascii="Calibri" w:eastAsia="DengXian" w:hAnsi="Calibri"/>
      <w:sz w:val="24"/>
      <w:szCs w:val="24"/>
      <w:lang w:val="de-D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D65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5336D7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BE5089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59"/>
    <w:rsid w:val="001D60D5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715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1552"/>
    <w:rPr>
      <w:rFonts w:eastAsiaTheme="minorEastAsia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715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1552"/>
    <w:rPr>
      <w:rFonts w:eastAsiaTheme="minorEastAsia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37C7B"/>
    <w:rPr>
      <w:rFonts w:asciiTheme="majorHAnsi" w:eastAsiaTheme="majorEastAsia" w:hAnsiTheme="majorHAnsi" w:cstheme="majorBidi"/>
      <w:i/>
      <w:iCs/>
      <w:color w:val="2F5496" w:themeColor="accent1" w:themeShade="BF"/>
      <w:lang w:val="de-DE"/>
    </w:rPr>
  </w:style>
  <w:style w:type="paragraph" w:styleId="berarbeitung">
    <w:name w:val="Revision"/>
    <w:hidden/>
    <w:uiPriority w:val="99"/>
    <w:semiHidden/>
    <w:rsid w:val="00B01ECC"/>
    <w:pPr>
      <w:spacing w:after="0" w:line="240" w:lineRule="auto"/>
    </w:pPr>
    <w:rPr>
      <w:rFonts w:eastAsiaTheme="minorEastAsia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E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1ECC"/>
    <w:rPr>
      <w:rFonts w:eastAsiaTheme="minorEastAsia"/>
      <w:b/>
      <w:bCs/>
      <w:sz w:val="20"/>
      <w:szCs w:val="20"/>
      <w:lang w:val="de-DE"/>
    </w:rPr>
  </w:style>
  <w:style w:type="character" w:styleId="Zeilennummer">
    <w:name w:val="line number"/>
    <w:basedOn w:val="Absatz-Standardschriftart"/>
    <w:uiPriority w:val="99"/>
    <w:semiHidden/>
    <w:unhideWhenUsed/>
    <w:rsid w:val="00E50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8ED4D-AC43-4632-9777-ED50B86D4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2883</Words>
  <Characters>16437</Characters>
  <Application>Microsoft Office Word</Application>
  <DocSecurity>0</DocSecurity>
  <Lines>136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Hauptmann</dc:creator>
  <cp:keywords/>
  <dc:description/>
  <cp:lastModifiedBy>Michael Hauptmann</cp:lastModifiedBy>
  <cp:revision>10</cp:revision>
  <dcterms:created xsi:type="dcterms:W3CDTF">2022-08-23T12:52:00Z</dcterms:created>
  <dcterms:modified xsi:type="dcterms:W3CDTF">2022-09-11T09:45:00Z</dcterms:modified>
</cp:coreProperties>
</file>