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63A4" w14:textId="77777777" w:rsidR="0006596E" w:rsidRPr="00916358" w:rsidRDefault="0006596E" w:rsidP="0006596E">
      <w:pPr>
        <w:spacing w:after="0"/>
        <w:rPr>
          <w:iCs/>
          <w:sz w:val="17"/>
          <w:szCs w:val="17"/>
          <w:lang w:val="en-US"/>
        </w:rPr>
      </w:pPr>
      <w:proofErr w:type="spellStart"/>
      <w:r w:rsidRPr="00916358">
        <w:rPr>
          <w:rStyle w:val="berschrift4Zchn"/>
        </w:rPr>
        <w:t>Supplementary</w:t>
      </w:r>
      <w:proofErr w:type="spellEnd"/>
      <w:r w:rsidRPr="00916358">
        <w:rPr>
          <w:rStyle w:val="berschrift4Zchn"/>
        </w:rPr>
        <w:t xml:space="preserve"> Table 2</w:t>
      </w:r>
      <w:r w:rsidRPr="00916358">
        <w:rPr>
          <w:iCs/>
          <w:sz w:val="17"/>
          <w:szCs w:val="17"/>
        </w:rPr>
        <w:t> </w:t>
      </w:r>
      <w:r w:rsidRPr="00916358">
        <w:rPr>
          <w:iCs/>
          <w:sz w:val="17"/>
          <w:szCs w:val="17"/>
          <w:lang w:val="en-US"/>
        </w:rPr>
        <w:t>Number of patients with or without systemic chemotherapy and with operative procedures before PIPAC</w:t>
      </w:r>
    </w:p>
    <w:tbl>
      <w:tblPr>
        <w:tblStyle w:val="JonasPIPACPaper3"/>
        <w:tblW w:w="0" w:type="auto"/>
        <w:tblLook w:val="0620" w:firstRow="1" w:lastRow="0" w:firstColumn="0" w:lastColumn="0" w:noHBand="1" w:noVBand="1"/>
      </w:tblPr>
      <w:tblGrid>
        <w:gridCol w:w="2690"/>
        <w:gridCol w:w="810"/>
      </w:tblGrid>
      <w:tr w:rsidR="0006596E" w:rsidRPr="00916358" w14:paraId="1078B6A2" w14:textId="77777777" w:rsidTr="00A31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tcW w:w="0" w:type="auto"/>
            <w:hideMark/>
          </w:tcPr>
          <w:p w14:paraId="442E3D88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</w:p>
        </w:tc>
        <w:tc>
          <w:tcPr>
            <w:tcW w:w="0" w:type="auto"/>
            <w:hideMark/>
          </w:tcPr>
          <w:p w14:paraId="3CFB51AA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n (%)</w:t>
            </w:r>
          </w:p>
        </w:tc>
      </w:tr>
      <w:tr w:rsidR="0006596E" w:rsidRPr="00916358" w14:paraId="3275DBA0" w14:textId="77777777" w:rsidTr="00A31FC2">
        <w:trPr>
          <w:trHeight w:val="276"/>
        </w:trPr>
        <w:tc>
          <w:tcPr>
            <w:tcW w:w="0" w:type="auto"/>
            <w:hideMark/>
          </w:tcPr>
          <w:p w14:paraId="02033075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proofErr w:type="spellStart"/>
            <w:r w:rsidRPr="00916358">
              <w:rPr>
                <w:iCs/>
                <w:sz w:val="17"/>
                <w:szCs w:val="17"/>
              </w:rPr>
              <w:t>Systemic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Chemotherapy</w:t>
            </w:r>
            <w:proofErr w:type="spellEnd"/>
          </w:p>
        </w:tc>
        <w:tc>
          <w:tcPr>
            <w:tcW w:w="0" w:type="auto"/>
            <w:hideMark/>
          </w:tcPr>
          <w:p w14:paraId="4F66B68B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</w:p>
        </w:tc>
      </w:tr>
      <w:tr w:rsidR="0006596E" w:rsidRPr="00916358" w14:paraId="2C404F14" w14:textId="77777777" w:rsidTr="00A31FC2">
        <w:trPr>
          <w:trHeight w:val="276"/>
        </w:trPr>
        <w:tc>
          <w:tcPr>
            <w:tcW w:w="0" w:type="auto"/>
            <w:hideMark/>
          </w:tcPr>
          <w:p w14:paraId="6E774D88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  </w:t>
            </w:r>
            <w:proofErr w:type="spellStart"/>
            <w:r w:rsidRPr="00916358">
              <w:rPr>
                <w:iCs/>
                <w:sz w:val="17"/>
                <w:szCs w:val="17"/>
              </w:rPr>
              <w:t>Started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before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PIPAC</w:t>
            </w:r>
          </w:p>
        </w:tc>
        <w:tc>
          <w:tcPr>
            <w:tcW w:w="0" w:type="auto"/>
            <w:hideMark/>
          </w:tcPr>
          <w:p w14:paraId="71E65463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91 (84%)</w:t>
            </w:r>
          </w:p>
        </w:tc>
      </w:tr>
      <w:tr w:rsidR="0006596E" w:rsidRPr="00916358" w14:paraId="5579A252" w14:textId="77777777" w:rsidTr="00A31FC2">
        <w:trPr>
          <w:trHeight w:val="276"/>
        </w:trPr>
        <w:tc>
          <w:tcPr>
            <w:tcW w:w="0" w:type="auto"/>
            <w:hideMark/>
          </w:tcPr>
          <w:p w14:paraId="3A268882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  </w:t>
            </w:r>
            <w:proofErr w:type="spellStart"/>
            <w:r>
              <w:rPr>
                <w:iCs/>
                <w:sz w:val="17"/>
                <w:szCs w:val="17"/>
              </w:rPr>
              <w:t>Started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together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with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PIPAC</w:t>
            </w:r>
          </w:p>
        </w:tc>
        <w:tc>
          <w:tcPr>
            <w:tcW w:w="0" w:type="auto"/>
            <w:hideMark/>
          </w:tcPr>
          <w:p w14:paraId="734FBFAF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13 (12%)</w:t>
            </w:r>
          </w:p>
        </w:tc>
      </w:tr>
      <w:tr w:rsidR="0006596E" w:rsidRPr="00916358" w14:paraId="72635C61" w14:textId="77777777" w:rsidTr="00A31FC2">
        <w:trPr>
          <w:trHeight w:val="276"/>
        </w:trPr>
        <w:tc>
          <w:tcPr>
            <w:tcW w:w="0" w:type="auto"/>
            <w:hideMark/>
          </w:tcPr>
          <w:p w14:paraId="36550678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  </w:t>
            </w:r>
            <w:proofErr w:type="spellStart"/>
            <w:r w:rsidRPr="00916358">
              <w:rPr>
                <w:iCs/>
                <w:sz w:val="17"/>
                <w:szCs w:val="17"/>
              </w:rPr>
              <w:t>Received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between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PIPAC-</w:t>
            </w:r>
            <w:proofErr w:type="spellStart"/>
            <w:r w:rsidRPr="00916358">
              <w:rPr>
                <w:iCs/>
                <w:sz w:val="17"/>
                <w:szCs w:val="17"/>
              </w:rPr>
              <w:t>cycles</w:t>
            </w:r>
            <w:proofErr w:type="spellEnd"/>
          </w:p>
        </w:tc>
        <w:tc>
          <w:tcPr>
            <w:tcW w:w="0" w:type="auto"/>
            <w:hideMark/>
          </w:tcPr>
          <w:p w14:paraId="76E60BE6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54 (54%)</w:t>
            </w:r>
          </w:p>
        </w:tc>
      </w:tr>
      <w:tr w:rsidR="0006596E" w:rsidRPr="00916358" w14:paraId="26271FC7" w14:textId="77777777" w:rsidTr="00A31FC2">
        <w:trPr>
          <w:trHeight w:val="276"/>
        </w:trPr>
        <w:tc>
          <w:tcPr>
            <w:tcW w:w="0" w:type="auto"/>
            <w:hideMark/>
          </w:tcPr>
          <w:p w14:paraId="68DBEFBE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  None</w:t>
            </w:r>
          </w:p>
        </w:tc>
        <w:tc>
          <w:tcPr>
            <w:tcW w:w="0" w:type="auto"/>
            <w:hideMark/>
          </w:tcPr>
          <w:p w14:paraId="58894BA0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4 (4%)</w:t>
            </w:r>
          </w:p>
        </w:tc>
      </w:tr>
      <w:tr w:rsidR="0006596E" w:rsidRPr="00916358" w14:paraId="0550251A" w14:textId="77777777" w:rsidTr="00A31FC2">
        <w:trPr>
          <w:trHeight w:val="276"/>
        </w:trPr>
        <w:tc>
          <w:tcPr>
            <w:tcW w:w="0" w:type="auto"/>
            <w:hideMark/>
          </w:tcPr>
          <w:p w14:paraId="45FAE94A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 xml:space="preserve">Operative </w:t>
            </w:r>
            <w:proofErr w:type="spellStart"/>
            <w:r w:rsidRPr="00916358">
              <w:rPr>
                <w:iCs/>
                <w:sz w:val="17"/>
                <w:szCs w:val="17"/>
              </w:rPr>
              <w:t>procedures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before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PIPAC</w:t>
            </w:r>
          </w:p>
        </w:tc>
        <w:tc>
          <w:tcPr>
            <w:tcW w:w="0" w:type="auto"/>
            <w:hideMark/>
          </w:tcPr>
          <w:p w14:paraId="45D4871C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</w:p>
        </w:tc>
      </w:tr>
      <w:tr w:rsidR="0006596E" w:rsidRPr="00916358" w14:paraId="0A3BECDB" w14:textId="77777777" w:rsidTr="00A31FC2">
        <w:trPr>
          <w:trHeight w:val="276"/>
        </w:trPr>
        <w:tc>
          <w:tcPr>
            <w:tcW w:w="0" w:type="auto"/>
            <w:hideMark/>
          </w:tcPr>
          <w:p w14:paraId="6EAC0772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  </w:t>
            </w:r>
            <w:proofErr w:type="spellStart"/>
            <w:r w:rsidRPr="00916358">
              <w:rPr>
                <w:iCs/>
                <w:sz w:val="17"/>
                <w:szCs w:val="17"/>
              </w:rPr>
              <w:t>Resection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of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</w:t>
            </w:r>
            <w:proofErr w:type="spellStart"/>
            <w:r w:rsidRPr="00916358">
              <w:rPr>
                <w:iCs/>
                <w:sz w:val="17"/>
                <w:szCs w:val="17"/>
              </w:rPr>
              <w:t>primary</w:t>
            </w:r>
            <w:proofErr w:type="spellEnd"/>
          </w:p>
        </w:tc>
        <w:tc>
          <w:tcPr>
            <w:tcW w:w="0" w:type="auto"/>
            <w:hideMark/>
          </w:tcPr>
          <w:p w14:paraId="58A698AC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78 (72%)</w:t>
            </w:r>
          </w:p>
        </w:tc>
      </w:tr>
      <w:tr w:rsidR="0006596E" w:rsidRPr="00916358" w14:paraId="027024C9" w14:textId="77777777" w:rsidTr="00A31FC2">
        <w:trPr>
          <w:trHeight w:val="276"/>
        </w:trPr>
        <w:tc>
          <w:tcPr>
            <w:tcW w:w="0" w:type="auto"/>
            <w:hideMark/>
          </w:tcPr>
          <w:p w14:paraId="37FA5664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 xml:space="preserve">  CRS </w:t>
            </w:r>
            <w:proofErr w:type="spellStart"/>
            <w:r w:rsidRPr="00916358">
              <w:rPr>
                <w:iCs/>
                <w:sz w:val="17"/>
                <w:szCs w:val="17"/>
              </w:rPr>
              <w:t>with</w:t>
            </w:r>
            <w:proofErr w:type="spellEnd"/>
            <w:r w:rsidRPr="00916358">
              <w:rPr>
                <w:iCs/>
                <w:sz w:val="17"/>
                <w:szCs w:val="17"/>
              </w:rPr>
              <w:t xml:space="preserve"> HIPEC</w:t>
            </w:r>
          </w:p>
        </w:tc>
        <w:tc>
          <w:tcPr>
            <w:tcW w:w="0" w:type="auto"/>
            <w:hideMark/>
          </w:tcPr>
          <w:p w14:paraId="19D10316" w14:textId="77777777" w:rsidR="0006596E" w:rsidRPr="00916358" w:rsidRDefault="0006596E" w:rsidP="00A31FC2">
            <w:pPr>
              <w:rPr>
                <w:iCs/>
                <w:sz w:val="17"/>
                <w:szCs w:val="17"/>
              </w:rPr>
            </w:pPr>
            <w:r w:rsidRPr="00916358">
              <w:rPr>
                <w:iCs/>
                <w:sz w:val="17"/>
                <w:szCs w:val="17"/>
              </w:rPr>
              <w:t>12 (11%)</w:t>
            </w:r>
          </w:p>
        </w:tc>
      </w:tr>
    </w:tbl>
    <w:p w14:paraId="1F359DF8" w14:textId="20B95199" w:rsidR="00942932" w:rsidRPr="0006596E" w:rsidRDefault="0006596E" w:rsidP="0006596E">
      <w:pPr>
        <w:spacing w:after="0"/>
        <w:rPr>
          <w:iCs/>
          <w:sz w:val="17"/>
          <w:szCs w:val="17"/>
          <w:lang w:val="en-US"/>
        </w:rPr>
      </w:pPr>
      <w:r w:rsidRPr="00916358">
        <w:rPr>
          <w:iCs/>
          <w:sz w:val="17"/>
          <w:szCs w:val="17"/>
          <w:lang w:val="en-US"/>
        </w:rPr>
        <w:t>PIPAC = pressurized intraperitoneal aerosol chemotherapy.</w:t>
      </w:r>
      <w:r>
        <w:rPr>
          <w:iCs/>
          <w:sz w:val="17"/>
          <w:szCs w:val="17"/>
          <w:lang w:val="en-US"/>
        </w:rPr>
        <w:t xml:space="preserve"> CRS = cytoreductive surgery. HIPEC = intraperitoneal hyperthermic chemoperfusion.</w:t>
      </w:r>
    </w:p>
    <w:sectPr w:rsidR="00942932" w:rsidRPr="0006596E" w:rsidSect="00DA59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Regular">
    <w:altName w:val="Cambria"/>
    <w:panose1 w:val="00000000000000000000"/>
    <w:charset w:val="A1"/>
    <w:family w:val="roman"/>
    <w:notTrueType/>
    <w:pitch w:val="default"/>
    <w:sig w:usb0="00000081" w:usb1="08070000" w:usb2="00000010" w:usb3="00000000" w:csb0="00020008" w:csb1="00000000"/>
  </w:font>
  <w:font w:name="MyriadPro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3"/>
    <w:rsid w:val="0006596E"/>
    <w:rsid w:val="00093BBA"/>
    <w:rsid w:val="003E0F99"/>
    <w:rsid w:val="00942932"/>
    <w:rsid w:val="00B75CCD"/>
    <w:rsid w:val="00DA59E7"/>
    <w:rsid w:val="00F92053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81D3"/>
  <w15:chartTrackingRefBased/>
  <w15:docId w15:val="{6E5C87DC-9393-4689-9EED-73863EEA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5CCD"/>
    <w:pPr>
      <w:spacing w:line="360" w:lineRule="auto"/>
    </w:pPr>
    <w:rPr>
      <w:rFonts w:ascii="STIX-Regular" w:hAnsi="STIX-Regular" w:cs="Arial"/>
      <w:color w:val="000000" w:themeColor="text1"/>
      <w:sz w:val="20"/>
      <w:szCs w:val="56"/>
      <w:lang w:val="de-DE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6596E"/>
    <w:pPr>
      <w:keepNext/>
      <w:keepLines/>
      <w:spacing w:after="0"/>
      <w:outlineLvl w:val="3"/>
    </w:pPr>
    <w:rPr>
      <w:rFonts w:ascii="MyriadPro-Semibold" w:eastAsiaTheme="majorEastAsia" w:hAnsi="MyriadPro-Semibold" w:cstheme="majorBidi"/>
      <w:b/>
      <w:iCs/>
      <w:sz w:val="17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4Akzent2">
    <w:name w:val="Grid Table 4 Accent 2"/>
    <w:aliases w:val="PIPAC1"/>
    <w:basedOn w:val="NormaleTabelle"/>
    <w:uiPriority w:val="49"/>
    <w:rsid w:val="003E0F99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rFonts w:ascii="Arial" w:hAnsi="Arial"/>
        <w:b w:val="0"/>
        <w:bCs/>
        <w:color w:val="FFFFFF" w:themeColor="background1"/>
        <w:sz w:val="20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ascii="Arial" w:hAnsi="Arial"/>
        <w:b w:val="0"/>
        <w:bCs/>
        <w:sz w:val="20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rPr>
        <w:rFonts w:ascii="Arial" w:hAnsi="Arial"/>
        <w:sz w:val="20"/>
      </w:rPr>
      <w:tblPr/>
      <w:tcPr>
        <w:shd w:val="clear" w:color="auto" w:fill="FBE4D5" w:themeFill="accent2" w:themeFillTint="33"/>
      </w:tc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  <w:tblPr/>
      <w:tcPr>
        <w:shd w:val="clear" w:color="auto" w:fill="FBE4D5" w:themeFill="accent2" w:themeFillTint="33"/>
      </w:tcPr>
    </w:tblStylePr>
  </w:style>
  <w:style w:type="table" w:customStyle="1" w:styleId="JonasPIPACPaper3">
    <w:name w:val="Jonas PIPAC Paper 3"/>
    <w:basedOn w:val="NormaleTabelle"/>
    <w:uiPriority w:val="99"/>
    <w:rsid w:val="00B75CCD"/>
    <w:pPr>
      <w:spacing w:after="0" w:line="240" w:lineRule="auto"/>
    </w:pPr>
    <w:rPr>
      <w:rFonts w:ascii="STIX-Regular" w:hAnsi="STIX-Regular"/>
      <w:color w:val="000000" w:themeColor="text1"/>
      <w:sz w:val="17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</w:pPr>
      <w:rPr>
        <w:rFonts w:ascii="Arial" w:hAnsi="Arial"/>
        <w:b w:val="0"/>
        <w:bCs/>
        <w:color w:val="FFFFFF" w:themeColor="background1"/>
        <w:sz w:val="17"/>
      </w:rPr>
      <w:tblPr/>
      <w:tcPr>
        <w:tcBorders>
          <w:top w:val="single" w:sz="4" w:space="0" w:color="auto"/>
          <w:left w:val="nil"/>
          <w:bottom w:val="single" w:sz="8" w:space="0" w:color="auto"/>
          <w:right w:val="nil"/>
          <w:insideH w:val="single" w:sz="4" w:space="0" w:color="E7E6E6" w:themeColor="background2"/>
          <w:insideV w:val="nil"/>
          <w:tl2br w:val="nil"/>
        </w:tcBorders>
        <w:shd w:val="clear" w:color="auto" w:fill="auto"/>
      </w:tcPr>
    </w:tblStylePr>
    <w:tblStylePr w:type="lastRow">
      <w:rPr>
        <w:rFonts w:ascii="Arial" w:hAnsi="Arial"/>
        <w:b w:val="0"/>
        <w:bCs/>
        <w:color w:val="FFFFFF" w:themeColor="background1"/>
        <w:sz w:val="17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80"/>
      </w:tcPr>
    </w:tblStylePr>
    <w:tblStylePr w:type="firstCol">
      <w:pPr>
        <w:jc w:val="right"/>
      </w:pPr>
      <w:rPr>
        <w:rFonts w:ascii="Arial" w:hAnsi="Arial"/>
        <w:i w:val="0"/>
        <w:iCs/>
        <w:sz w:val="17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Arial" w:hAnsi="Arial"/>
        <w:i w:val="0"/>
        <w:iCs/>
        <w:sz w:val="17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ascii="Arial" w:hAnsi="Arial"/>
        <w:sz w:val="17"/>
      </w:rPr>
      <w:tblPr/>
      <w:tcPr>
        <w:shd w:val="clear" w:color="auto" w:fill="DBDBDB" w:themeFill="accent3" w:themeFillTint="66"/>
      </w:tcPr>
    </w:tblStylePr>
    <w:tblStylePr w:type="band2Vert">
      <w:rPr>
        <w:rFonts w:ascii="Arial" w:hAnsi="Arial"/>
        <w:sz w:val="17"/>
      </w:rPr>
      <w:tblPr/>
      <w:tcPr>
        <w:shd w:val="clear" w:color="auto" w:fill="FFFFFF" w:themeFill="background1"/>
      </w:tcPr>
    </w:tblStylePr>
    <w:tblStylePr w:type="band1Horz">
      <w:rPr>
        <w:rFonts w:ascii="Arial" w:hAnsi="Arial"/>
        <w:sz w:val="17"/>
      </w:rPr>
      <w:tblPr/>
      <w:tcPr>
        <w:shd w:val="clear" w:color="auto" w:fill="DBDBDB" w:themeFill="accent3" w:themeFillTint="66"/>
      </w:tcPr>
    </w:tblStylePr>
    <w:tblStylePr w:type="band2Horz">
      <w:rPr>
        <w:rFonts w:ascii="Arial" w:hAnsi="Arial"/>
        <w:sz w:val="17"/>
      </w:rPr>
      <w:tblPr/>
      <w:tcPr>
        <w:shd w:val="clear" w:color="auto" w:fill="FFFFFF" w:themeFill="background1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customStyle="1" w:styleId="berschrift4Zchn">
    <w:name w:val="Überschrift 4 Zchn"/>
    <w:basedOn w:val="Absatz-Standardschriftart"/>
    <w:link w:val="berschrift4"/>
    <w:uiPriority w:val="9"/>
    <w:rsid w:val="0006596E"/>
    <w:rPr>
      <w:rFonts w:ascii="MyriadPro-Semibold" w:eastAsiaTheme="majorEastAsia" w:hAnsi="MyriadPro-Semibold" w:cstheme="majorBidi"/>
      <w:b/>
      <w:iCs/>
      <w:color w:val="000000" w:themeColor="text1"/>
      <w:sz w:val="17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Eberth</dc:creator>
  <cp:keywords/>
  <dc:description/>
  <cp:lastModifiedBy>Jonas Eberth</cp:lastModifiedBy>
  <cp:revision>4</cp:revision>
  <dcterms:created xsi:type="dcterms:W3CDTF">2022-10-05T17:53:00Z</dcterms:created>
  <dcterms:modified xsi:type="dcterms:W3CDTF">2022-10-06T12:00:00Z</dcterms:modified>
</cp:coreProperties>
</file>