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BB357" w14:textId="75DED03B" w:rsidR="008D2519" w:rsidRPr="008D2519" w:rsidRDefault="008D2519" w:rsidP="008D2519">
      <w:pPr>
        <w:pStyle w:val="a3"/>
        <w:spacing w:line="480" w:lineRule="auto"/>
        <w:rPr>
          <w:rFonts w:ascii="Times New Roman" w:eastAsia="微软雅黑" w:cs="Times New Roman"/>
          <w:b/>
          <w:bCs/>
          <w:color w:val="000000" w:themeColor="text1"/>
          <w:sz w:val="20"/>
          <w:szCs w:val="20"/>
        </w:rPr>
      </w:pPr>
      <w:r w:rsidRPr="008D2519">
        <w:rPr>
          <w:rFonts w:ascii="Times New Roman" w:eastAsia="微软雅黑" w:hAnsi="Times New Roman" w:cs="Times New Roman" w:hint="eastAsia"/>
          <w:b/>
          <w:bCs/>
          <w:color w:val="000000" w:themeColor="text1"/>
          <w:sz w:val="20"/>
          <w:szCs w:val="20"/>
        </w:rPr>
        <w:t>J</w:t>
      </w:r>
      <w:r w:rsidRPr="008D2519"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</w:rPr>
        <w:t xml:space="preserve">ournal: </w:t>
      </w:r>
      <w:hyperlink r:id="rId5" w:history="1">
        <w:r w:rsidRPr="008D2519">
          <w:rPr>
            <w:rStyle w:val="a5"/>
            <w:rFonts w:ascii="Times New Roman" w:eastAsia="微软雅黑" w:cs="Times New Roman"/>
            <w:b/>
            <w:bCs/>
            <w:color w:val="000000" w:themeColor="text1"/>
            <w:sz w:val="20"/>
            <w:szCs w:val="20"/>
            <w:u w:val="none"/>
          </w:rPr>
          <w:t>Journal of Cancer Research and Clinical Oncology</w:t>
        </w:r>
      </w:hyperlink>
    </w:p>
    <w:p w14:paraId="5CC764F4" w14:textId="789A1DF2" w:rsidR="00280214" w:rsidRPr="008D2519" w:rsidRDefault="00280214" w:rsidP="00280214">
      <w:pPr>
        <w:pStyle w:val="a3"/>
        <w:spacing w:before="0" w:beforeAutospacing="0" w:after="0" w:afterAutospacing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8D2519"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</w:rPr>
        <w:t xml:space="preserve">Differential diagnosis of lymphoma with </w:t>
      </w:r>
      <w:r w:rsidRPr="008D2519"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18</w:t>
      </w:r>
      <w:r w:rsidRPr="008D2519">
        <w:rPr>
          <w:rFonts w:ascii="Times New Roman" w:eastAsia="微软雅黑" w:hAnsi="Times New Roman" w:cs="Times New Roman"/>
          <w:b/>
          <w:bCs/>
          <w:color w:val="000000" w:themeColor="text1"/>
          <w:sz w:val="20"/>
          <w:szCs w:val="20"/>
        </w:rPr>
        <w:t xml:space="preserve">F-FDG PET/CT in patients with fever of unknown origin </w:t>
      </w:r>
      <w:r w:rsidRPr="008D251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accompanied by lymphadenopathy</w:t>
      </w:r>
    </w:p>
    <w:p w14:paraId="43E99B06" w14:textId="7B4BE154" w:rsidR="00280214" w:rsidRPr="008D2519" w:rsidRDefault="00280214" w:rsidP="00280214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color w:val="000000" w:themeColor="text1"/>
          <w:sz w:val="20"/>
          <w:szCs w:val="20"/>
          <w:vertAlign w:val="superscript"/>
        </w:rPr>
      </w:pPr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>Jia Chen; Dong Xu; Wen-</w:t>
      </w:r>
      <w:proofErr w:type="spellStart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>Jin</w:t>
      </w:r>
      <w:proofErr w:type="spellEnd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 xml:space="preserve"> Sun; Wen-Xia Wang; Na-Na </w:t>
      </w:r>
      <w:proofErr w:type="spellStart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>Xie</w:t>
      </w:r>
      <w:proofErr w:type="spellEnd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 xml:space="preserve">; </w:t>
      </w:r>
      <w:proofErr w:type="spellStart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>Qiu</w:t>
      </w:r>
      <w:proofErr w:type="spellEnd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 xml:space="preserve">-Rong </w:t>
      </w:r>
      <w:proofErr w:type="spellStart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>Ruan</w:t>
      </w:r>
      <w:proofErr w:type="spellEnd"/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  <w:vertAlign w:val="superscript"/>
        </w:rPr>
        <w:t>*</w:t>
      </w:r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>; Jian-Xin Song</w:t>
      </w:r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  <w:vertAlign w:val="superscript"/>
        </w:rPr>
        <w:t>*</w:t>
      </w:r>
    </w:p>
    <w:p w14:paraId="20CF05F6" w14:textId="77777777" w:rsidR="008D2519" w:rsidRDefault="00280214" w:rsidP="00280214">
      <w:pPr>
        <w:pStyle w:val="a3"/>
        <w:spacing w:before="0" w:beforeAutospacing="0" w:after="0" w:afterAutospacing="0" w:line="480" w:lineRule="auto"/>
        <w:rPr>
          <w:rFonts w:ascii="Times New Roman" w:eastAsia="宋体-简" w:hAnsi="Times New Roman" w:cs="Times New Roman"/>
          <w:color w:val="000000" w:themeColor="text1"/>
          <w:sz w:val="20"/>
          <w:szCs w:val="20"/>
        </w:rPr>
      </w:pPr>
      <w:r w:rsidRPr="008D251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*Corresponding author</w:t>
      </w:r>
      <w:r w:rsidRPr="008D2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8D2519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Jian-Xin Song</w:t>
      </w:r>
      <w:r w:rsidRPr="008D2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6" w:history="1">
        <w:r w:rsidRPr="008D2519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songsingsjx@sina.com</w:t>
        </w:r>
      </w:hyperlink>
      <w:r w:rsidRPr="008D2519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D2519">
        <w:rPr>
          <w:color w:val="000000" w:themeColor="text1"/>
        </w:rPr>
        <w:t xml:space="preserve"> </w:t>
      </w:r>
      <w:r w:rsidRPr="008D2519">
        <w:rPr>
          <w:rFonts w:ascii="Times New Roman" w:eastAsia="宋体-简" w:cs="Times New Roman"/>
          <w:color w:val="000000" w:themeColor="text1"/>
          <w:sz w:val="20"/>
          <w:szCs w:val="20"/>
        </w:rPr>
        <w:t>Department of Infectious Diseases, Tongji Hospital, Tongji Medical College, Huazhong University of Science and Technology, Wuhan 430030, China.</w:t>
      </w:r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 xml:space="preserve"> </w:t>
      </w:r>
    </w:p>
    <w:p w14:paraId="48C991FE" w14:textId="7ABC31CA" w:rsidR="00280214" w:rsidRPr="008D2519" w:rsidRDefault="00280214" w:rsidP="00280214">
      <w:pPr>
        <w:pStyle w:val="a3"/>
        <w:spacing w:before="0" w:beforeAutospacing="0" w:after="0" w:afterAutospacing="0" w:line="480" w:lineRule="auto"/>
        <w:rPr>
          <w:rFonts w:ascii="Times New Roman" w:eastAsia="微软雅黑" w:hAnsi="Times New Roman" w:cs="Times New Roman"/>
          <w:color w:val="000000" w:themeColor="text1"/>
          <w:sz w:val="20"/>
          <w:szCs w:val="20"/>
        </w:rPr>
      </w:pPr>
      <w:proofErr w:type="spellStart"/>
      <w:r w:rsidRPr="008D2519">
        <w:rPr>
          <w:rFonts w:ascii="Times New Roman" w:eastAsia="宋体-简" w:hAnsi="Times New Roman" w:cs="Times New Roman"/>
          <w:b/>
          <w:bCs/>
          <w:color w:val="000000" w:themeColor="text1"/>
          <w:sz w:val="20"/>
          <w:szCs w:val="20"/>
        </w:rPr>
        <w:t>Qiu</w:t>
      </w:r>
      <w:proofErr w:type="spellEnd"/>
      <w:r w:rsidRPr="008D2519">
        <w:rPr>
          <w:rFonts w:ascii="Times New Roman" w:eastAsia="宋体-简" w:hAnsi="Times New Roman" w:cs="Times New Roman"/>
          <w:b/>
          <w:bCs/>
          <w:color w:val="000000" w:themeColor="text1"/>
          <w:sz w:val="20"/>
          <w:szCs w:val="20"/>
        </w:rPr>
        <w:t xml:space="preserve">-Rong </w:t>
      </w:r>
      <w:proofErr w:type="spellStart"/>
      <w:r w:rsidRPr="008D2519">
        <w:rPr>
          <w:rFonts w:ascii="Times New Roman" w:eastAsia="宋体-简" w:hAnsi="Times New Roman" w:cs="Times New Roman"/>
          <w:b/>
          <w:bCs/>
          <w:color w:val="000000" w:themeColor="text1"/>
          <w:sz w:val="20"/>
          <w:szCs w:val="20"/>
        </w:rPr>
        <w:t>Ruan</w:t>
      </w:r>
      <w:proofErr w:type="spellEnd"/>
      <w:r w:rsidRPr="008D25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7" w:history="1">
        <w:r w:rsidRPr="008D2519">
          <w:rPr>
            <w:rStyle w:val="a5"/>
            <w:rFonts w:ascii="Times New Roman" w:eastAsia="宋体-简" w:hAnsi="Times New Roman" w:cs="Times New Roman"/>
            <w:color w:val="000000" w:themeColor="text1"/>
            <w:sz w:val="20"/>
            <w:szCs w:val="20"/>
            <w:u w:val="none"/>
          </w:rPr>
          <w:t>ruanqiurong@sina.com</w:t>
        </w:r>
      </w:hyperlink>
      <w:r w:rsidRPr="008D2519">
        <w:rPr>
          <w:rFonts w:ascii="Times New Roman" w:eastAsia="宋体-简" w:hAnsi="Times New Roman" w:cs="Times New Roman"/>
          <w:color w:val="000000" w:themeColor="text1"/>
          <w:sz w:val="20"/>
          <w:szCs w:val="20"/>
        </w:rPr>
        <w:t xml:space="preserve">, </w:t>
      </w:r>
      <w:r w:rsidRPr="008D2519">
        <w:rPr>
          <w:rFonts w:ascii="Times New Roman" w:eastAsia="微软雅黑" w:hAnsi="Times New Roman" w:cs="Times New Roman"/>
          <w:color w:val="000000" w:themeColor="text1"/>
          <w:sz w:val="20"/>
          <w:szCs w:val="20"/>
        </w:rPr>
        <w:t>Institute of Pathology, Tongji Hospital, Tongji Medical College, Huazhong University of Science and Technology, Wuhan 430030, China</w:t>
      </w:r>
    </w:p>
    <w:p w14:paraId="56B84722" w14:textId="77777777" w:rsidR="00280214" w:rsidRPr="008D2519" w:rsidRDefault="00280214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3560C0D4" w14:textId="7FE769A8" w:rsidR="00280214" w:rsidRDefault="00280214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6BCD468B" w14:textId="3D182DB8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639EC2FC" w14:textId="5CAB20E6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2C1A1237" w14:textId="7F3988B7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5D3ED249" w14:textId="4E161375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3FF560A5" w14:textId="43897E6C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0CC3BEF8" w14:textId="4C81D961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2C7D3B4D" w14:textId="5B58C360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774C21DF" w14:textId="3EBC6CB6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5DA34FF7" w14:textId="5D3FAC5E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6EC472BA" w14:textId="01724EF2" w:rsid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194B59AE" w14:textId="77777777" w:rsidR="008D2519" w:rsidRPr="008D2519" w:rsidRDefault="008D25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</w:p>
    <w:p w14:paraId="15E0091B" w14:textId="5BD25B8E" w:rsidR="00337E19" w:rsidRPr="008D2519" w:rsidRDefault="00337E19" w:rsidP="00280214">
      <w:pPr>
        <w:spacing w:line="480" w:lineRule="auto"/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</w:pPr>
      <w:r w:rsidRPr="008D2519"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  <w:lastRenderedPageBreak/>
        <w:t>Table S</w:t>
      </w:r>
      <w:r w:rsidR="004B4C38" w:rsidRPr="008D2519"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  <w:t xml:space="preserve">1. </w:t>
      </w:r>
      <w:r w:rsidRPr="008D2519"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  <w:t xml:space="preserve">Clinical diagnosis and etiological classification in </w:t>
      </w:r>
      <w:r w:rsidR="00EE73DE" w:rsidRPr="008D2519"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  <w:t>1</w:t>
      </w:r>
      <w:r w:rsidR="00254D4B" w:rsidRPr="008D2519"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  <w:t>63</w:t>
      </w:r>
      <w:r w:rsidRPr="008D2519">
        <w:rPr>
          <w:rFonts w:ascii="Times New Roman" w:eastAsia="宋体-简" w:cs="Times New Roman"/>
          <w:b/>
          <w:bCs/>
          <w:color w:val="000000" w:themeColor="text1"/>
          <w:sz w:val="20"/>
          <w:szCs w:val="20"/>
        </w:rPr>
        <w:t xml:space="preserve"> patients with FUO.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2"/>
        <w:gridCol w:w="895"/>
        <w:gridCol w:w="5933"/>
      </w:tblGrid>
      <w:tr w:rsidR="008D2519" w:rsidRPr="008D2519" w14:paraId="284BC8D4" w14:textId="77777777" w:rsidTr="0030453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CA19B7" w14:textId="77777777" w:rsidR="00337E19" w:rsidRPr="008D2519" w:rsidRDefault="00337E19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Etiology classification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495134" w14:textId="77777777" w:rsidR="00337E19" w:rsidRPr="008D2519" w:rsidRDefault="00337E19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Case number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BD1BEC" w14:textId="77777777" w:rsidR="00337E19" w:rsidRPr="008D2519" w:rsidRDefault="00337E19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Clinical diagnosis</w:t>
            </w:r>
          </w:p>
          <w:p w14:paraId="56E4F304" w14:textId="77777777" w:rsidR="00337E19" w:rsidRPr="008D2519" w:rsidRDefault="00337E19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</w:p>
        </w:tc>
      </w:tr>
      <w:tr w:rsidR="008D2519" w:rsidRPr="008D2519" w14:paraId="6957958F" w14:textId="77777777" w:rsidTr="00304535">
        <w:tc>
          <w:tcPr>
            <w:tcW w:w="0" w:type="auto"/>
            <w:tcBorders>
              <w:top w:val="single" w:sz="4" w:space="0" w:color="auto"/>
            </w:tcBorders>
          </w:tcPr>
          <w:p w14:paraId="5379CF1D" w14:textId="50860B89" w:rsidR="00304535" w:rsidRPr="008D2519" w:rsidRDefault="002A6DFB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  <w:t>Lymphoma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0B5FAF" w14:textId="02D7DD69" w:rsidR="00304535" w:rsidRPr="008D2519" w:rsidRDefault="00304535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7</w:t>
            </w:r>
            <w:r w:rsidR="002C031E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626F60" w14:textId="343395AB" w:rsidR="00304535" w:rsidRPr="008D2519" w:rsidRDefault="002A6DFB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Diffuse large B-cell lymphoma (2</w:t>
            </w:r>
            <w:r w:rsidR="00793EF0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5</w:t>
            </w:r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), angioimmunoblastic T-cell lymphoma (1</w:t>
            </w:r>
            <w:r w:rsidR="00057312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2</w:t>
            </w:r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), </w:t>
            </w:r>
            <w:proofErr w:type="spellStart"/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extranodal</w:t>
            </w:r>
            <w:proofErr w:type="spellEnd"/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 NK/T-cell lymphoma, nasal type (1</w:t>
            </w:r>
            <w:r w:rsidR="00793EF0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2</w:t>
            </w:r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), peripheral T-cell lymphoma, </w:t>
            </w:r>
            <w:r w:rsidR="009742BF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not otherwise specified</w:t>
            </w:r>
            <w:r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 (9)</w:t>
            </w:r>
            <w:r w:rsidR="009742BF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, anaplastic large cell lymphoma (5)</w:t>
            </w:r>
            <w:r w:rsidR="00ED73CE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B3351F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classic </w:t>
            </w:r>
            <w:r w:rsidR="00ED73CE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Hodgkin lymphoma (2)</w:t>
            </w:r>
            <w:r w:rsidR="00D762D4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,</w:t>
            </w:r>
            <w:r w:rsidR="00B94214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57312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γδT</w:t>
            </w:r>
            <w:proofErr w:type="spellEnd"/>
            <w:r w:rsidR="00057312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 xml:space="preserve"> cell lymphoma (1), aggressive NK cell leukemia/lymphoma (1), un</w:t>
            </w:r>
            <w:r w:rsidR="00CF0F8D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-</w:t>
            </w:r>
            <w:r w:rsidR="00057312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classification (1</w:t>
            </w:r>
            <w:r w:rsidR="007567D7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2</w:t>
            </w:r>
            <w:r w:rsidR="00057312" w:rsidRPr="008D2519">
              <w:rPr>
                <w:rFonts w:ascii="Times New Roman" w:eastAsia="微软雅黑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8D2519" w:rsidRPr="008D2519" w14:paraId="7AE1A861" w14:textId="77777777" w:rsidTr="00304535">
        <w:tc>
          <w:tcPr>
            <w:tcW w:w="0" w:type="auto"/>
          </w:tcPr>
          <w:p w14:paraId="7E6447D3" w14:textId="77777777" w:rsidR="00304535" w:rsidRPr="008D2519" w:rsidRDefault="00304535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Infection</w:t>
            </w:r>
          </w:p>
        </w:tc>
        <w:tc>
          <w:tcPr>
            <w:tcW w:w="0" w:type="auto"/>
          </w:tcPr>
          <w:p w14:paraId="68246F8C" w14:textId="0E147AAF" w:rsidR="00304535" w:rsidRPr="008D2519" w:rsidRDefault="00254D4B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58D83E7A" w14:textId="73D3ECE1" w:rsidR="00304535" w:rsidRPr="008D2519" w:rsidRDefault="00304535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>Tubercle bacillus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F45DC9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7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),</w:t>
            </w:r>
            <w:r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Epstein–Barr virus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F45DC9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7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),</w:t>
            </w:r>
            <w:r w:rsidR="00B65E07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65E07"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>Candida albicans</w:t>
            </w:r>
            <w:r w:rsidR="00B65E07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2</w:t>
            </w:r>
            <w:r w:rsidR="00B65E07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), </w:t>
            </w:r>
            <w:r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>Mycoplasma pneumoniae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(2), </w:t>
            </w:r>
            <w:r w:rsidR="00DF5C5F"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>Staphylococcus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3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), </w:t>
            </w:r>
            <w:r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Micrococcus luteus 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(1), </w:t>
            </w:r>
            <w:r w:rsidRPr="008D2519">
              <w:rPr>
                <w:rFonts w:asci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chlamydia 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(1), uncertain (7)</w:t>
            </w:r>
          </w:p>
        </w:tc>
      </w:tr>
      <w:tr w:rsidR="008D2519" w:rsidRPr="008D2519" w14:paraId="4D448FC2" w14:textId="77777777" w:rsidTr="00DF5C5F">
        <w:tc>
          <w:tcPr>
            <w:tcW w:w="0" w:type="auto"/>
          </w:tcPr>
          <w:p w14:paraId="691FD7E2" w14:textId="77777777" w:rsidR="00304535" w:rsidRPr="008D2519" w:rsidRDefault="00304535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NIID</w:t>
            </w:r>
          </w:p>
        </w:tc>
        <w:tc>
          <w:tcPr>
            <w:tcW w:w="0" w:type="auto"/>
          </w:tcPr>
          <w:p w14:paraId="05A9DC16" w14:textId="095689D4" w:rsidR="00304535" w:rsidRPr="008D2519" w:rsidRDefault="00B65E07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2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4</w:t>
            </w:r>
            <w:r w:rsidR="00304535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06CE971" w14:textId="1DDA3C6F" w:rsidR="00304535" w:rsidRPr="008D2519" w:rsidRDefault="00304535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AOSD (1</w:t>
            </w:r>
            <w:r w:rsidR="00F45DC9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3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), undifferentiated connective tissue disease (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3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), vasculitis (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1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), 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primary </w:t>
            </w:r>
            <w:r w:rsidR="00BB70B2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hemophagocytic syndromes 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(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1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), systemic lupus erythematosus (1), </w:t>
            </w:r>
            <w:r w:rsidR="00B65E07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Sjogren's syndrome (1), 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EVANS syndrome (1), </w:t>
            </w:r>
            <w:r w:rsidR="002148C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macrophage activation syndrome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(1)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IgG-related disease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 (1)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, mixed connective tissue disease (1)</w:t>
            </w:r>
          </w:p>
        </w:tc>
      </w:tr>
      <w:tr w:rsidR="008D2519" w:rsidRPr="008D2519" w14:paraId="7FE5049F" w14:textId="77777777" w:rsidTr="00F45DC9">
        <w:tc>
          <w:tcPr>
            <w:tcW w:w="0" w:type="auto"/>
          </w:tcPr>
          <w:p w14:paraId="5A4BDB0B" w14:textId="77777777" w:rsidR="00304535" w:rsidRPr="008D2519" w:rsidRDefault="00304535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Miscellaneous</w:t>
            </w:r>
          </w:p>
        </w:tc>
        <w:tc>
          <w:tcPr>
            <w:tcW w:w="0" w:type="auto"/>
          </w:tcPr>
          <w:p w14:paraId="2B1F1F79" w14:textId="21FB39B3" w:rsidR="00304535" w:rsidRPr="008D2519" w:rsidRDefault="002148CF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1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64071CB4" w14:textId="06864097" w:rsidR="00304535" w:rsidRPr="008D2519" w:rsidRDefault="00304535" w:rsidP="00280214">
            <w:pPr>
              <w:spacing w:line="480" w:lineRule="auto"/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Histiocytic necrotizing lymphadenitis (1</w:t>
            </w:r>
            <w:r w:rsidR="00254D4B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7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 xml:space="preserve">), </w:t>
            </w:r>
            <w:r w:rsidR="00DF5C5F" w:rsidRPr="008D2519"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  <w:t xml:space="preserve">subacute thyroiditis (1), </w:t>
            </w:r>
            <w:r w:rsidRPr="008D2519">
              <w:rPr>
                <w:rFonts w:ascii="Times New Roman" w:eastAsia="宋体-简" w:cs="Times New Roman"/>
                <w:color w:val="000000" w:themeColor="text1"/>
                <w:sz w:val="20"/>
                <w:szCs w:val="20"/>
              </w:rPr>
              <w:t>d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rug allergy (</w:t>
            </w:r>
            <w:r w:rsidR="00DF5C5F"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1</w:t>
            </w: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8D2519" w:rsidRPr="008D2519" w14:paraId="1E70FE84" w14:textId="77777777" w:rsidTr="00DF5C5F">
        <w:tc>
          <w:tcPr>
            <w:tcW w:w="0" w:type="auto"/>
            <w:tcBorders>
              <w:bottom w:val="single" w:sz="4" w:space="0" w:color="auto"/>
            </w:tcBorders>
          </w:tcPr>
          <w:p w14:paraId="31646340" w14:textId="5C207699" w:rsidR="00F45DC9" w:rsidRPr="008D2519" w:rsidRDefault="00254D4B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No diagnosis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4051C2" w14:textId="20F8671A" w:rsidR="00F45DC9" w:rsidRPr="008D2519" w:rsidRDefault="00254D4B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8D7292" w14:textId="613F0DAB" w:rsidR="00F45DC9" w:rsidRPr="008D2519" w:rsidRDefault="00254D4B" w:rsidP="00280214">
            <w:pPr>
              <w:spacing w:line="480" w:lineRule="auto"/>
              <w:rPr>
                <w:rFonts w:ascii="Times New Roman" w:cs="Times New Roman"/>
                <w:color w:val="000000" w:themeColor="text1"/>
                <w:sz w:val="20"/>
                <w:szCs w:val="20"/>
              </w:rPr>
            </w:pPr>
            <w:r w:rsidRPr="008D2519">
              <w:rPr>
                <w:rFonts w:ascii="Times New Roman" w:cs="Times New Roman"/>
                <w:color w:val="000000" w:themeColor="text1"/>
                <w:sz w:val="20"/>
                <w:szCs w:val="20"/>
              </w:rPr>
              <w:t>uncertain</w:t>
            </w:r>
          </w:p>
        </w:tc>
      </w:tr>
    </w:tbl>
    <w:p w14:paraId="486190E1" w14:textId="77777777" w:rsidR="003A3EBC" w:rsidRPr="008D2519" w:rsidRDefault="003A3EBC" w:rsidP="00280214">
      <w:pPr>
        <w:spacing w:line="480" w:lineRule="auto"/>
        <w:rPr>
          <w:rFonts w:ascii="Times New Roman" w:cs="Times New Roman"/>
          <w:color w:val="000000" w:themeColor="text1"/>
          <w:sz w:val="20"/>
          <w:szCs w:val="20"/>
          <w:shd w:val="clear" w:color="auto" w:fill="FCFCFC"/>
        </w:rPr>
      </w:pPr>
      <w:r w:rsidRPr="008D2519">
        <w:rPr>
          <w:rFonts w:ascii="Times New Roman" w:cs="Times New Roman"/>
          <w:color w:val="000000" w:themeColor="text1"/>
          <w:sz w:val="20"/>
          <w:szCs w:val="20"/>
          <w:shd w:val="clear" w:color="auto" w:fill="FCFCFC"/>
        </w:rPr>
        <w:t>FUO, fever of unknown origin; NIID, noninfectious inflammatory disease; AOSD, adult-onset still’s disease.</w:t>
      </w:r>
    </w:p>
    <w:sectPr w:rsidR="003A3EBC" w:rsidRPr="008D2519" w:rsidSect="00D715F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宋体-简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42B5"/>
    <w:multiLevelType w:val="multilevel"/>
    <w:tmpl w:val="9F2609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75"/>
    <w:rsid w:val="0004637D"/>
    <w:rsid w:val="00057312"/>
    <w:rsid w:val="000E5403"/>
    <w:rsid w:val="001A4346"/>
    <w:rsid w:val="00210A55"/>
    <w:rsid w:val="002148CF"/>
    <w:rsid w:val="00254D4B"/>
    <w:rsid w:val="00280214"/>
    <w:rsid w:val="00284A61"/>
    <w:rsid w:val="00293939"/>
    <w:rsid w:val="002A6DFB"/>
    <w:rsid w:val="002C031E"/>
    <w:rsid w:val="002F73E7"/>
    <w:rsid w:val="00304535"/>
    <w:rsid w:val="00337E19"/>
    <w:rsid w:val="00355673"/>
    <w:rsid w:val="003A3EBC"/>
    <w:rsid w:val="003F44F1"/>
    <w:rsid w:val="004B4C38"/>
    <w:rsid w:val="005368AC"/>
    <w:rsid w:val="00633B61"/>
    <w:rsid w:val="00683BFA"/>
    <w:rsid w:val="0074751A"/>
    <w:rsid w:val="007567D7"/>
    <w:rsid w:val="007803A4"/>
    <w:rsid w:val="0078382A"/>
    <w:rsid w:val="00793EF0"/>
    <w:rsid w:val="008178A1"/>
    <w:rsid w:val="008D2519"/>
    <w:rsid w:val="009625B1"/>
    <w:rsid w:val="009742BF"/>
    <w:rsid w:val="00976AA3"/>
    <w:rsid w:val="00A649B3"/>
    <w:rsid w:val="00A656BC"/>
    <w:rsid w:val="00B128E4"/>
    <w:rsid w:val="00B3351F"/>
    <w:rsid w:val="00B65E07"/>
    <w:rsid w:val="00B94214"/>
    <w:rsid w:val="00BB70B2"/>
    <w:rsid w:val="00C601B5"/>
    <w:rsid w:val="00CF0440"/>
    <w:rsid w:val="00CF0F8D"/>
    <w:rsid w:val="00D715F9"/>
    <w:rsid w:val="00D762D4"/>
    <w:rsid w:val="00D9099C"/>
    <w:rsid w:val="00DF5C5F"/>
    <w:rsid w:val="00E17182"/>
    <w:rsid w:val="00ED73CE"/>
    <w:rsid w:val="00EE73DE"/>
    <w:rsid w:val="00EF2F2B"/>
    <w:rsid w:val="00F06775"/>
    <w:rsid w:val="00F45DC9"/>
    <w:rsid w:val="00F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33388"/>
  <w15:chartTrackingRefBased/>
  <w15:docId w15:val="{BCD9A425-71B1-014C-853C-F8D9E9FA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F0677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775"/>
    <w:pPr>
      <w:widowControl/>
      <w:autoSpaceDE/>
      <w:autoSpaceDN/>
      <w:adjustRightInd/>
      <w:spacing w:before="100" w:beforeAutospacing="1" w:after="100" w:afterAutospacing="1"/>
    </w:pPr>
    <w:rPr>
      <w:rFonts w:ascii="宋体" w:eastAsia="宋体" w:hAnsi="宋体" w:cs="宋体"/>
      <w:color w:val="auto"/>
      <w:sz w:val="24"/>
      <w:szCs w:val="24"/>
    </w:rPr>
  </w:style>
  <w:style w:type="table" w:styleId="a4">
    <w:name w:val="Table Grid"/>
    <w:basedOn w:val="a1"/>
    <w:uiPriority w:val="39"/>
    <w:rsid w:val="00F06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8021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8021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D2519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56BC"/>
    <w:rPr>
      <w:rFonts w:ascii="宋体" w:eastAsia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656BC"/>
    <w:rPr>
      <w:rFonts w:ascii="宋体" w:eastAsia="宋体" w:hAnsi="Times New Roman" w:cs="MingLiU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anqiurong@si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gsingsjx@sina.com" TargetMode="External"/><Relationship Id="rId5" Type="http://schemas.openxmlformats.org/officeDocument/2006/relationships/hyperlink" Target="https://www.springer.com/journal/432/?IF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2023-02-18T12:43:00Z</dcterms:created>
  <dcterms:modified xsi:type="dcterms:W3CDTF">2023-02-18T12:47:00Z</dcterms:modified>
</cp:coreProperties>
</file>